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608C5" w14:textId="77777777" w:rsidR="000D6733" w:rsidRDefault="00000000">
      <w:pPr>
        <w:spacing w:after="240"/>
      </w:pPr>
      <w:r>
        <w:t>[Insert submission date]</w:t>
      </w:r>
    </w:p>
    <w:p w14:paraId="351B3593" w14:textId="77777777" w:rsidR="000D6733" w:rsidRDefault="00000000">
      <w:pPr>
        <w:spacing w:after="0"/>
      </w:pPr>
      <w:r>
        <w:t>California Air Resources Board</w:t>
      </w:r>
    </w:p>
    <w:p w14:paraId="6FE3113B" w14:textId="77777777" w:rsidR="000D6733" w:rsidRDefault="00000000">
      <w:pPr>
        <w:spacing w:after="240"/>
      </w:pPr>
      <w:r>
        <w:t>California Geologic Energy Management Division</w:t>
      </w:r>
    </w:p>
    <w:p w14:paraId="7518F38D" w14:textId="77777777" w:rsidR="000D6733" w:rsidRDefault="00000000">
      <w:pPr>
        <w:spacing w:after="240"/>
      </w:pPr>
      <w:r>
        <w:rPr>
          <w:b/>
          <w:color w:val="1F4E79"/>
        </w:rPr>
        <w:t>Re: Comments on the January 5, 2026 Discussion Draft - Performance Standards for Continuously Operating Emissions Detection Systems Required by SB 1137</w:t>
      </w:r>
    </w:p>
    <w:p w14:paraId="59445072" w14:textId="77777777" w:rsidR="000D6733" w:rsidRDefault="00000000">
      <w:pPr>
        <w:spacing w:after="160"/>
      </w:pPr>
      <w:r>
        <w:t>Dear CARB and CalGEM Staff:</w:t>
      </w:r>
    </w:p>
    <w:p w14:paraId="2CCF18BB" w14:textId="77777777" w:rsidR="000D6733" w:rsidRDefault="00000000">
      <w:r>
        <w:t>Holmes Western Oil Corporation (HWOC) appreciates the opportunity to comment on the January 5, 2026 discussion draft concerning performance standards for continuously operating emissions detection systems (EDS) under Senate Bill 1137. HWOC supports practical leak detection that provides timely, reliable information and protects surrounding communities. The proposed framework, however, contains technical assumptions, undefined terms, duplicative requirements, and performance criteria that may be impossible to demonstrate or achieve with commercially available equipment at many upstream facilities.</w:t>
      </w:r>
    </w:p>
    <w:p w14:paraId="1FF48651" w14:textId="77777777" w:rsidR="000D6733" w:rsidRDefault="00000000">
      <w:r>
        <w:t>The regulation should establish outcome-based performance standards that are technically achievable and proportionate to actual potential community exposure. It should not convert a leak-detection requirement into a source-by-source research, modeling, and technology-validation program borne separately by every operator. The final rule should also preserve the statutory sequence and scope established by Public Resources Code section 3283.</w:t>
      </w:r>
    </w:p>
    <w:p w14:paraId="02D196BD" w14:textId="77777777" w:rsidR="000D6733" w:rsidRDefault="00000000">
      <w:pPr>
        <w:pStyle w:val="Heading1"/>
      </w:pPr>
      <w:r>
        <w:t>Summary of Requested Changes</w:t>
      </w:r>
    </w:p>
    <w:p w14:paraId="3D9084D0" w14:textId="77777777" w:rsidR="000D6733" w:rsidRDefault="00000000">
      <w:pPr>
        <w:pStyle w:val="ListBullet"/>
        <w:spacing w:after="60"/>
        <w:ind w:left="403" w:hanging="259"/>
      </w:pPr>
      <w:r>
        <w:t>Replace the proposed constituent-ranking equations with a dimensionally valid, exposure-relevant method that accounts for release rate, source flow, distance, dispersion, and exposure duration.</w:t>
      </w:r>
    </w:p>
    <w:p w14:paraId="6C43E339" w14:textId="77777777" w:rsidR="000D6733" w:rsidRDefault="00000000">
      <w:pPr>
        <w:pStyle w:val="ListBullet"/>
        <w:spacing w:after="60"/>
        <w:ind w:left="403" w:hanging="259"/>
      </w:pPr>
      <w:r>
        <w:t>Use concentration- and duration-specific health benchmarks, including EPA’s Acute Exposure Guideline Level (AEGL) framework where appropriate, to distinguish an EDS investigative alert from an actual public-health emergency, without creating new operator response or reporting duties beyond applicable law.</w:t>
      </w:r>
    </w:p>
    <w:p w14:paraId="0370F361" w14:textId="77777777" w:rsidR="000D6733" w:rsidRDefault="00000000">
      <w:pPr>
        <w:pStyle w:val="ListBullet"/>
        <w:spacing w:after="60"/>
        <w:ind w:left="403" w:hanging="259"/>
      </w:pPr>
      <w:r>
        <w:t>Define “site,” “facility,” “monitoring zone,” and source-grouping rules so remote or immaterial streams do not control every EDS threshold.</w:t>
      </w:r>
    </w:p>
    <w:p w14:paraId="1F35727C" w14:textId="77777777" w:rsidR="000D6733" w:rsidRDefault="00000000">
      <w:pPr>
        <w:pStyle w:val="ListBullet"/>
        <w:spacing w:after="60"/>
        <w:ind w:left="403" w:hanging="259"/>
      </w:pPr>
      <w:r>
        <w:t>Complete and publish a technology-feasibility assessment before adopting detection-limit, precision, uptime, and calibration requirements.</w:t>
      </w:r>
    </w:p>
    <w:p w14:paraId="6075B2E5" w14:textId="77777777" w:rsidR="000D6733" w:rsidRDefault="00000000">
      <w:pPr>
        <w:pStyle w:val="ListBullet"/>
        <w:spacing w:after="60"/>
        <w:ind w:left="403" w:hanging="259"/>
      </w:pPr>
      <w:r>
        <w:t>Allow representative source grouping and blended sampling where process conditions do not materially change gas composition.</w:t>
      </w:r>
    </w:p>
    <w:p w14:paraId="1E5CEFB5" w14:textId="77777777" w:rsidR="000D6733" w:rsidRDefault="00000000">
      <w:pPr>
        <w:pStyle w:val="ListBullet"/>
        <w:spacing w:after="60"/>
        <w:ind w:left="403" w:hanging="259"/>
      </w:pPr>
      <w:r>
        <w:t>Reduce duplicative AERMOD scenarios, mapping, coordinate, WellSTAR, audit, and documentation requirements.</w:t>
      </w:r>
    </w:p>
    <w:p w14:paraId="6E64B789" w14:textId="77777777" w:rsidR="000D6733" w:rsidRDefault="00000000">
      <w:pPr>
        <w:pStyle w:val="ListBullet"/>
        <w:spacing w:after="60"/>
        <w:ind w:left="403" w:hanging="259"/>
      </w:pPr>
      <w:r>
        <w:t>Tie notification requirements to modeled or measured potential community impact and preserve the 48-hour notification framework in section 3283(b).</w:t>
      </w:r>
    </w:p>
    <w:p w14:paraId="28E1F93C" w14:textId="77777777" w:rsidR="000D6733" w:rsidRDefault="00000000">
      <w:pPr>
        <w:pStyle w:val="ListBullet"/>
        <w:spacing w:after="60"/>
        <w:ind w:left="403" w:hanging="259"/>
      </w:pPr>
      <w:r>
        <w:t>Limit personnel-qualification requirements to the physical installation, commissioning, calibration, repair, and maintenance of EDS and meteorological equipment. Evaluate plans and models based on objective technical compliance rather than the credentials of their authors.</w:t>
      </w:r>
    </w:p>
    <w:p w14:paraId="00232D05" w14:textId="77777777" w:rsidR="000D6733" w:rsidRDefault="00000000">
      <w:pPr>
        <w:pStyle w:val="ListBullet"/>
        <w:spacing w:after="60"/>
        <w:ind w:left="403" w:hanging="259"/>
      </w:pPr>
      <w:r>
        <w:t>Allow centralized data retention and proportionate reporting while maintaining the ten-year statutory record-retention period.</w:t>
      </w:r>
    </w:p>
    <w:p w14:paraId="6082D176" w14:textId="77777777" w:rsidR="000D6733" w:rsidRDefault="00000000">
      <w:pPr>
        <w:pStyle w:val="Heading1"/>
      </w:pPr>
      <w:r>
        <w:lastRenderedPageBreak/>
        <w:t>Detailed Comments</w:t>
      </w:r>
    </w:p>
    <w:p w14:paraId="15AA8200" w14:textId="77777777" w:rsidR="000D6733" w:rsidRDefault="00000000">
      <w:pPr>
        <w:pStyle w:val="Heading2"/>
      </w:pPr>
      <w:r>
        <w:t>1. The proposed risk equations are not dimensionally valid and do not measure acute inhalation risk</w:t>
      </w:r>
    </w:p>
    <w:p w14:paraId="4949EB9A" w14:textId="77777777" w:rsidR="000D6733" w:rsidRDefault="00000000">
      <w:r>
        <w:rPr>
          <w:b/>
        </w:rPr>
        <w:t xml:space="preserve">Draft provision: </w:t>
      </w:r>
      <w:r>
        <w:t>§ 93504(b)(2), Equations 1 and 2</w:t>
      </w:r>
    </w:p>
    <w:p w14:paraId="33E0563A" w14:textId="77777777" w:rsidR="000D6733" w:rsidRDefault="00000000">
      <w:r>
        <w:t>Equation 1 divides a source-gas mass percentage by an ambient-air concentration expressed in micrograms per cubic meter. Those quantities are not dimensionally equivalent, and the result is not a conventional hazard quotient. Equation 2 merely normalizes those values into percentages. Neither equation accounts for gas flow, release rate, total toxic mass, distance to a receptor, atmospheric dispersion, or exposure duration. A 1 MCF/day stream and a 2,000 MCF/day stream at the same constituent concentration would be treated alike even though their potential source strengths are materially different.</w:t>
      </w:r>
    </w:p>
    <w:p w14:paraId="4058BC66" w14:textId="77777777" w:rsidR="000D6733" w:rsidRDefault="00000000">
      <w:r>
        <w:rPr>
          <w:b/>
        </w:rPr>
        <w:t>Requested revision.</w:t>
      </w:r>
      <w:r>
        <w:t xml:space="preserve"> Delete the term “weighted risk contribution” unless the methodology is replaced with a scientifically supported and dimensionally valid method. At minimum, describe the calculation only as a constituent-screening index and prohibit its use as a quantitative measure of risk. If CARB retains a risk-based method, CARB should develop and validate a standardized screening methodology that permits, but does not require, operators to use existing source data, representative grouping, engineering calculations, or modeling to account for release magnitude, dispersion, distance, and exposure duration. The final rule should not impose additional source-by-source modeling beyond the analyses otherwise expressly required. For acute public-health decisions, concentration and duration should be evaluated using an appropriate emergency-exposure framework rather than applying an OEHHA REL without regard to release magnitude, dispersion, or exposure duration.</w:t>
      </w:r>
    </w:p>
    <w:p w14:paraId="274059EA" w14:textId="77777777" w:rsidR="000D6733" w:rsidRDefault="00000000">
      <w:pPr>
        <w:pStyle w:val="Heading2"/>
      </w:pPr>
      <w:r>
        <w:t>2. EPA’s AEGL framework is more appropriate than OEHHA RELs for acute public-health response</w:t>
      </w:r>
    </w:p>
    <w:p w14:paraId="6AC63D12" w14:textId="77777777" w:rsidR="000D6733" w:rsidRDefault="00000000">
      <w:r>
        <w:rPr>
          <w:b/>
        </w:rPr>
        <w:t xml:space="preserve">Draft provision: </w:t>
      </w:r>
      <w:r>
        <w:t>§§ 93502(a)(31), 93504(a), and 93504(b)(2)</w:t>
      </w:r>
    </w:p>
    <w:p w14:paraId="5221DE4A" w14:textId="77777777" w:rsidR="000D6733" w:rsidRDefault="00000000">
      <w:r>
        <w:t>The draft relies on OEHHA acute Reference Exposure Levels to identify the toxic constituent of highest concern and establish methane-based EDS alert thresholds. This approach risks treating a conservative screening value as a demonstrated acute-injury threshold and then using that same value to support detection, investigation, corrective action, and public notification.</w:t>
      </w:r>
    </w:p>
    <w:p w14:paraId="7859955F" w14:textId="77777777" w:rsidR="000D6733" w:rsidRDefault="00000000">
      <w:r>
        <w:t>For hydrogen sulfide, OEHHA establishes an acute REL of 42 µg/m³, approximately 0.030 ppm at 25°C and one atmosphere, based on mild endpoints of headache, nausea, and physiological responses to odor. The value is a health-protective one-hour reference level. It is not a source-gas limit, an instantaneous alarm level, or a demonstrated threshold of serious toxic injury.</w:t>
      </w:r>
    </w:p>
    <w:p w14:paraId="1FC44B36" w14:textId="77777777" w:rsidR="000D6733" w:rsidRDefault="00000000">
      <w:r>
        <w:t>EPA’s Acute Exposure Guideline Level framework is better suited to acute leak-response decisions because it was developed for short-term airborne exposures experienced by the general public during accidental or emergency releases. It distinguishes among materially different levels of health consequence:</w:t>
      </w:r>
    </w:p>
    <w:p w14:paraId="48860718" w14:textId="77777777" w:rsidR="000D6733" w:rsidRDefault="00000000">
      <w:pPr>
        <w:pStyle w:val="ListBullet"/>
        <w:spacing w:after="60"/>
        <w:ind w:left="403" w:hanging="259"/>
      </w:pPr>
      <w:r>
        <w:t>AEGL-1: Notable discomfort, irritation, or certain asymptomatic nonsensory effects that are transient, reversible, and nondisabling.</w:t>
      </w:r>
    </w:p>
    <w:p w14:paraId="58CB1190" w14:textId="77777777" w:rsidR="000D6733" w:rsidRDefault="00000000">
      <w:pPr>
        <w:pStyle w:val="ListBullet"/>
        <w:spacing w:after="60"/>
        <w:ind w:left="403" w:hanging="259"/>
      </w:pPr>
      <w:r>
        <w:t>AEGL-2: Irreversible or other serious, long-lasting adverse health effects or an impaired ability to escape.</w:t>
      </w:r>
    </w:p>
    <w:p w14:paraId="016DA618" w14:textId="77777777" w:rsidR="000D6733" w:rsidRDefault="00000000">
      <w:pPr>
        <w:pStyle w:val="ListBullet"/>
        <w:spacing w:after="60"/>
        <w:ind w:left="403" w:hanging="259"/>
      </w:pPr>
      <w:r>
        <w:t>AEGL-3: Life-threatening health effects or death.</w:t>
      </w:r>
    </w:p>
    <w:p w14:paraId="6689A5F5" w14:textId="77777777" w:rsidR="000D6733" w:rsidRDefault="00000000">
      <w:r>
        <w:t xml:space="preserve">EPA’s one-hour hydrogen sulfide values are 0.51 ppm for AEGL-1, 27 ppm for AEGL-2, and 50 ppm for AEGL-3. The OEHHA acute REL is therefore approximately 17 times lower than EPA’s one-hour AEGL-1 and approximately 900 times lower than EPA’s one-hour AEGL-2. This comparison does not establish that concentrations below an AEGL are acceptable routine ambient conditions. It demonstrates that </w:t>
      </w:r>
      <w:r>
        <w:lastRenderedPageBreak/>
        <w:t>odor awareness, conservative screening, mild reversible effects, serious acute effects, and life-threatening exposure are different toxicological and response categories that should not be collapsed into a single regulatory trigger.</w:t>
      </w:r>
    </w:p>
    <w:p w14:paraId="49B08D88" w14:textId="77777777" w:rsidR="000D6733" w:rsidRDefault="00000000">
      <w:r>
        <w:rPr>
          <w:b/>
        </w:rPr>
        <w:t>Requested revision.</w:t>
      </w:r>
      <w:r>
        <w:t xml:space="preserve"> Use EPA’s concentration- and duration-specific AEGL framework, or another scientifically supported concentration-and-duration framework, to place potential acute public-health consequences in context. The final regulation should distinguish an EDS investigative alert from an independently applicable emergency-reporting or public-protection threshold. These comments do not request a new tiered response program or any new notification, evacuation, modeling, or corrective-action duty beyond SB 1137 and other existing law. At a minimum, the regulation should provide that:</w:t>
      </w:r>
    </w:p>
    <w:p w14:paraId="1532846F" w14:textId="77777777" w:rsidR="000D6733" w:rsidRDefault="00000000">
      <w:pPr>
        <w:spacing w:after="60"/>
        <w:ind w:left="403" w:hanging="288"/>
      </w:pPr>
      <w:r>
        <w:t>1. An EDS alert may initiate an operator-selected, site-appropriate investigation under the approved response protocol; it does not by itself establish receptor exposure or an acute public-health emergency.</w:t>
      </w:r>
    </w:p>
    <w:p w14:paraId="4E0F4AA0" w14:textId="77777777" w:rsidR="000D6733" w:rsidRDefault="00000000">
      <w:pPr>
        <w:spacing w:after="60"/>
        <w:ind w:left="403" w:hanging="288"/>
      </w:pPr>
      <w:r>
        <w:t>2. The significance of confirmed measurements should be evaluated using the concentration, duration, location, meteorology, instrument uncertainty, and available source-attribution information.</w:t>
      </w:r>
    </w:p>
    <w:p w14:paraId="3BAEADB9" w14:textId="77777777" w:rsidR="000D6733" w:rsidRDefault="00000000">
      <w:pPr>
        <w:spacing w:after="60"/>
        <w:ind w:left="403" w:hanging="288"/>
      </w:pPr>
      <w:r>
        <w:t>3. Community notification or emergency action under this regulation should occur only when the objective criteria in the final rule and the statutory sequence are met, while preserving independently applicable emergency-release reporting requirements.</w:t>
      </w:r>
    </w:p>
    <w:p w14:paraId="374B64A1" w14:textId="77777777" w:rsidR="000D6733" w:rsidRDefault="00000000">
      <w:pPr>
        <w:spacing w:after="60"/>
        <w:ind w:left="403" w:hanging="288"/>
      </w:pPr>
      <w:r>
        <w:t>4. Where an agency or operator uses AEGLs or other duration-based benchmarks, the comparison should use the corresponding actual or reasonably anticipated exposure duration rather than treating a momentary reading as equivalent to a completed one-hour exposure.</w:t>
      </w:r>
    </w:p>
    <w:p w14:paraId="626046D5" w14:textId="77777777" w:rsidR="000D6733" w:rsidRDefault="00000000">
      <w:pPr>
        <w:spacing w:after="60"/>
        <w:ind w:left="403" w:hanging="288"/>
      </w:pPr>
      <w:r>
        <w:t>5. Any regulatory escalation should consider available evidence such as background concentration, instrument uncertainty, persistence, meteorological conditions, receptor location, and confirmatory information; no single item should be mandatory where it is unavailable or unnecessary.</w:t>
      </w:r>
    </w:p>
    <w:p w14:paraId="228A4B1F" w14:textId="77777777" w:rsidR="000D6733" w:rsidRDefault="00000000">
      <w:r>
        <w:t>At minimum, the final regulation should not treat exceedance of an odor-influenced, mild-effect OEHHA REL as confirmation of an acute public-health threat. Lower values may appropriately support early leak detection and investigation, but mandatory public-health actions should be based on a toxicological framework that distinguishes the concentration, duration, and severity of potential effects.</w:t>
      </w:r>
    </w:p>
    <w:p w14:paraId="2E70B3C3" w14:textId="77777777" w:rsidR="000D6733" w:rsidRDefault="00000000">
      <w:pPr>
        <w:pStyle w:val="Heading2"/>
      </w:pPr>
      <w:r>
        <w:t>3. “Site” and the geographic scope of a methane-to-toxic ratio must be defined</w:t>
      </w:r>
    </w:p>
    <w:p w14:paraId="34AD0EF7" w14:textId="77777777" w:rsidR="000D6733" w:rsidRDefault="00000000">
      <w:r>
        <w:rPr>
          <w:b/>
        </w:rPr>
        <w:t xml:space="preserve">Draft provision: </w:t>
      </w:r>
      <w:r>
        <w:t>§ 93504(b)(3)</w:t>
      </w:r>
    </w:p>
    <w:p w14:paraId="6E23EC60" w14:textId="77777777" w:rsidR="000D6733" w:rsidRDefault="00000000">
      <w:r>
        <w:t>The requirement to use the smallest methane-to-toxic ratio from any monitored production process category is ambiguous because “site” is not defined. A small or remote source with an atypically low ratio could dictate the threshold for an EDS monitoring a different source group, even where that source cannot materially affect the relevant receptor. The provision ignores flow, total toxic mass, source proximity, monitoring coverage, and the composition of the representative blended stream.</w:t>
      </w:r>
    </w:p>
    <w:p w14:paraId="73300620" w14:textId="77777777" w:rsidR="000D6733" w:rsidRDefault="00000000">
      <w:r>
        <w:rPr>
          <w:b/>
        </w:rPr>
        <w:t>Requested revision.</w:t>
      </w:r>
      <w:r>
        <w:t xml:space="preserve"> Define discrete EDS monitoring zones and allow separate ratios by EDS or representative source group. Ratios should be drawn only from equipment reasonably capable of contributing to the monitoring zone and relevant receptor pathway. Permit operators to support grouping or exclusion using one or more appropriate lines of evidence—such as flow, total toxic mass, proximity, dispersion, design capacity, process knowledge, or representative blended composition—without requiring every factor or new modeling in every case.</w:t>
      </w:r>
    </w:p>
    <w:p w14:paraId="1467DF28" w14:textId="77777777" w:rsidR="000D6733" w:rsidRDefault="00000000">
      <w:pPr>
        <w:pStyle w:val="Heading2"/>
      </w:pPr>
      <w:r>
        <w:t>4. The four sampling categories are overbroad and create redundant sampling</w:t>
      </w:r>
    </w:p>
    <w:p w14:paraId="6FE8B9CD" w14:textId="77777777" w:rsidR="000D6733" w:rsidRDefault="00000000">
      <w:r>
        <w:rPr>
          <w:b/>
        </w:rPr>
        <w:t xml:space="preserve">Draft provision: </w:t>
      </w:r>
      <w:r>
        <w:t>§ 93504(b)(1)(E)</w:t>
      </w:r>
    </w:p>
    <w:p w14:paraId="4E2CD71F" w14:textId="77777777" w:rsidR="000D6733" w:rsidRDefault="00000000">
      <w:r>
        <w:t xml:space="preserve">“Processing equipment” groups fundamentally different equipment, including free-water knockouts, amine systems, separators, compressors, and scrubbers. It also overlaps with “production equipment.” Under the proposed definitions, a single well stream routed through vapor recovery and compression </w:t>
      </w:r>
      <w:r>
        <w:lastRenderedPageBreak/>
        <w:t>could trigger multiple sets of three samples even when pressure change alone does not alter composition. Repeating nearly identical analyses provides little additional protection and imposes substantial sampling and laboratory cost.</w:t>
      </w:r>
    </w:p>
    <w:p w14:paraId="29459E99" w14:textId="77777777" w:rsidR="000D6733" w:rsidRDefault="00000000">
      <w:r>
        <w:rPr>
          <w:b/>
        </w:rPr>
        <w:t>Requested revision.</w:t>
      </w:r>
      <w:r>
        <w:t xml:space="preserve"> Permit representative sampling based on common reservoir, commingled flow, process function, existing analytical data, and evidence of material compositional change. Allow the basis for representative sampling to be documented within the LDRP or existing operator records rather than requiring a separate sampling plan. Require separate sampling only where available information shows that a process can reasonably add, remove, generate, or materially concentrate a listed constituent. Clarify that only equipment within the applicable HPZ and EDS monitoring scope must be characterized.</w:t>
      </w:r>
    </w:p>
    <w:p w14:paraId="6EE2215B" w14:textId="77777777" w:rsidR="000D6733" w:rsidRDefault="00000000">
      <w:pPr>
        <w:pStyle w:val="Heading2"/>
      </w:pPr>
      <w:r>
        <w:t>5. The methane-surrogate methodology can produce impractically low alarm and detection thresholds</w:t>
      </w:r>
    </w:p>
    <w:p w14:paraId="74268EBA" w14:textId="77777777" w:rsidR="000D6733" w:rsidRDefault="00000000">
      <w:r>
        <w:rPr>
          <w:b/>
        </w:rPr>
        <w:t xml:space="preserve">Draft provision: </w:t>
      </w:r>
      <w:r>
        <w:t>§§ 93504(b)(3) and 93504(d)</w:t>
      </w:r>
    </w:p>
    <w:p w14:paraId="063E5A5A" w14:textId="77777777" w:rsidR="000D6733" w:rsidRDefault="00000000">
      <w:r>
        <w:t>The operational consequence of the proposed methane-surrogate methodology can be illustrated using a gas composition of 72 percent methane and 10,000 ppmv hydrogen sulfide. This example is presented solely to test the mathematical and technical consequences of the proposed methodology and is not intended to characterize any particular facility, source, or current operating condition. Using consistent units, the methane-to-hydrogen-sulfide ratio is:</w:t>
      </w:r>
    </w:p>
    <w:p w14:paraId="211CEE03" w14:textId="77777777" w:rsidR="000D6733" w:rsidRDefault="00000000">
      <w:pPr>
        <w:jc w:val="center"/>
      </w:pPr>
      <w:r>
        <w:rPr>
          <w:i/>
        </w:rPr>
        <w:t>720,000 ppmv methane ÷ 10,000 ppmv H₂S = 72:1</w:t>
      </w:r>
    </w:p>
    <w:p w14:paraId="6DE3AF38" w14:textId="77777777" w:rsidR="000D6733" w:rsidRDefault="00000000">
      <w:r>
        <w:t>The OEHHA portion of the Discussion Draft lists the hydrogen sulfide acute REL as 30 ppbv. Applying that value to the 72:1 methane-to-hydrogen-sulfide ratio produces the following methane-surrogate alert threshold:</w:t>
      </w:r>
    </w:p>
    <w:p w14:paraId="52C5F825" w14:textId="77777777" w:rsidR="000D6733" w:rsidRDefault="00000000">
      <w:pPr>
        <w:jc w:val="center"/>
      </w:pPr>
      <w:r>
        <w:rPr>
          <w:i/>
        </w:rPr>
        <w:t>30 ppbv H₂S × 72 = 2,160 ppbv methane</w:t>
      </w:r>
      <w:r>
        <w:rPr>
          <w:i/>
        </w:rPr>
        <w:br/>
        <w:t>2,160 ppbv = 2.16 ppmv methane</w:t>
      </w:r>
    </w:p>
    <w:p w14:paraId="0FCD8693" w14:textId="77777777" w:rsidR="000D6733" w:rsidRDefault="00000000">
      <w:r>
        <w:t>Section 93504(d) would then require the EDS to have a detection limit at least three times below the alert threshold:</w:t>
      </w:r>
    </w:p>
    <w:p w14:paraId="5AB074CA" w14:textId="77777777" w:rsidR="000D6733" w:rsidRDefault="00000000">
      <w:pPr>
        <w:jc w:val="center"/>
      </w:pPr>
      <w:r>
        <w:rPr>
          <w:i/>
        </w:rPr>
        <w:t>2.16 ppmv ÷ 3 = 0.72 ppmv methane</w:t>
      </w:r>
      <w:r>
        <w:rPr>
          <w:i/>
        </w:rPr>
        <w:br/>
        <w:t>0.72 ppmv = 720 ppbv methane</w:t>
      </w:r>
    </w:p>
    <w:p w14:paraId="3E7D5CD9" w14:textId="77777777" w:rsidR="000D6733" w:rsidRDefault="00000000">
      <w:r>
        <w:t>Accordingly, the calculated methane-surrogate alert threshold is only 2.16 ppmv above the established methane baseline, and the resulting required instrument detection limit is 0.72 ppmv, or 720 ppbv. These values are not independently selected thresholds proposed by HWOC. They are the direct mathematical result of applying the Discussion Draft’s 30 ppbv hydrogen sulfide value to the illustrative composition above.</w:t>
      </w:r>
    </w:p>
    <w:p w14:paraId="6A5FC726" w14:textId="77777777" w:rsidR="000D6733" w:rsidRDefault="00000000">
      <w:r>
        <w:t>This example demonstrates that the proposed methodology can convert a very low OEHHA ambient concentration into an extremely low methane-surrogate alert threshold and a sub-1-ppmv instrument detection requirement. Although the draft allows an operator to establish a site-specific methane baseline, establishing a baseline does not demonstrate that a field instrument can reliably detect a 2.16 ppmv increase above that baseline with the sensitivity, precision, and consistency required by the draft.</w:t>
      </w:r>
    </w:p>
    <w:p w14:paraId="7767E03B" w14:textId="77777777" w:rsidR="000D6733" w:rsidRDefault="00000000">
      <w:r>
        <w:t>Fence-line measurements are affected by changing wind direction, atmospheric dispersion, intermittent emissions, temperature, humidity, instrument drift, interferents, and ordinary short-term background variability. Under these conditions, an EDS may have difficulty continuously and reliably distinguishing such a small methane increase from normal fluctuations. This may generate nuisance alarms or apparent exceedances that cannot be reliably attributed to monitored equipment.</w:t>
      </w:r>
    </w:p>
    <w:p w14:paraId="6712390F" w14:textId="77777777" w:rsidR="000D6733" w:rsidRDefault="00000000">
      <w:r>
        <w:t xml:space="preserve">The concern demonstrated by the example is the unrealistic operational result produced when the draft’s 30 ppbv hydrogen sulfide value is applied to an upstream gas composition and then combined </w:t>
      </w:r>
      <w:r>
        <w:lastRenderedPageBreak/>
        <w:t>with the requirement for an instrument detection limit three times below the calculated methane alert threshold. The final rule should evaluate the reliability of the resulting field measurement requirement rather than assuming that a mathematically derived threshold is technically achievable.</w:t>
      </w:r>
    </w:p>
    <w:p w14:paraId="4123D794" w14:textId="77777777" w:rsidR="000D6733" w:rsidRDefault="00000000">
      <w:r>
        <w:t>Repeated nonactionable alarms would consume operator and agency resources, reduce confidence in the alarm system, and potentially obscure releases that warrant meaningful investigation. A threshold may be mathematically derived from the proposed methodology without being technically reliable or operationally useful as a continuous outdoor alarm.</w:t>
      </w:r>
    </w:p>
    <w:p w14:paraId="17122E85" w14:textId="77777777" w:rsidR="000D6733" w:rsidRDefault="00000000">
      <w:r>
        <w:rPr>
          <w:b/>
        </w:rPr>
        <w:t xml:space="preserve">Requested revision. </w:t>
      </w:r>
      <w:r>
        <w:t>CARB should evaluate the methane alert thresholds and corresponding instrument detection limits that the proposed methodology would produce using representative upstream oil and gas compositions. Before adopting the final standards, CARB should demonstrate that commercially available EDS technology can reliably:</w:t>
      </w:r>
    </w:p>
    <w:p w14:paraId="2F8F716B" w14:textId="77777777" w:rsidR="000D6733" w:rsidRDefault="00000000">
      <w:pPr>
        <w:spacing w:after="60"/>
        <w:ind w:left="403" w:hanging="288"/>
      </w:pPr>
      <w:r>
        <w:t>1. Detect a 2.16 ppmv or similarly calculated methane increase above an established outdoor baseline;</w:t>
      </w:r>
    </w:p>
    <w:p w14:paraId="2CFEEC31" w14:textId="77777777" w:rsidR="000D6733" w:rsidRDefault="00000000">
      <w:pPr>
        <w:spacing w:after="60"/>
        <w:ind w:left="403" w:hanging="288"/>
      </w:pPr>
      <w:r>
        <w:t>2. Achieve the resulting 0.72 ppmv detection limit;</w:t>
      </w:r>
    </w:p>
    <w:p w14:paraId="4AB7D0DE" w14:textId="77777777" w:rsidR="000D6733" w:rsidRDefault="00000000">
      <w:pPr>
        <w:spacing w:after="60"/>
        <w:ind w:left="403" w:hanging="288"/>
      </w:pPr>
      <w:r>
        <w:t>3. Maintain the required precision at the calculated alert threshold under actual field conditions; and</w:t>
      </w:r>
    </w:p>
    <w:p w14:paraId="08D4AFEA" w14:textId="77777777" w:rsidR="000D6733" w:rsidRDefault="00000000">
      <w:pPr>
        <w:spacing w:after="60"/>
        <w:ind w:left="403" w:hanging="288"/>
      </w:pPr>
      <w:r>
        <w:t>4. Distinguish facility emissions from normal background variability without generating excessive nuisance or nonactionable alarms.</w:t>
      </w:r>
    </w:p>
    <w:p w14:paraId="626D609F" w14:textId="77777777" w:rsidR="000D6733" w:rsidRDefault="00000000">
      <w:r>
        <w:t>Where a calculated threshold cannot be reliably measured under field conditions, reliably distinguished from background variability, or maintained within the required precision criteria, the regulation should allow a practical minimum threshold, confirmatory monitoring, direct-source detection, or another technically achievable monitoring approach.</w:t>
      </w:r>
    </w:p>
    <w:p w14:paraId="1920B1F2" w14:textId="77777777" w:rsidR="000D6733" w:rsidRDefault="00000000">
      <w:pPr>
        <w:pStyle w:val="Heading2"/>
      </w:pPr>
      <w:r>
        <w:t>6. Laboratories and independent parties need objective competency standards</w:t>
      </w:r>
    </w:p>
    <w:p w14:paraId="16573FE6" w14:textId="77777777" w:rsidR="000D6733" w:rsidRDefault="00000000">
      <w:r>
        <w:rPr>
          <w:b/>
        </w:rPr>
        <w:t xml:space="preserve">Draft provision: </w:t>
      </w:r>
      <w:r>
        <w:t>§§ 93502(a)(15), (29), and 93504(b)(1)</w:t>
      </w:r>
    </w:p>
    <w:p w14:paraId="2C3B09C3" w14:textId="77777777" w:rsidR="000D6733" w:rsidRDefault="00000000">
      <w:r>
        <w:t>The definitions allow a research institution, educational institution, vendor, consultant, or laboratory to qualify based only on undefined “relevant technical training and experience.” This is inconsistent with the rule’s reliance on highly consequential trace-level composition data and creates uneven quality expectations. It also leaves operators and reviewers without objective criteria for determining competency.</w:t>
      </w:r>
    </w:p>
    <w:p w14:paraId="6FF241F2" w14:textId="77777777" w:rsidR="000D6733" w:rsidRDefault="00000000">
      <w:r>
        <w:rPr>
          <w:b/>
        </w:rPr>
        <w:t>Requested revision.</w:t>
      </w:r>
      <w:r>
        <w:t xml:space="preserve"> Use objective, method-based data-quality criteria appropriate to the work performed, such as method proficiency, calibration traceability, chain of custody where applicable, and documented quality controls. Accept accreditation, demonstrated method competency, or other equivalent evidence, and do not require a new accreditation, certification, or limited class of service provider where the work can be shown to meet the prescribed method and data-quality objectives. Apply the same performance criteria regardless of whether the work is performed by a university, commercial laboratory, vendor, consultant, or qualified in-house personnel where permitted.</w:t>
      </w:r>
    </w:p>
    <w:p w14:paraId="3BD8E563" w14:textId="77777777" w:rsidR="000D6733" w:rsidRDefault="00000000">
      <w:pPr>
        <w:pStyle w:val="Heading2"/>
      </w:pPr>
      <w:r>
        <w:t>7. CARB must demonstrate that required ambient thresholds are commercially measurable</w:t>
      </w:r>
    </w:p>
    <w:p w14:paraId="0AE4E634" w14:textId="77777777" w:rsidR="000D6733" w:rsidRDefault="00000000">
      <w:r>
        <w:rPr>
          <w:b/>
        </w:rPr>
        <w:t xml:space="preserve">Draft provision: </w:t>
      </w:r>
      <w:r>
        <w:t>§ 93504(d)</w:t>
      </w:r>
    </w:p>
    <w:p w14:paraId="0A600733" w14:textId="77777777" w:rsidR="000D6733" w:rsidRDefault="00000000">
      <w:r>
        <w:t>The EDS must have a detection limit at least three times below the alert threshold, manufacturer precision within ±15 percent at the threshold, and quarterly field precision within ±25 percent. When methane is used as a surrogate for a low-REL constituent, the resulting threshold may be below the reliable quantitation range of available field methane sensors or too low to be reliably distinguished from normal short-term baseline variability. A paper specification is not evidence that equipment can sustain this performance outdoors across temperature, humidity, wind, dust, and interferent conditions.</w:t>
      </w:r>
    </w:p>
    <w:p w14:paraId="2100ECBF" w14:textId="77777777" w:rsidR="000D6733" w:rsidRDefault="00000000">
      <w:r>
        <w:rPr>
          <w:b/>
        </w:rPr>
        <w:t>Requested revision.</w:t>
      </w:r>
      <w:r>
        <w:t xml:space="preserve"> Before adoption, publish a technology-feasibility assessment identifying commercially available systems that meet the combined sensitivity, precision, time-resolution, </w:t>
      </w:r>
      <w:r>
        <w:lastRenderedPageBreak/>
        <w:t>environmental, uptime, and calibration requirements. Where no qualified technology can reliably meet a calculated threshold, allow the operator to select an approved alternative-performance pathway—such as direct-source detection, confirmatory monitoring, an adjusted averaging approach, or a risk-based minimum practical threshold. An alternative should replace the infeasible requirement and should not become an additional monitoring layer unless the operator proposes it or the agency demonstrates that it is necessary to satisfy an express statutory requirement.</w:t>
      </w:r>
    </w:p>
    <w:p w14:paraId="3B871E39" w14:textId="77777777" w:rsidR="000D6733" w:rsidRDefault="00000000">
      <w:pPr>
        <w:pStyle w:val="Heading2"/>
      </w:pPr>
      <w:r>
        <w:t>8. The alarm timing and averaging requirements are internally inconsistent</w:t>
      </w:r>
    </w:p>
    <w:p w14:paraId="499F4B72" w14:textId="77777777" w:rsidR="000D6733" w:rsidRDefault="00000000">
      <w:r>
        <w:rPr>
          <w:b/>
        </w:rPr>
        <w:t xml:space="preserve">Draft provision: </w:t>
      </w:r>
      <w:r>
        <w:t>§§ 93502(a)(5), 93504(e)(3)(C), and 93504(j)(1)</w:t>
      </w:r>
    </w:p>
    <w:p w14:paraId="7F1E2CFA" w14:textId="77777777" w:rsidR="000D6733" w:rsidRDefault="00000000">
      <w:r>
        <w:t>The draft allows a one-hour averaging time but requires notification no later than 15 minutes after an exceedance. It does not state whether the one-hour value is a completed clock-hour average, a rolling average, or a projected value. A completed one-hour average cannot be known 15 minutes after the exposure interval begins. Different implementations will produce inconsistent alarms.</w:t>
      </w:r>
    </w:p>
    <w:p w14:paraId="43B0677C" w14:textId="77777777" w:rsidR="000D6733" w:rsidRDefault="00000000">
      <w:r>
        <w:rPr>
          <w:b/>
        </w:rPr>
        <w:t>Requested revision.</w:t>
      </w:r>
      <w:r>
        <w:t xml:space="preserve"> Define the averaging convention, minimum data completeness, timestamp, and alarm decision logic. If rolling averages are intended, specify update frequency and treatment of missing data. Do not require an averaging period shorter than the health benchmark or approved detection method supports. Permit a shorter averaging period at the operator’s option where the sensor can meet the required detection limit and precision at that averaging time.</w:t>
      </w:r>
    </w:p>
    <w:p w14:paraId="617ED2D7" w14:textId="77777777" w:rsidR="000D6733" w:rsidRDefault="00000000">
      <w:pPr>
        <w:pStyle w:val="Heading2"/>
      </w:pPr>
      <w:r>
        <w:t>9. EDS availability and sensor-replacement calculations are undefined</w:t>
      </w:r>
    </w:p>
    <w:p w14:paraId="596B774B" w14:textId="77777777" w:rsidR="000D6733" w:rsidRDefault="00000000">
      <w:r>
        <w:rPr>
          <w:b/>
        </w:rPr>
        <w:t xml:space="preserve">Draft provision: </w:t>
      </w:r>
      <w:r>
        <w:t>§ 93504(c)(2)</w:t>
      </w:r>
    </w:p>
    <w:p w14:paraId="0ACC5563" w14:textId="77777777" w:rsidR="000D6733" w:rsidRDefault="00000000">
      <w:r>
        <w:t>Operational downtime begins whenever a sensor or monitor fails to collect or transmit data or is out of control. The draft does not adequately distinguish between the availability of an individual device and the availability of the EDS monitoring function. For a large network, the failure of one redundant or noncritical sensor could potentially cause the entire EDS to be counted as unavailable even when the system continues to provide the required detection coverage of sources and sensitive receptors.</w:t>
      </w:r>
    </w:p>
    <w:p w14:paraId="5BF461F9" w14:textId="77777777" w:rsidR="000D6733" w:rsidRDefault="00000000">
      <w:r>
        <w:t>The draft also does not explain how availability must be calculated when a sensor is replaced during a reporting period. For example, if an existing sensor experiences 15 percent downtime during a month and is then replaced with a new device, it is unclear whether the new sensor inherits the retired sensor’s accumulated downtime or begins a new availability calculation when it is installed and placed into service.</w:t>
      </w:r>
    </w:p>
    <w:p w14:paraId="495F7156" w14:textId="77777777" w:rsidR="000D6733" w:rsidRDefault="00000000">
      <w:r>
        <w:t>Requiring a newly installed unit to inherit downtime accumulated by the retired unit would inaccurately characterize the new device as unavailable during a period when it was not yet installed or required to operate. It would also reduce the operational benefit of promptly replacing unreliable equipment because the prior unit’s downtime could continue to affect the replacement unit’s availability for the remainder of the month or rolling calculation period.</w:t>
      </w:r>
    </w:p>
    <w:p w14:paraId="6D8BCEF3" w14:textId="77777777" w:rsidR="000D6733" w:rsidRDefault="00000000">
      <w:r>
        <w:t>The appropriate calculation should distinguish between device history and continuity of EDS coverage. The retired sensor’s failure and downtime should remain documented in its historical record. However, the replacement sensor’s availability should begin at the date and time it is installed, commissioned, and placed into service. Any actual gap in required detection coverage between the failure of the original sensor and activation of the replacement should count as EDS downtime unless an equivalent redundant or temporary device maintained the required coverage.</w:t>
      </w:r>
    </w:p>
    <w:p w14:paraId="278F30E5" w14:textId="77777777" w:rsidR="000D6733" w:rsidRDefault="00000000">
      <w:r>
        <w:t>The same uncertainty applies when a temporary substitute, redundant sensor, or portable monitor maintains coverage during repair or replacement. The draft does not state whether equivalent substitute coverage prevents EDS downtime, how overlapping operation should be treated, or what documentation is necessary to demonstrate continuity.</w:t>
      </w:r>
    </w:p>
    <w:p w14:paraId="3B539B55" w14:textId="77777777" w:rsidR="000D6733" w:rsidRDefault="00000000">
      <w:r>
        <w:rPr>
          <w:b/>
        </w:rPr>
        <w:lastRenderedPageBreak/>
        <w:t xml:space="preserve">Requested revision. </w:t>
      </w:r>
      <w:r>
        <w:t>Measure EDS availability based on whether the required detection coverage and performance were maintained for the applicable monitoring zone. Establish separate rules for the availability history of individual devices and the continuity of the overall EDS monitoring function. The regulation should specify that:</w:t>
      </w:r>
    </w:p>
    <w:p w14:paraId="117AD310" w14:textId="77777777" w:rsidR="000D6733" w:rsidRDefault="00000000">
      <w:pPr>
        <w:spacing w:after="60"/>
        <w:ind w:left="403" w:hanging="288"/>
      </w:pPr>
      <w:r>
        <w:t>1. A replacement sensor’s availability calculation begins when the unit is installed, commissioned, and placed into service.</w:t>
      </w:r>
    </w:p>
    <w:p w14:paraId="2FFFD5B8" w14:textId="77777777" w:rsidR="000D6733" w:rsidRDefault="00000000">
      <w:pPr>
        <w:spacing w:after="60"/>
        <w:ind w:left="403" w:hanging="288"/>
      </w:pPr>
      <w:r>
        <w:t>2. The replacement sensor does not inherit downtime accumulated by the retired sensor before installation.</w:t>
      </w:r>
    </w:p>
    <w:p w14:paraId="04B6C392" w14:textId="77777777" w:rsidR="000D6733" w:rsidRDefault="00000000">
      <w:pPr>
        <w:spacing w:after="60"/>
        <w:ind w:left="403" w:hanging="288"/>
      </w:pPr>
      <w:r>
        <w:t>3. The retired sensor’s downtime remains documented as part of that device’s historical operating record.</w:t>
      </w:r>
    </w:p>
    <w:p w14:paraId="727975B4" w14:textId="77777777" w:rsidR="000D6733" w:rsidRDefault="00000000">
      <w:pPr>
        <w:spacing w:after="60"/>
        <w:ind w:left="403" w:hanging="288"/>
      </w:pPr>
      <w:r>
        <w:t>4. Any actual period during which required detection coverage was lost between failure and replacement counts as EDS downtime.</w:t>
      </w:r>
    </w:p>
    <w:p w14:paraId="38A5670A" w14:textId="77777777" w:rsidR="000D6733" w:rsidRDefault="00000000">
      <w:pPr>
        <w:spacing w:after="60"/>
        <w:ind w:left="403" w:hanging="288"/>
      </w:pPr>
      <w:r>
        <w:t>5. No EDS downtime is assessed when a redundant, temporary, portable, or replacement device maintains functionally equivalent required coverage and performance. Use of such substitute coverage should not require advance case-specific agency approval when it is documented and consistent with the approved LDRP or QAPP.</w:t>
      </w:r>
    </w:p>
    <w:p w14:paraId="3C6EACCC" w14:textId="77777777" w:rsidR="000D6733" w:rsidRDefault="00000000">
      <w:pPr>
        <w:spacing w:after="60"/>
        <w:ind w:left="403" w:hanging="288"/>
      </w:pPr>
      <w:r>
        <w:t>6. Overlapping operation during commissioning is not double-counted, and the transition time between devices is clearly documented.</w:t>
      </w:r>
    </w:p>
    <w:p w14:paraId="7CE7D07E" w14:textId="77777777" w:rsidR="000D6733" w:rsidRDefault="00000000">
      <w:pPr>
        <w:spacing w:after="60"/>
        <w:ind w:left="403" w:hanging="288"/>
      </w:pPr>
      <w:r>
        <w:t>7. Planned maintenance is treated as downtime only when it results in the loss of required detection coverage.</w:t>
      </w:r>
    </w:p>
    <w:p w14:paraId="64366F6D" w14:textId="77777777" w:rsidR="000D6733" w:rsidRDefault="00000000">
      <w:r>
        <w:t>CARB should provide worked examples addressing mid-month replacement, temporary substitution, overlapping commissioning, redundant coverage, communications failures, and partial loss of a multi-sensor network. The final regulation should ensure that historical downtime is accurately documented without causing that downtime to persist against a newly installed and fully operational replacement unit.</w:t>
      </w:r>
    </w:p>
    <w:p w14:paraId="175D99F8" w14:textId="77777777" w:rsidR="000D6733" w:rsidRDefault="00000000">
      <w:pPr>
        <w:pStyle w:val="Heading2"/>
      </w:pPr>
      <w:r>
        <w:t>10. Baseline requirements are statistically weak and operationally circular</w:t>
      </w:r>
    </w:p>
    <w:p w14:paraId="7CE86BBF" w14:textId="77777777" w:rsidR="000D6733" w:rsidRDefault="00000000">
      <w:r>
        <w:rPr>
          <w:b/>
        </w:rPr>
        <w:t xml:space="preserve">Draft provision: </w:t>
      </w:r>
      <w:r>
        <w:t>§ 93504(g)</w:t>
      </w:r>
    </w:p>
    <w:p w14:paraId="7B7A887A" w14:textId="77777777" w:rsidR="000D6733" w:rsidRDefault="00000000">
      <w:r>
        <w:t>The arithmetic mean of hourly measurements is sensitive to outliers and seasonal variation and is not necessarily a suitable alarm baseline. The rule also requires operators to exclude “leaks” while simultaneously using the data to determine what is anomalous, creating circular classification. A 12-month baseline delays final threshold setting, yet the EDS must detect and report leaks during that same period. “Quantifiably resolved” from temporal variation is undefined.</w:t>
      </w:r>
    </w:p>
    <w:p w14:paraId="26D2A788" w14:textId="77777777" w:rsidR="000D6733" w:rsidRDefault="00000000">
      <w:r>
        <w:rPr>
          <w:b/>
        </w:rPr>
        <w:t>Requested revision.</w:t>
      </w:r>
      <w:r>
        <w:t xml:space="preserve"> Allow the operator to select and justify a statistically appropriate baseline method, including percentiles, median and median absolute deviation, seasonally stratified methods, or validated adaptive baselines. Provide flexible criteria for excluding or quality-flagging suspected leaks, maintenance, regional methane events, wildfire smoke, agricultural sources, and missing data without requiring exhaustive source attribution for every anomalous value. Establish a workable interim-threshold method before startup and objective criteria for resolving thresholds from background variability.</w:t>
      </w:r>
    </w:p>
    <w:p w14:paraId="7A71E5F1" w14:textId="77777777" w:rsidR="000D6733" w:rsidRDefault="00000000">
      <w:pPr>
        <w:pStyle w:val="Heading2"/>
      </w:pPr>
      <w:r>
        <w:t>11. Modeling should allow representative source grouping and credible maximum scenarios</w:t>
      </w:r>
    </w:p>
    <w:p w14:paraId="7E8F5113" w14:textId="77777777" w:rsidR="000D6733" w:rsidRDefault="00000000">
      <w:r>
        <w:rPr>
          <w:b/>
        </w:rPr>
        <w:t xml:space="preserve">Draft provision: </w:t>
      </w:r>
      <w:r>
        <w:t>§§ 93504(e), (f), and (h)</w:t>
      </w:r>
    </w:p>
    <w:p w14:paraId="5B262FED" w14:textId="77777777" w:rsidR="000D6733" w:rsidRDefault="00000000">
      <w:r>
        <w:t xml:space="preserve">As written, AERMOD analyses may be interpreted to require separate scenarios for every EDS, piece of equipment, operating state, and receptor. Closely spaced sensors and similar sources could generate hundreds of duplicative scenarios per receptor. The draft does not define credible leak </w:t>
      </w:r>
      <w:r>
        <w:lastRenderedPageBreak/>
        <w:t>parameters, release geometry, temperature, duration, intermittent winds, or how uncertainty affects an inverse calculation of the REL-level leak rate.</w:t>
      </w:r>
    </w:p>
    <w:p w14:paraId="630971D6" w14:textId="77777777" w:rsidR="000D6733" w:rsidRDefault="00000000">
      <w:r>
        <w:rPr>
          <w:b/>
        </w:rPr>
        <w:t>Requested revision.</w:t>
      </w:r>
      <w:r>
        <w:t xml:space="preserve"> Authorize representative source grouping for equipment with comparable location, release characteristics, and composition. Publish standardized modeling protocols and optional screening parameters. Allow operators to use actual design limits, operating data, engineering calculations, or other technically supported inputs to define a reasonably foreseeable release case; default assumptions should not be mandatory where they materially overstate physically possible emissions. Permit simple screening before refined modeling and require additional scenarios only when the agency demonstrates that they could materially change siting or thresholds.</w:t>
      </w:r>
    </w:p>
    <w:p w14:paraId="7C60F74E" w14:textId="77777777" w:rsidR="000D6733" w:rsidRDefault="00000000">
      <w:pPr>
        <w:pStyle w:val="Heading2"/>
      </w:pPr>
      <w:r>
        <w:t>12. The 90-percent detection criterion is not sufficiently defined or verifiable</w:t>
      </w:r>
    </w:p>
    <w:p w14:paraId="2EFC6000" w14:textId="77777777" w:rsidR="000D6733" w:rsidRDefault="00000000">
      <w:r>
        <w:rPr>
          <w:b/>
        </w:rPr>
        <w:t xml:space="preserve">Draft provision: </w:t>
      </w:r>
      <w:r>
        <w:t>§ 93504(e)(2)(A)2</w:t>
      </w:r>
    </w:p>
    <w:p w14:paraId="22FBB2CC" w14:textId="77777777" w:rsidR="000D6733" w:rsidRDefault="00000000">
      <w:r>
        <w:t>A requirement to detect at least 90 percent of qualifying leaks transported toward sensitive receptors does not specify the denominator, meteorological period, plume model, sensor availability, calm-wind treatment, or validation method. Because point sensors sample only their immediate locations, achieving a fixed percentage under variable wind direction and atmospheric stability may require an impractical number of sensors and still be impossible to verify empirically.</w:t>
      </w:r>
    </w:p>
    <w:p w14:paraId="2D070AEF" w14:textId="77777777" w:rsidR="000D6733" w:rsidRDefault="00000000">
      <w:r>
        <w:rPr>
          <w:b/>
        </w:rPr>
        <w:t>Requested revision.</w:t>
      </w:r>
      <w:r>
        <w:t xml:space="preserve"> Define a reproducible coverage calculation using a published agency protocol and representative meteorological dataset. Allow performance to be shown through operator-selected methods such as modeled coverage, redundant technologies, source grouping, or risk-based placement. Provide an alternative-compliance pathway where terrain, access, wind variability, safety, property-control limitations, or technology capability prevents demonstration of 90-percent coverage despite technically reasonable siting. The rule should not presume that adding sensors is required when doing so would not materially improve verifiable coverage.</w:t>
      </w:r>
    </w:p>
    <w:p w14:paraId="023B4FF7" w14:textId="77777777" w:rsidR="000D6733" w:rsidRDefault="00000000">
      <w:pPr>
        <w:pStyle w:val="Heading2"/>
      </w:pPr>
      <w:r>
        <w:t>13. Mandatory upwind and downwind monitoring lacks a risk nexus for sources below a health-based impact level</w:t>
      </w:r>
    </w:p>
    <w:p w14:paraId="387761BD" w14:textId="77777777" w:rsidR="000D6733" w:rsidRDefault="00000000">
      <w:r>
        <w:rPr>
          <w:b/>
        </w:rPr>
        <w:t xml:space="preserve">Draft provision: </w:t>
      </w:r>
      <w:r>
        <w:t>§ 93504(e)(2)(B)</w:t>
      </w:r>
    </w:p>
    <w:p w14:paraId="56ED738A" w14:textId="77777777" w:rsidR="000D6733" w:rsidRDefault="00000000">
      <w:r>
        <w:t>The draft requires continuous upwind and downwind sensors even when the operator demonstrates that monitored equipment cannot physically release at a rate capable of causing a health-based threshold exceedance at a sensitive receptor. That result is disconnected from the stated objective of preventing receptor impacts. An upwind monitor may be useful for background attribution, but its purpose and required relationship to each EDS are not explained.</w:t>
      </w:r>
    </w:p>
    <w:p w14:paraId="6E766AD8" w14:textId="77777777" w:rsidR="000D6733" w:rsidRDefault="00000000">
      <w:r>
        <w:rPr>
          <w:b/>
        </w:rPr>
        <w:t>Requested revision.</w:t>
      </w:r>
      <w:r>
        <w:t xml:space="preserve"> Allow exclusion from continuous EDS monitoring, or a reduced alternative, when available engineering information demonstrates that the physical source capacity cannot cause the applicable concentration- and duration-specific health benchmark at a sensitive receptor. Permit that showing to rely on design capacity, operating limits, existing measurements, representative screening calculations, or modeling at the operator’s option; do not require refined modeling where a simpler demonstration is sufficient. Where background monitoring is necessary, allow a representative centrally located meteorological or upwind station shared by multiple EDS monitoring zones if it meets siting and data-quality objectives.</w:t>
      </w:r>
    </w:p>
    <w:p w14:paraId="4FEDC805" w14:textId="77777777" w:rsidR="000D6733" w:rsidRDefault="00000000">
      <w:pPr>
        <w:pStyle w:val="Heading2"/>
      </w:pPr>
      <w:r>
        <w:t>14. Public notification should be tied to actual potential community impact and the statutory sequence</w:t>
      </w:r>
    </w:p>
    <w:p w14:paraId="701F42DA" w14:textId="77777777" w:rsidR="000D6733" w:rsidRDefault="00000000">
      <w:r>
        <w:rPr>
          <w:b/>
        </w:rPr>
        <w:t xml:space="preserve">Draft provision: </w:t>
      </w:r>
      <w:r>
        <w:t>§ 93503, final paragraph; compare Public Resources Code § 3283(b)</w:t>
      </w:r>
    </w:p>
    <w:p w14:paraId="7A5499A1" w14:textId="77777777" w:rsidR="000D6733" w:rsidRDefault="00000000">
      <w:r>
        <w:t xml:space="preserve">The draft requires a response plan for community and emergency-service notification “if needed” when an alert indicates that a toxic is “likely” to impact a sensitive receptor, but neither term is defined. A </w:t>
      </w:r>
      <w:r>
        <w:lastRenderedPageBreak/>
        <w:t>monitor near equipment may alarm while the nearest receptor is much farther away and modeled concentrations at that receptor remain below the applicable health benchmark. Premature public notice without actionable information may create unnecessary alarm. Section 3283(b) specifically requires a communication plan when a source is not identified and stopped within 48 hours, while also preserving other applicable hazardous-release reporting duties.</w:t>
      </w:r>
    </w:p>
    <w:p w14:paraId="1A96C02F" w14:textId="77777777" w:rsidR="000D6733" w:rsidRDefault="00000000">
      <w:r>
        <w:rPr>
          <w:b/>
        </w:rPr>
        <w:t>Requested revision.</w:t>
      </w:r>
      <w:r>
        <w:t xml:space="preserve"> Define objective notification triggers based on the totality of available information, which may include source attribution, wind direction, duration, receptor location, measured concentration, screening or modeled information when already available, and independently applicable emergency-release thresholds. Do not require real-time dispersion modeling, receptor monitoring, or definitive source attribution as a new condition of every alert response. Clarify that an equipment-area alert alone does not require community notice absent a reasonable indication of receptor impact, while preserving immediate reporting independently required by law and the statutory 48-hour communication-plan requirement.</w:t>
      </w:r>
    </w:p>
    <w:p w14:paraId="245786F2" w14:textId="77777777" w:rsidR="000D6733" w:rsidRDefault="00000000">
      <w:pPr>
        <w:pStyle w:val="Heading2"/>
      </w:pPr>
      <w:r>
        <w:t>15. Maps and equipment identifiers should be limited to information that serves siting and response</w:t>
      </w:r>
    </w:p>
    <w:p w14:paraId="4CE0AA69" w14:textId="77777777" w:rsidR="000D6733" w:rsidRDefault="00000000">
      <w:r>
        <w:rPr>
          <w:b/>
        </w:rPr>
        <w:t xml:space="preserve">Draft provision: </w:t>
      </w:r>
      <w:r>
        <w:t>§§ 93504(b)(4)(F), (f)(1)(D), and (m)(2), (7)(E)</w:t>
      </w:r>
    </w:p>
    <w:p w14:paraId="61F65655" w14:textId="77777777" w:rsidR="000D6733" w:rsidRDefault="00000000">
      <w:r>
        <w:t>Maps showing every well, line, vessel, compressor, road, access way, contiguous structure, monitor, receptor, and obstruction across a 3,200-foot area or half-mile radius may be unreadable and duplicative of modeling files. Requiring five-decimal-degree coordinates implies roughly meter-scale precision without explaining its value. WellSTAR and Cal e-GGRT equipment identifiers may not exist or may lag agency approval, creating compliance risk unrelated to detection performance.</w:t>
      </w:r>
    </w:p>
    <w:p w14:paraId="425AF310" w14:textId="77777777" w:rsidR="000D6733" w:rsidRDefault="00000000">
      <w:r>
        <w:rPr>
          <w:b/>
        </w:rPr>
        <w:t xml:space="preserve">Requested revision. </w:t>
      </w:r>
      <w:r>
        <w:t>Require layered electronic maps at an appropriate scale and allow cross-referenced source-group inventories. Limit coordinates and identifiers to the precision and systems necessary for reproducible siting and emergency response. Permit operator equipment IDs where agency database IDs are unavailable, pending, or not maintained at the component level.</w:t>
      </w:r>
    </w:p>
    <w:p w14:paraId="362B9424" w14:textId="77777777" w:rsidR="000D6733" w:rsidRDefault="00000000">
      <w:pPr>
        <w:pStyle w:val="Heading2"/>
      </w:pPr>
      <w:r>
        <w:t>16. Operators should not be required to revalidate EDS technology through original field studies</w:t>
      </w:r>
    </w:p>
    <w:p w14:paraId="40DEEF10" w14:textId="77777777" w:rsidR="000D6733" w:rsidRDefault="00000000">
      <w:r>
        <w:rPr>
          <w:b/>
        </w:rPr>
        <w:t xml:space="preserve">Draft provision: </w:t>
      </w:r>
      <w:r>
        <w:t>§ 93504(m)(7)(C)</w:t>
      </w:r>
    </w:p>
    <w:p w14:paraId="43860550" w14:textId="77777777" w:rsidR="000D6733" w:rsidRDefault="00000000">
      <w:r>
        <w:t>The provision appears to shift basic technology qualification from CARB and CalGEM to each operator by requesting controlled-release testing or other field-based validation under representative operating conditions. Repeating original validation for the same commercial technology is duplicative, costly, and may create safety, air-permitting, and controlled-release concerns.</w:t>
      </w:r>
    </w:p>
    <w:p w14:paraId="0786B95D" w14:textId="77777777" w:rsidR="000D6733" w:rsidRDefault="00000000">
      <w:r>
        <w:rPr>
          <w:b/>
        </w:rPr>
        <w:t>Requested revision.</w:t>
      </w:r>
      <w:r>
        <w:t xml:space="preserve"> CARB should establish uniform technology-qualification criteria and permit reliance on manufacturer data, independent third-party validation, published studies, agency testing, or prior approval of the same system. Operators should not be required to conduct controlled releases. If additional validation is necessary, it should use non-release methods where practicable or be conducted through an agency-developed technology-qualification program under a standardized protocol with all necessary safety and permitting safeguards.</w:t>
      </w:r>
    </w:p>
    <w:p w14:paraId="5681DC75" w14:textId="77777777" w:rsidR="000D6733" w:rsidRDefault="00000000">
      <w:pPr>
        <w:pStyle w:val="Heading2"/>
      </w:pPr>
      <w:r>
        <w:t>17. Independent audit frequency and “material modification” need proportionality and definition</w:t>
      </w:r>
    </w:p>
    <w:p w14:paraId="4EF34CC5" w14:textId="77777777" w:rsidR="000D6733" w:rsidRDefault="00000000">
      <w:r>
        <w:rPr>
          <w:b/>
        </w:rPr>
        <w:t xml:space="preserve">Draft provision: </w:t>
      </w:r>
      <w:r>
        <w:t>§ 93504(n)</w:t>
      </w:r>
    </w:p>
    <w:p w14:paraId="66D4FA5B" w14:textId="77777777" w:rsidR="000D6733" w:rsidRDefault="00000000">
      <w:r>
        <w:t xml:space="preserve">Audits within 12 months, every 36 months, and within three months of any material modification can create repeated audit expense for routine facility changes. “Material modification” is undefined, and the </w:t>
      </w:r>
      <w:r>
        <w:lastRenderedPageBreak/>
        <w:t>three-month deadline may be shorter than the time necessary to collect representative data. The regulation also does not allow a single audit to cover common systems across multiple nearby facilities.</w:t>
      </w:r>
    </w:p>
    <w:p w14:paraId="13955844" w14:textId="77777777" w:rsidR="000D6733" w:rsidRDefault="00000000">
      <w:r>
        <w:rPr>
          <w:b/>
        </w:rPr>
        <w:t>Requested revision.</w:t>
      </w:r>
      <w:r>
        <w:t xml:space="preserve"> Define material modification as a change reasonably expected to materially degrade or invalidate approved EDS coverage, thresholds, or data quality. Exclude like-kind replacements, routine maintenance, software or communications changes that do not reduce performance, and minor source changes. Do not require audits more frequently than the stated cycle based solely on facility risk. Allow coordinated multi-facility audits, reliance on common system and QAPP elements, remote or records-based review where appropriate, and extensions where representative data or corrective work cannot reasonably be completed within the prescribed period.</w:t>
      </w:r>
    </w:p>
    <w:p w14:paraId="6367EF0F" w14:textId="77777777" w:rsidR="000D6733" w:rsidRDefault="00000000">
      <w:pPr>
        <w:pStyle w:val="Heading2"/>
      </w:pPr>
      <w:r>
        <w:t>18. Personnel-qualification requirements should be limited to equipment installation and maintenance</w:t>
      </w:r>
    </w:p>
    <w:p w14:paraId="254B01CB" w14:textId="77777777" w:rsidR="000D6733" w:rsidRDefault="00000000">
      <w:r>
        <w:rPr>
          <w:b/>
        </w:rPr>
        <w:t xml:space="preserve">Draft provision: </w:t>
      </w:r>
      <w:r>
        <w:t>§ 93504(m)(9)</w:t>
      </w:r>
    </w:p>
    <w:p w14:paraId="49909F70" w14:textId="77777777" w:rsidR="000D6733" w:rsidRDefault="00000000">
      <w:r>
        <w:t>The draft requires identification and qualification information for plan authors, modelers, and numerous other personnel involved in preparing the LDRP. These disclosures are unnecessary for work that CalGEM and CARB are independently required to evaluate for regulatory compliance. The adequacy of an LDRP or supporting model should be determined by whether the submitted work uses the required methods, contains the required information, is technically supported, and complies with the final regulation—not by the résumé, academic background, or employment history of the person who prepared it.</w:t>
      </w:r>
    </w:p>
    <w:p w14:paraId="4C416B98" w14:textId="77777777" w:rsidR="000D6733" w:rsidRDefault="00000000">
      <w:r>
        <w:t>Requiring particular credentials for plan authors or modelers could improperly convert personnel qualifications into a substitute for substantive agency review. A model prepared by a highly credentialed consultant may still contain incorrect assumptions or fail to comply with the regulation, while technically sound work prepared by an experienced operator may fully satisfy every applicable requirement. In either case, CARB and CalGEM must evaluate the actual plan and modeling work.</w:t>
      </w:r>
    </w:p>
    <w:p w14:paraId="04C9933E" w14:textId="77777777" w:rsidR="000D6733" w:rsidRDefault="00000000">
      <w:r>
        <w:t>Accordingly, the qualifications relevant to determining whether those materials comply with the regulation are ultimately those of the agency personnel responsible for reviewing and approving them. If the regulation prescribes the required modeling methods, inputs, documentation, and performance criteria, the agencies should determine whether each submission satisfies those objective requirements without imposing separate credentialing restrictions on the individuals who developed it.</w:t>
      </w:r>
    </w:p>
    <w:p w14:paraId="44227004" w14:textId="77777777" w:rsidR="000D6733" w:rsidRDefault="00000000">
      <w:r>
        <w:t>Personnel qualifications have a more direct and defensible purpose where individuals physically install, commission, calibrate, inspect, repair, or maintain EDS and meteorological equipment. Competency in those activities can directly affect worker safety, equipment integrity, measurement accuracy, and continued system performance. Qualification requirements for those personnel should therefore be tied to the specific equipment and work performed, such as manufacturer training, applicable electrical or instrumentation qualifications, calibration proficiency, and documented experience with the relevant technology.</w:t>
      </w:r>
    </w:p>
    <w:p w14:paraId="78300FA8" w14:textId="77777777" w:rsidR="000D6733" w:rsidRDefault="00000000">
      <w:r>
        <w:rPr>
          <w:b/>
        </w:rPr>
        <w:t xml:space="preserve">Requested revision. </w:t>
      </w:r>
      <w:r>
        <w:t>Remove qualification-disclosure requirements for personnel who prepare the LDRP, conduct modeling, develop calculations, or otherwise author supporting technical materials. Evaluate those submissions solely against objective regulatory requirements, approved methods, documented assumptions, reproducibility, and technical accuracy.</w:t>
      </w:r>
    </w:p>
    <w:p w14:paraId="66D5A7CD" w14:textId="77777777" w:rsidR="000D6733" w:rsidRDefault="00000000">
      <w:r>
        <w:t>Limit operator personnel-qualification requirements to individuals performing safety- or performance-critical work involving the physical installation, commissioning, calibration, inspection, repair, or maintenance of EDS and meteorological equipment. Permit compliance through identification of qualified job classifications, contractors, or service providers rather than requiring personal biographies, residential addresses, or recurring disclosures for every individual.</w:t>
      </w:r>
    </w:p>
    <w:p w14:paraId="2D934269" w14:textId="77777777" w:rsidR="000D6733" w:rsidRDefault="00000000">
      <w:r>
        <w:lastRenderedPageBreak/>
        <w:t>CARB and CalGEM should also ensure that personnel assigned to review LDRPs and supporting models possess the technical qualifications necessary to evaluate the work consistently, including appropriate expertise in emissions-monitoring technology, air-dispersion modeling, data quality, oil and gas operations, and the requirements of the final regulation.</w:t>
      </w:r>
    </w:p>
    <w:p w14:paraId="05676EF2" w14:textId="77777777" w:rsidR="000D6733" w:rsidRDefault="00000000">
      <w:pPr>
        <w:pStyle w:val="Heading2"/>
      </w:pPr>
      <w:r>
        <w:t>19. Data retention should comply with the statute without duplicative device-level architecture</w:t>
      </w:r>
    </w:p>
    <w:p w14:paraId="6C17E140" w14:textId="77777777" w:rsidR="000D6733" w:rsidRDefault="00000000">
      <w:r>
        <w:rPr>
          <w:b/>
        </w:rPr>
        <w:t xml:space="preserve">Draft provision: </w:t>
      </w:r>
      <w:r>
        <w:t>§§ 93502(a)(5), 93504(i)(2), (k), and (m)(8)(L); Public Resources Code § 3283(f)</w:t>
      </w:r>
    </w:p>
    <w:p w14:paraId="6B293BF3" w14:textId="77777777" w:rsidR="000D6733" w:rsidRDefault="00000000">
      <w:r>
        <w:t>Public Resources Code section 3283(f) requires operators to maintain emissions and meteorological monitoring records for ten years. The draft separately requires each EDS and meteorological system to have five years of storage capability, while also requiring ten-year operator retention and extensive report generation. Requiring storage within every field instrument or vendor platform is not necessary if records are securely retained in a centralized system. Duplicative high-frequency datasets, processed values, reports, and backups can create substantial cost without additional informational value.</w:t>
      </w:r>
    </w:p>
    <w:p w14:paraId="27EDC21B" w14:textId="77777777" w:rsidR="000D6733" w:rsidRDefault="00000000">
      <w:r>
        <w:rPr>
          <w:b/>
        </w:rPr>
        <w:t>Requested revision.</w:t>
      </w:r>
      <w:r>
        <w:t xml:space="preserve"> Clarify that centralized historian or cloud storage satisfies system storage requirements; that field devices need only sufficient buffering to prevent data loss during reasonably foreseeable communications outages; and that one authoritative record set may satisfy overlapping provisions. Limit retained fields, resolution, metadata, and quality flags to the minimum information necessary to reproduce required reports and evaluate compliance. Permit reasonable compression and do not require retention of duplicative intermediate, vendor-proprietary, or transient processing data when the authoritative measurements, required quality information, and reports are preserved for the statutory period.</w:t>
      </w:r>
    </w:p>
    <w:p w14:paraId="673C3DC7" w14:textId="77777777" w:rsidR="000D6733" w:rsidRDefault="00000000">
      <w:pPr>
        <w:pStyle w:val="Heading2"/>
      </w:pPr>
      <w:r>
        <w:t>20. Agency review deadlines should support procurement and prevent suspension caused by agency delay</w:t>
      </w:r>
    </w:p>
    <w:p w14:paraId="0D1AEF6F" w14:textId="77777777" w:rsidR="000D6733" w:rsidRDefault="00000000">
      <w:r>
        <w:rPr>
          <w:b/>
        </w:rPr>
        <w:t xml:space="preserve">Draft provision: </w:t>
      </w:r>
      <w:r>
        <w:t>§ 93503(a)–(c) and (e)</w:t>
      </w:r>
    </w:p>
    <w:p w14:paraId="5D603DA1" w14:textId="77777777" w:rsidR="000D6733" w:rsidRDefault="00000000">
      <w:r>
        <w:t>The schedule gives CalGEM up to one year to approve a plan or issue deficiencies, followed by a fixed implementation deadline and mandatory suspension if an approved system is not fully implemented. Long or iterative agency review can delay final design and equipment procurement. Operators should not bear shutdown risk where they timely submitted a complete plan but agency review or concurrence remains pending.</w:t>
      </w:r>
    </w:p>
    <w:p w14:paraId="50292E31" w14:textId="77777777" w:rsidR="000D6733" w:rsidRDefault="00000000">
      <w:r>
        <w:rPr>
          <w:b/>
        </w:rPr>
        <w:t>Requested revision.</w:t>
      </w:r>
      <w:r>
        <w:t xml:space="preserve"> Add completeness review and response milestones, a defined consolidated-comment process, and prompt review of revised submittals. Toll or extend implementation deadlines for time attributable to agency review, changed agency direction, permitting, utility interconnection, equipment lead times outside the operator’s control, or other documented circumstances beyond the operator’s reasonable control. Provide a safe harbor from suspension for operators that timely submitted a complete plan and responded diligently. The safe harbor should not require an operator to make irreversible procurement commitments before the design and applicable requirements are sufficiently final or approved.</w:t>
      </w:r>
    </w:p>
    <w:p w14:paraId="56DDEC6F" w14:textId="77777777" w:rsidR="000D6733" w:rsidRDefault="00000000">
      <w:pPr>
        <w:pStyle w:val="Heading1"/>
      </w:pPr>
      <w:r>
        <w:t>Statutory Alignment</w:t>
      </w:r>
    </w:p>
    <w:p w14:paraId="1AC447FA" w14:textId="77777777" w:rsidR="000D6733" w:rsidRDefault="00000000">
      <w:r>
        <w:t xml:space="preserve">HWOC recognizes that Public Resources Code section 3283 expressly requires a continuously operating EDS, an alarm system, an appropriately sited meteorological system, a response protocol, public communication planning under specified circumstances, public-access methods, five-year LDRP updates, and ten-year operator record retention. These comments do not seek to remove those statutory elements. They request that CARB implement them through achievable, risk-connected </w:t>
      </w:r>
      <w:r>
        <w:lastRenderedPageBreak/>
        <w:t>performance standards and avoid adding prescriptive burdens that do not materially advance early leak detection or community protection.</w:t>
      </w:r>
    </w:p>
    <w:p w14:paraId="7709F9A4" w14:textId="77777777" w:rsidR="000D6733" w:rsidRDefault="00000000">
      <w:r>
        <w:t>Of particular concern, the statute authorizes CARB to set EDS performance standards and allows methane to serve as a surrogate for constituents that cannot be continuously monitored. The final rule should preserve that flexibility. If the calculated surrogate threshold cannot be reliably resolved by available technology, the regulation should allow another validated detection approach instead of turning an analytically derived number into an impossible equipment specification.</w:t>
      </w:r>
    </w:p>
    <w:p w14:paraId="54BAEEC8" w14:textId="77777777" w:rsidR="000D6733" w:rsidRDefault="00000000">
      <w:pPr>
        <w:pStyle w:val="Heading1"/>
      </w:pPr>
      <w:r>
        <w:t>Conclusion</w:t>
      </w:r>
    </w:p>
    <w:p w14:paraId="22673F35" w14:textId="77777777" w:rsidR="000D6733" w:rsidRDefault="00000000">
      <w:r>
        <w:t>HWOC respectfully requests that CARB and CalGEM revise the discussion draft, publish the technical and economic assumptions supporting the proposed standards, and provide worked examples for representative small and medium-sized upstream facilities before beginning formal rulemaking. A successful rule should generate actionable alarms, distinguish facility emissions from background, scale to dispersed oilfield operations, and direct resources toward sources capable of affecting surrounding communities.</w:t>
      </w:r>
    </w:p>
    <w:p w14:paraId="6DF091D8" w14:textId="77777777" w:rsidR="000D6733" w:rsidRDefault="00000000">
      <w:pPr>
        <w:pStyle w:val="Heading1"/>
      </w:pPr>
      <w:r>
        <w:t>Authorities and Technical Sources</w:t>
      </w:r>
    </w:p>
    <w:p w14:paraId="4117F126" w14:textId="77777777" w:rsidR="000D6733" w:rsidRDefault="00000000">
      <w:pPr>
        <w:pStyle w:val="ListBullet"/>
        <w:spacing w:after="60"/>
        <w:ind w:left="403" w:hanging="259"/>
      </w:pPr>
      <w:r>
        <w:t>California Senate Bill 1137 (2022), codified principally at Public Resources Code §§ 3280–3291:</w:t>
      </w:r>
      <w:r>
        <w:br/>
        <w:t>https://leginfo.legislature.ca.gov/faces/billNavClient.xhtml?bill_id=202120220SB1137</w:t>
      </w:r>
    </w:p>
    <w:p w14:paraId="4E8B0503" w14:textId="77777777" w:rsidR="000D6733" w:rsidRDefault="00000000">
      <w:pPr>
        <w:pStyle w:val="ListBullet"/>
        <w:spacing w:after="60"/>
        <w:ind w:left="403" w:hanging="259"/>
      </w:pPr>
      <w:r>
        <w:t>OEHHA, Hydrogen Sulfide chemical profile and acute REL endpoint:</w:t>
      </w:r>
      <w:r>
        <w:br/>
        <w:t>https://oehha.ca.gov/chemicals/hydrogen-sulfide</w:t>
      </w:r>
    </w:p>
    <w:p w14:paraId="464C257F" w14:textId="77777777" w:rsidR="000D6733" w:rsidRDefault="00000000">
      <w:pPr>
        <w:pStyle w:val="ListBullet"/>
        <w:spacing w:after="60"/>
        <w:ind w:left="403" w:hanging="259"/>
      </w:pPr>
      <w:r>
        <w:t>OEHHA, Acute, 8-hour and Chronic Reference Exposure Level Summary:</w:t>
      </w:r>
      <w:r>
        <w:br/>
        <w:t>https://oehha.ca.gov/air/general-info/oehha-acute-8-hour-and-chronic-reference-exposure-level-rel-summary</w:t>
      </w:r>
    </w:p>
    <w:p w14:paraId="72475811" w14:textId="77777777" w:rsidR="000D6733" w:rsidRDefault="00000000">
      <w:pPr>
        <w:pStyle w:val="ListBullet"/>
        <w:spacing w:after="60"/>
        <w:ind w:left="403" w:hanging="259"/>
      </w:pPr>
      <w:r>
        <w:t>U.S. EPA, Hydrogen Sulfide Results—Acute Exposure Guideline Level Program:</w:t>
      </w:r>
      <w:r>
        <w:br/>
        <w:t>https://www.epa.gov/aegl/hydrogen-sulfide-results-aegl-program</w:t>
      </w:r>
    </w:p>
    <w:p w14:paraId="360A89B3" w14:textId="77777777" w:rsidR="000D6733" w:rsidRDefault="00000000">
      <w:pPr>
        <w:pStyle w:val="ListBullet"/>
        <w:spacing w:after="60"/>
        <w:ind w:left="403" w:hanging="259"/>
      </w:pPr>
      <w:r>
        <w:t>National Research Council, Acute Exposure Guideline Levels for Selected Airborne Chemicals, Volume 9—Hydrogen Sulfide:</w:t>
      </w:r>
      <w:r>
        <w:br/>
        <w:t>https://www.epa.gov/sites/default/files/2014-11/documents/hydrogen_sulfide_final_volume9_2010.pdf</w:t>
      </w:r>
    </w:p>
    <w:p w14:paraId="4D5165E1" w14:textId="77777777" w:rsidR="000D6733" w:rsidRDefault="00000000">
      <w:pPr>
        <w:pStyle w:val="ListBullet"/>
        <w:spacing w:after="60"/>
        <w:ind w:left="403" w:hanging="259"/>
      </w:pPr>
      <w:r>
        <w:t>CARB, January 5, 2026 Discussion Draft, Performance Standards for Continuously Operating Emissions Detection Systems: attached discussion draft reviewed for these comments.</w:t>
      </w:r>
    </w:p>
    <w:p w14:paraId="46BE3803" w14:textId="77777777" w:rsidR="000D6733" w:rsidRDefault="000D6733">
      <w:pPr>
        <w:spacing w:after="120"/>
      </w:pPr>
    </w:p>
    <w:p w14:paraId="0A77ABAD" w14:textId="77777777" w:rsidR="000D6733" w:rsidRDefault="00000000">
      <w:pPr>
        <w:spacing w:after="160"/>
      </w:pPr>
      <w:r>
        <w:t>Respectfully submitted,</w:t>
      </w:r>
    </w:p>
    <w:p w14:paraId="2C01C47F" w14:textId="77777777" w:rsidR="000D6733" w:rsidRDefault="00000000">
      <w:pPr>
        <w:spacing w:after="0"/>
      </w:pPr>
      <w:r>
        <w:rPr>
          <w:b/>
        </w:rPr>
        <w:t>Holmes Western Oil Corporation</w:t>
      </w:r>
    </w:p>
    <w:sectPr w:rsidR="000D6733" w:rsidSect="00034616">
      <w:headerReference w:type="default" r:id="rId8"/>
      <w:footerReference w:type="default" r:id="rId9"/>
      <w:pgSz w:w="12240" w:h="15840"/>
      <w:pgMar w:top="1224" w:right="1296" w:bottom="1152"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EDFBE" w14:textId="77777777" w:rsidR="00246280" w:rsidRDefault="00246280">
      <w:pPr>
        <w:spacing w:after="0" w:line="240" w:lineRule="auto"/>
      </w:pPr>
      <w:r>
        <w:separator/>
      </w:r>
    </w:p>
  </w:endnote>
  <w:endnote w:type="continuationSeparator" w:id="0">
    <w:p w14:paraId="3CCE96F7" w14:textId="77777777" w:rsidR="00246280" w:rsidRDefault="00246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E6413" w14:textId="77777777" w:rsidR="000D6733" w:rsidRDefault="00000000">
    <w:pPr>
      <w:pStyle w:val="Footer"/>
      <w:jc w:val="center"/>
    </w:pPr>
    <w:r>
      <w:rPr>
        <w:color w:val="646464"/>
        <w:sz w:val="16"/>
      </w:rPr>
      <w:t xml:space="preserve">Page </w:t>
    </w:r>
    <w:r>
      <w:fldChar w:fldCharType="begin"/>
    </w:r>
    <w:r>
      <w:instrText>PAGE</w:instrText>
    </w:r>
    <w:r>
      <w:fldChar w:fldCharType="separate"/>
    </w:r>
    <w:r w:rsidR="00C06A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EBE51" w14:textId="77777777" w:rsidR="00246280" w:rsidRDefault="00246280">
      <w:pPr>
        <w:spacing w:after="0" w:line="240" w:lineRule="auto"/>
      </w:pPr>
      <w:r>
        <w:separator/>
      </w:r>
    </w:p>
  </w:footnote>
  <w:footnote w:type="continuationSeparator" w:id="0">
    <w:p w14:paraId="32D28B5A" w14:textId="77777777" w:rsidR="00246280" w:rsidRDefault="00246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58A4E" w14:textId="77777777" w:rsidR="000D6733" w:rsidRDefault="00000000">
    <w:pPr>
      <w:jc w:val="right"/>
    </w:pPr>
    <w:r>
      <w:rPr>
        <w:color w:val="646464"/>
        <w:sz w:val="16"/>
      </w:rPr>
      <w:t xml:space="preserve">HOLMES WESTERN OIL </w:t>
    </w:r>
    <w:proofErr w:type="gramStart"/>
    <w:r>
      <w:rPr>
        <w:color w:val="646464"/>
        <w:sz w:val="16"/>
      </w:rPr>
      <w:t>CORPORATION  |</w:t>
    </w:r>
    <w:proofErr w:type="gramEnd"/>
    <w:r>
      <w:rPr>
        <w:color w:val="646464"/>
        <w:sz w:val="16"/>
      </w:rPr>
      <w:t xml:space="preserve">  SB 1137 EDS COMMENTS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1377493">
    <w:abstractNumId w:val="8"/>
  </w:num>
  <w:num w:numId="2" w16cid:durableId="1979678537">
    <w:abstractNumId w:val="6"/>
  </w:num>
  <w:num w:numId="3" w16cid:durableId="413360570">
    <w:abstractNumId w:val="5"/>
  </w:num>
  <w:num w:numId="4" w16cid:durableId="270358576">
    <w:abstractNumId w:val="4"/>
  </w:num>
  <w:num w:numId="5" w16cid:durableId="1895656370">
    <w:abstractNumId w:val="7"/>
  </w:num>
  <w:num w:numId="6" w16cid:durableId="665060143">
    <w:abstractNumId w:val="3"/>
  </w:num>
  <w:num w:numId="7" w16cid:durableId="717707539">
    <w:abstractNumId w:val="2"/>
  </w:num>
  <w:num w:numId="8" w16cid:durableId="1930387803">
    <w:abstractNumId w:val="1"/>
  </w:num>
  <w:num w:numId="9" w16cid:durableId="131944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6733"/>
    <w:rsid w:val="0015074B"/>
    <w:rsid w:val="00246280"/>
    <w:rsid w:val="0029639D"/>
    <w:rsid w:val="00326F90"/>
    <w:rsid w:val="00584762"/>
    <w:rsid w:val="00AA1D8D"/>
    <w:rsid w:val="00B47730"/>
    <w:rsid w:val="00C06A3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84A65F"/>
  <w14:defaultImageDpi w14:val="300"/>
  <w15:docId w15:val="{8F10D3C0-0FA4-4A3C-BADC-B9DB6E39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33333"/>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5596</Words>
  <Characters>36938</Characters>
  <Application>Microsoft Office Word</Application>
  <DocSecurity>0</DocSecurity>
  <Lines>535</Lines>
  <Paragraphs>201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HWOC Comments on SB 1137 EDS Discussion Draft</dc:title>
  <dc:subject>Performance Standards for Continuously Operating Emissions Detection Systems</dc:subject>
  <dc:creator>Holmes Western Oil Corporation</dc:creator>
  <cp:keywords/>
  <dc:description>generated by python-docx</dc:description>
  <cp:lastModifiedBy>Alexander Holmes</cp:lastModifiedBy>
  <cp:revision>2</cp:revision>
  <dcterms:created xsi:type="dcterms:W3CDTF">2026-07-24T19:36:00Z</dcterms:created>
  <dcterms:modified xsi:type="dcterms:W3CDTF">2026-07-24T19:36:00Z</dcterms:modified>
  <cp:category/>
</cp:coreProperties>
</file>