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65F7E" w14:textId="77777777" w:rsidR="00CB6B42" w:rsidRDefault="00CB6B42" w:rsidP="00CB6B42">
      <w:pPr>
        <w:rPr>
          <w:i/>
          <w:iCs/>
        </w:rPr>
      </w:pPr>
      <w:r>
        <w:t>From: RMI Embodied Carbon Initiative</w:t>
      </w:r>
    </w:p>
    <w:p w14:paraId="029B4683" w14:textId="1DD1BD25" w:rsidR="00CB6B42" w:rsidRDefault="00CB6B42" w:rsidP="007416CE">
      <w:r>
        <w:t xml:space="preserve">We are pleased to have this opportunity to provide comments to the California Air Resources Board (CARB) </w:t>
      </w:r>
      <w:r w:rsidR="00563642">
        <w:t>as your team develops a framework to measure and reduce</w:t>
      </w:r>
      <w:r>
        <w:t xml:space="preserve"> Building Embodied Carbon. We have provided comment</w:t>
      </w:r>
      <w:r w:rsidR="00563642">
        <w:t>s relating to</w:t>
      </w:r>
      <w:r>
        <w:t xml:space="preserve"> two specific questions for feedback requested by the CARB team. </w:t>
      </w:r>
    </w:p>
    <w:p w14:paraId="26599905" w14:textId="149CB975" w:rsidR="00DD4E44" w:rsidRPr="00DD4E44" w:rsidRDefault="007416CE" w:rsidP="007416CE">
      <w:pPr>
        <w:rPr>
          <w:i/>
          <w:iCs/>
        </w:rPr>
      </w:pPr>
      <w:r>
        <w:rPr>
          <w:i/>
          <w:iCs/>
        </w:rPr>
        <w:t xml:space="preserve">Question: </w:t>
      </w:r>
      <w:r w:rsidR="00DD4E44" w:rsidRPr="00DD4E44">
        <w:rPr>
          <w:i/>
          <w:iCs/>
        </w:rPr>
        <w:t xml:space="preserve">Staff are requesting feedback on the LCA scope and system boundary for the baseline. Are there additional considerations? </w:t>
      </w:r>
    </w:p>
    <w:p w14:paraId="6F0C01BF" w14:textId="6D3A6C7F" w:rsidR="00DD4E44" w:rsidRDefault="00DD4E44" w:rsidP="00DD4E44">
      <w:pPr>
        <w:pStyle w:val="ListParagraph"/>
        <w:numPr>
          <w:ilvl w:val="0"/>
          <w:numId w:val="2"/>
        </w:numPr>
      </w:pPr>
      <w:r>
        <w:t>We recommend inclusion of the full lifecycle scope A-C for the baseline.</w:t>
      </w:r>
    </w:p>
    <w:p w14:paraId="5D66F7FC" w14:textId="68C9A8D1" w:rsidR="00C4250E" w:rsidRDefault="00C4250E" w:rsidP="00C4250E">
      <w:pPr>
        <w:pStyle w:val="ListParagraph"/>
        <w:numPr>
          <w:ilvl w:val="0"/>
          <w:numId w:val="2"/>
        </w:numPr>
      </w:pPr>
      <w:r>
        <w:t xml:space="preserve">The proposed hybrid EEIO + process-based calculation for high volume sectors, can be used to create a point-in-time emissions estimate. </w:t>
      </w:r>
    </w:p>
    <w:p w14:paraId="2A181677" w14:textId="69E963ED" w:rsidR="00DD4E44" w:rsidRDefault="00C4250E" w:rsidP="00DD4E44">
      <w:pPr>
        <w:pStyle w:val="ListParagraph"/>
        <w:numPr>
          <w:ilvl w:val="0"/>
          <w:numId w:val="2"/>
        </w:numPr>
      </w:pPr>
      <w:r>
        <w:t>However, w</w:t>
      </w:r>
      <w:r w:rsidR="00DD4E44">
        <w:t xml:space="preserve">e do not recommend that the EEIO calculation be used to establish a baseline from which reductions are measured </w:t>
      </w:r>
      <w:r w:rsidR="00DD4E44" w:rsidRPr="00DD4E44">
        <w:rPr>
          <w:u w:val="single"/>
        </w:rPr>
        <w:t>unless the baseline is updated to align with collected ‘bottom-up’, process-based reporting</w:t>
      </w:r>
      <w:r w:rsidR="00DD4E44">
        <w:t xml:space="preserve">. For illustrative purposes – if CARB calculates a baseline of 100 MT GHG emissions using a hybrid EEIO and process-based </w:t>
      </w:r>
      <w:proofErr w:type="gramStart"/>
      <w:r w:rsidR="00DD4E44">
        <w:t>approach, but</w:t>
      </w:r>
      <w:proofErr w:type="gramEnd"/>
      <w:r w:rsidR="00DD4E44">
        <w:t xml:space="preserve"> subsequently gathers process-based emissions data from the market showing an emissions impact of 80 MT, it may inaccurately </w:t>
      </w:r>
      <w:r>
        <w:t xml:space="preserve">imply </w:t>
      </w:r>
      <w:r w:rsidR="00DD4E44">
        <w:t xml:space="preserve">a 20% reduction when the difference is primarily due to misaligned </w:t>
      </w:r>
      <w:r w:rsidR="00930037">
        <w:t xml:space="preserve">calculation methodologies. </w:t>
      </w:r>
    </w:p>
    <w:p w14:paraId="3F7E2D12" w14:textId="0D0AD2FE" w:rsidR="00930037" w:rsidRDefault="00B15AD4" w:rsidP="00563642">
      <w:pPr>
        <w:pStyle w:val="ListParagraph"/>
        <w:numPr>
          <w:ilvl w:val="0"/>
          <w:numId w:val="2"/>
        </w:numPr>
      </w:pPr>
      <w:r>
        <w:t>We</w:t>
      </w:r>
      <w:r w:rsidR="00930037">
        <w:t xml:space="preserve"> recommend </w:t>
      </w:r>
      <w:r w:rsidR="00C4250E">
        <w:t>expanding the use of</w:t>
      </w:r>
      <w:r w:rsidR="00930037">
        <w:t xml:space="preserve"> process-based </w:t>
      </w:r>
      <w:r w:rsidR="00C4250E">
        <w:t xml:space="preserve">emissions </w:t>
      </w:r>
      <w:proofErr w:type="gramStart"/>
      <w:r>
        <w:t>baselining</w:t>
      </w:r>
      <w:proofErr w:type="gramEnd"/>
      <w:r>
        <w:t xml:space="preserve"> to include</w:t>
      </w:r>
      <w:r w:rsidR="00C4250E">
        <w:t xml:space="preserve"> a broader range of product categories. One such reference for this list of products can be found in the recently published </w:t>
      </w:r>
      <w:hyperlink r:id="rId5" w:anchor="thank-you" w:history="1">
        <w:r w:rsidR="00C4250E" w:rsidRPr="00C4250E">
          <w:rPr>
            <w:rStyle w:val="Hyperlink"/>
          </w:rPr>
          <w:t>Impact Accounting Methodology for Building Construction</w:t>
        </w:r>
        <w:r w:rsidR="00C4250E">
          <w:rPr>
            <w:rStyle w:val="Hyperlink"/>
          </w:rPr>
          <w:t>.</w:t>
        </w:r>
      </w:hyperlink>
      <w:r w:rsidR="00C4250E">
        <w:t xml:space="preserve"> </w:t>
      </w:r>
    </w:p>
    <w:p w14:paraId="2BB7BBA5" w14:textId="32BAA614" w:rsidR="00212262" w:rsidRPr="00212262" w:rsidRDefault="007416CE" w:rsidP="007416CE">
      <w:pPr>
        <w:rPr>
          <w:i/>
          <w:iCs/>
        </w:rPr>
      </w:pPr>
      <w:r>
        <w:rPr>
          <w:i/>
          <w:iCs/>
        </w:rPr>
        <w:t xml:space="preserve">Question: </w:t>
      </w:r>
      <w:r w:rsidR="00212262" w:rsidRPr="00212262">
        <w:rPr>
          <w:i/>
          <w:iCs/>
        </w:rPr>
        <w:t xml:space="preserve">At what stage of the project schedule should covered projects report? a) Planning permit? Building Permit Issuance? Obtaining </w:t>
      </w:r>
      <w:proofErr w:type="gramStart"/>
      <w:r w:rsidR="00212262" w:rsidRPr="00212262">
        <w:rPr>
          <w:i/>
          <w:iCs/>
        </w:rPr>
        <w:t>certificate</w:t>
      </w:r>
      <w:proofErr w:type="gramEnd"/>
      <w:r w:rsidR="00212262" w:rsidRPr="00212262">
        <w:rPr>
          <w:i/>
          <w:iCs/>
        </w:rPr>
        <w:t xml:space="preserve"> of occupancy? Other milestones? </w:t>
      </w:r>
    </w:p>
    <w:p w14:paraId="45DA5094" w14:textId="49514117" w:rsidR="007416CE" w:rsidRDefault="007416CE" w:rsidP="00212262">
      <w:pPr>
        <w:pStyle w:val="ListParagraph"/>
        <w:numPr>
          <w:ilvl w:val="0"/>
          <w:numId w:val="4"/>
        </w:numPr>
      </w:pPr>
      <w:r>
        <w:t>We recommend project-level data</w:t>
      </w:r>
      <w:r w:rsidR="00563642">
        <w:t xml:space="preserve"> be reported</w:t>
      </w:r>
      <w:r>
        <w:t xml:space="preserve"> at both building permit application and certificate of occupancy. </w:t>
      </w:r>
    </w:p>
    <w:p w14:paraId="7196EB7B" w14:textId="61EF96D7" w:rsidR="00212262" w:rsidRDefault="00212262" w:rsidP="00212262">
      <w:pPr>
        <w:pStyle w:val="ListParagraph"/>
        <w:numPr>
          <w:ilvl w:val="0"/>
          <w:numId w:val="4"/>
        </w:numPr>
      </w:pPr>
      <w:r>
        <w:t>A key consideration to streamline project-level reporting f</w:t>
      </w:r>
      <w:r w:rsidR="00B15AD4">
        <w:t xml:space="preserve">or </w:t>
      </w:r>
      <w:r>
        <w:t xml:space="preserve">the industry is alignment with existing code requirements and permit milestones. For example, project teams complying with the CALGreen Embodied Carbon Code Provision are </w:t>
      </w:r>
      <w:r w:rsidR="00563642">
        <w:t xml:space="preserve">already </w:t>
      </w:r>
      <w:r>
        <w:t xml:space="preserve">required to submit documentation as part of their building permit application. </w:t>
      </w:r>
      <w:r w:rsidR="007416CE">
        <w:t xml:space="preserve">We recommend that the state </w:t>
      </w:r>
      <w:r w:rsidR="00563642">
        <w:t xml:space="preserve">leverage this existing code requirement and </w:t>
      </w:r>
      <w:r w:rsidR="007416CE">
        <w:t>develop a</w:t>
      </w:r>
      <w:r>
        <w:t xml:space="preserve"> submittal process </w:t>
      </w:r>
      <w:r w:rsidR="007416CE">
        <w:t>for architects to</w:t>
      </w:r>
      <w:r>
        <w:t xml:space="preserve"> convey </w:t>
      </w:r>
      <w:r w:rsidR="007416CE">
        <w:t xml:space="preserve">WBLCA </w:t>
      </w:r>
      <w:r>
        <w:t>report</w:t>
      </w:r>
      <w:r w:rsidR="007416CE">
        <w:t>s</w:t>
      </w:r>
      <w:r>
        <w:t xml:space="preserve"> to CARB</w:t>
      </w:r>
      <w:r w:rsidR="007416CE">
        <w:t xml:space="preserve"> at this design milestone. </w:t>
      </w:r>
    </w:p>
    <w:p w14:paraId="735076F7" w14:textId="5882AB0D" w:rsidR="00212262" w:rsidRDefault="007416CE" w:rsidP="00212262">
      <w:pPr>
        <w:pStyle w:val="ListParagraph"/>
        <w:numPr>
          <w:ilvl w:val="0"/>
          <w:numId w:val="4"/>
        </w:numPr>
      </w:pPr>
      <w:r>
        <w:lastRenderedPageBreak/>
        <w:t>We recommend that CARB also</w:t>
      </w:r>
      <w:r w:rsidR="00212262">
        <w:t xml:space="preserve"> gather an ‘as-built’ WBLCA report from project teams at the certificate of occupancy milestone. At this phase, the architect or LCA consultant can</w:t>
      </w:r>
      <w:r>
        <w:t xml:space="preserve"> efficiently</w:t>
      </w:r>
      <w:r w:rsidR="00212262">
        <w:t xml:space="preserve"> update WBLCA reports to include procured products</w:t>
      </w:r>
      <w:r>
        <w:t xml:space="preserve"> and provide an accurate calculation of project-level emissions impacts</w:t>
      </w:r>
      <w:r w:rsidR="00212262">
        <w:t xml:space="preserve">. </w:t>
      </w:r>
    </w:p>
    <w:p w14:paraId="12879367" w14:textId="4C0C7D72" w:rsidR="00563642" w:rsidRDefault="00563642" w:rsidP="00212262">
      <w:pPr>
        <w:pStyle w:val="ListParagraph"/>
        <w:numPr>
          <w:ilvl w:val="0"/>
          <w:numId w:val="4"/>
        </w:numPr>
      </w:pPr>
      <w:r>
        <w:t>Overall, a project-based reporting process documented by design consultants and construction teams will streamline reporting and reduce administrative burden. We recommend avoiding compliance regimes that require real estate owners and developers to aggregate data from across their project portfolio and report to CARB on an annual basis.</w:t>
      </w:r>
    </w:p>
    <w:sectPr w:rsidR="00563642" w:rsidSect="00DD4E4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8507E"/>
    <w:multiLevelType w:val="hybridMultilevel"/>
    <w:tmpl w:val="4B5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4576F"/>
    <w:multiLevelType w:val="multilevel"/>
    <w:tmpl w:val="FFFFFFFF"/>
    <w:lvl w:ilvl="0">
      <w:start w:val="1"/>
      <w:numFmt w:val="decimal"/>
      <w:lvlText w:val="%1."/>
      <w:lvlJc w:val="left"/>
      <w:pPr>
        <w:ind w:left="720" w:hanging="360"/>
      </w:pPr>
      <w:rPr>
        <w:rFonts w:cs="Times New Roman"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1F7985"/>
    <w:multiLevelType w:val="multilevel"/>
    <w:tmpl w:val="FFFFFFFF"/>
    <w:lvl w:ilvl="0">
      <w:start w:val="1"/>
      <w:numFmt w:val="decimal"/>
      <w:lvlText w:val="%1."/>
      <w:lvlJc w:val="left"/>
      <w:pPr>
        <w:ind w:left="720" w:hanging="360"/>
      </w:pPr>
      <w:rPr>
        <w:rFonts w:cs="Times New Roman"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0355F0"/>
    <w:multiLevelType w:val="hybridMultilevel"/>
    <w:tmpl w:val="3834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FA3B72"/>
    <w:multiLevelType w:val="hybridMultilevel"/>
    <w:tmpl w:val="9482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419465">
    <w:abstractNumId w:val="1"/>
  </w:num>
  <w:num w:numId="2" w16cid:durableId="359670276">
    <w:abstractNumId w:val="0"/>
  </w:num>
  <w:num w:numId="3" w16cid:durableId="2090535527">
    <w:abstractNumId w:val="2"/>
  </w:num>
  <w:num w:numId="4" w16cid:durableId="1800686823">
    <w:abstractNumId w:val="4"/>
  </w:num>
  <w:num w:numId="5" w16cid:durableId="1082220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44"/>
    <w:rsid w:val="00186FE0"/>
    <w:rsid w:val="00212262"/>
    <w:rsid w:val="00563642"/>
    <w:rsid w:val="007416CE"/>
    <w:rsid w:val="00930037"/>
    <w:rsid w:val="00B15AD4"/>
    <w:rsid w:val="00C4250E"/>
    <w:rsid w:val="00CB6B42"/>
    <w:rsid w:val="00DD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F502"/>
  <w15:chartTrackingRefBased/>
  <w15:docId w15:val="{938E8BD7-8D21-4DB3-8278-AEE14C26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E44"/>
    <w:rPr>
      <w:rFonts w:eastAsiaTheme="majorEastAsia" w:cstheme="majorBidi"/>
      <w:color w:val="272727" w:themeColor="text1" w:themeTint="D8"/>
    </w:rPr>
  </w:style>
  <w:style w:type="paragraph" w:styleId="Title">
    <w:name w:val="Title"/>
    <w:basedOn w:val="Normal"/>
    <w:next w:val="Normal"/>
    <w:link w:val="TitleChar"/>
    <w:uiPriority w:val="10"/>
    <w:qFormat/>
    <w:rsid w:val="00DD4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E44"/>
    <w:pPr>
      <w:spacing w:before="160"/>
      <w:jc w:val="center"/>
    </w:pPr>
    <w:rPr>
      <w:i/>
      <w:iCs/>
      <w:color w:val="404040" w:themeColor="text1" w:themeTint="BF"/>
    </w:rPr>
  </w:style>
  <w:style w:type="character" w:customStyle="1" w:styleId="QuoteChar">
    <w:name w:val="Quote Char"/>
    <w:basedOn w:val="DefaultParagraphFont"/>
    <w:link w:val="Quote"/>
    <w:uiPriority w:val="29"/>
    <w:rsid w:val="00DD4E44"/>
    <w:rPr>
      <w:i/>
      <w:iCs/>
      <w:color w:val="404040" w:themeColor="text1" w:themeTint="BF"/>
    </w:rPr>
  </w:style>
  <w:style w:type="paragraph" w:styleId="ListParagraph">
    <w:name w:val="List Paragraph"/>
    <w:basedOn w:val="Normal"/>
    <w:uiPriority w:val="34"/>
    <w:qFormat/>
    <w:rsid w:val="00DD4E44"/>
    <w:pPr>
      <w:ind w:left="720"/>
      <w:contextualSpacing/>
    </w:pPr>
  </w:style>
  <w:style w:type="character" w:styleId="IntenseEmphasis">
    <w:name w:val="Intense Emphasis"/>
    <w:basedOn w:val="DefaultParagraphFont"/>
    <w:uiPriority w:val="21"/>
    <w:qFormat/>
    <w:rsid w:val="00DD4E44"/>
    <w:rPr>
      <w:i/>
      <w:iCs/>
      <w:color w:val="0F4761" w:themeColor="accent1" w:themeShade="BF"/>
    </w:rPr>
  </w:style>
  <w:style w:type="paragraph" w:styleId="IntenseQuote">
    <w:name w:val="Intense Quote"/>
    <w:basedOn w:val="Normal"/>
    <w:next w:val="Normal"/>
    <w:link w:val="IntenseQuoteChar"/>
    <w:uiPriority w:val="30"/>
    <w:qFormat/>
    <w:rsid w:val="00DD4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E44"/>
    <w:rPr>
      <w:i/>
      <w:iCs/>
      <w:color w:val="0F4761" w:themeColor="accent1" w:themeShade="BF"/>
    </w:rPr>
  </w:style>
  <w:style w:type="character" w:styleId="IntenseReference">
    <w:name w:val="Intense Reference"/>
    <w:basedOn w:val="DefaultParagraphFont"/>
    <w:uiPriority w:val="32"/>
    <w:qFormat/>
    <w:rsid w:val="00DD4E44"/>
    <w:rPr>
      <w:b/>
      <w:bCs/>
      <w:smallCaps/>
      <w:color w:val="0F4761" w:themeColor="accent1" w:themeShade="BF"/>
      <w:spacing w:val="5"/>
    </w:rPr>
  </w:style>
  <w:style w:type="character" w:styleId="Hyperlink">
    <w:name w:val="Hyperlink"/>
    <w:basedOn w:val="DefaultParagraphFont"/>
    <w:uiPriority w:val="99"/>
    <w:unhideWhenUsed/>
    <w:rsid w:val="00C4250E"/>
    <w:rPr>
      <w:color w:val="467886" w:themeColor="hyperlink"/>
      <w:u w:val="single"/>
    </w:rPr>
  </w:style>
  <w:style w:type="character" w:styleId="UnresolvedMention">
    <w:name w:val="Unresolved Mention"/>
    <w:basedOn w:val="DefaultParagraphFont"/>
    <w:uiPriority w:val="99"/>
    <w:semiHidden/>
    <w:unhideWhenUsed/>
    <w:rsid w:val="00C42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mi.org/insight/impact-accounting-methodology-for-building-construction?submitted=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 Tilak</dc:creator>
  <cp:keywords/>
  <dc:description/>
  <cp:lastModifiedBy>Anish Tilak</cp:lastModifiedBy>
  <cp:revision>3</cp:revision>
  <dcterms:created xsi:type="dcterms:W3CDTF">2025-04-14T21:21:00Z</dcterms:created>
  <dcterms:modified xsi:type="dcterms:W3CDTF">2025-04-14T22:27:00Z</dcterms:modified>
</cp:coreProperties>
</file>