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803CB"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normaltextrun"/>
          <w:rFonts w:ascii="Segoe UI" w:eastAsiaTheme="majorEastAsia" w:hAnsi="Segoe UI" w:cs="Segoe UI"/>
          <w:color w:val="000000"/>
        </w:rPr>
        <w:t>Dear California Air and Resources Board,  </w:t>
      </w:r>
      <w:r w:rsidRPr="00627E85">
        <w:rPr>
          <w:rStyle w:val="eop"/>
          <w:rFonts w:ascii="Segoe UI" w:eastAsiaTheme="majorEastAsia" w:hAnsi="Segoe UI" w:cs="Segoe UI"/>
          <w:color w:val="000000"/>
        </w:rPr>
        <w:t> </w:t>
      </w:r>
    </w:p>
    <w:p w14:paraId="1A56401D"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color w:val="000000"/>
        </w:rPr>
        <w:t> </w:t>
      </w:r>
    </w:p>
    <w:p w14:paraId="79E6694E" w14:textId="5003A50C"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normaltextrun"/>
          <w:rFonts w:ascii="Segoe UI" w:eastAsiaTheme="majorEastAsia" w:hAnsi="Segoe UI" w:cs="Segoe UI"/>
          <w:color w:val="000000"/>
        </w:rPr>
        <w:t xml:space="preserve">On behalf of WAP Sustainability, LLC, we appreciate the opportunity to provide input on the implementation of California’s Senate Bills 253 and 261, </w:t>
      </w:r>
      <w:r w:rsidR="001B6DC5">
        <w:rPr>
          <w:rStyle w:val="normaltextrun"/>
          <w:rFonts w:ascii="Segoe UI" w:eastAsiaTheme="majorEastAsia" w:hAnsi="Segoe UI" w:cs="Segoe UI"/>
          <w:color w:val="000000"/>
        </w:rPr>
        <w:t>as amended by</w:t>
      </w:r>
      <w:r w:rsidRPr="00627E85">
        <w:rPr>
          <w:rStyle w:val="normaltextrun"/>
          <w:rFonts w:ascii="Segoe UI" w:eastAsiaTheme="majorEastAsia" w:hAnsi="Segoe UI" w:cs="Segoe UI"/>
          <w:color w:val="000000"/>
        </w:rPr>
        <w:t xml:space="preserve"> SB 219. </w:t>
      </w:r>
      <w:r w:rsidRPr="00627E85">
        <w:rPr>
          <w:rStyle w:val="eop"/>
          <w:rFonts w:ascii="Segoe UI" w:eastAsiaTheme="majorEastAsia" w:hAnsi="Segoe UI" w:cs="Segoe UI"/>
          <w:color w:val="000000"/>
        </w:rPr>
        <w:t> </w:t>
      </w:r>
    </w:p>
    <w:p w14:paraId="1762CE33"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normaltextrun"/>
          <w:rFonts w:ascii="Segoe UI" w:eastAsiaTheme="majorEastAsia" w:hAnsi="Segoe UI" w:cs="Segoe UI"/>
          <w:color w:val="000000"/>
        </w:rPr>
        <w:t> </w:t>
      </w:r>
      <w:r w:rsidRPr="00627E85">
        <w:rPr>
          <w:rStyle w:val="eop"/>
          <w:rFonts w:ascii="Segoe UI" w:eastAsiaTheme="majorEastAsia" w:hAnsi="Segoe UI" w:cs="Segoe UI"/>
          <w:color w:val="000000"/>
        </w:rPr>
        <w:t> </w:t>
      </w:r>
    </w:p>
    <w:p w14:paraId="448D2D8E" w14:textId="7DF68528"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normaltextrun"/>
          <w:rFonts w:ascii="Segoe UI" w:eastAsiaTheme="majorEastAsia" w:hAnsi="Segoe UI" w:cs="Segoe UI"/>
          <w:color w:val="000000"/>
        </w:rPr>
        <w:t xml:space="preserve">As a full-service sustainability consulting firm, we provide strategic support to our clients in measuring, reporting, and reducing </w:t>
      </w:r>
      <w:r w:rsidR="00607B00">
        <w:rPr>
          <w:rStyle w:val="normaltextrun"/>
          <w:rFonts w:ascii="Segoe UI" w:eastAsiaTheme="majorEastAsia" w:hAnsi="Segoe UI" w:cs="Segoe UI"/>
          <w:color w:val="000000"/>
        </w:rPr>
        <w:t>greenhouse gas (</w:t>
      </w:r>
      <w:r w:rsidRPr="00627E85">
        <w:rPr>
          <w:rStyle w:val="normaltextrun"/>
          <w:rFonts w:ascii="Segoe UI" w:eastAsiaTheme="majorEastAsia" w:hAnsi="Segoe UI" w:cs="Segoe UI"/>
          <w:color w:val="000000"/>
        </w:rPr>
        <w:t>GHG</w:t>
      </w:r>
      <w:r w:rsidR="00607B00">
        <w:rPr>
          <w:rStyle w:val="normaltextrun"/>
          <w:rFonts w:ascii="Segoe UI" w:eastAsiaTheme="majorEastAsia" w:hAnsi="Segoe UI" w:cs="Segoe UI"/>
          <w:color w:val="000000"/>
        </w:rPr>
        <w:t>)</w:t>
      </w:r>
      <w:r w:rsidRPr="00627E85">
        <w:rPr>
          <w:rStyle w:val="normaltextrun"/>
          <w:rFonts w:ascii="Segoe UI" w:eastAsiaTheme="majorEastAsia" w:hAnsi="Segoe UI" w:cs="Segoe UI"/>
          <w:color w:val="000000"/>
        </w:rPr>
        <w:t xml:space="preserve"> emissions as well as assessing and managing climate-related risks and opportunities. Given this role, we recognize the value of transparent climate-related disclosures in decision-making.  We commend CARB’s approach t</w:t>
      </w:r>
      <w:r w:rsidR="00693FC0">
        <w:rPr>
          <w:rStyle w:val="normaltextrun"/>
          <w:rFonts w:ascii="Segoe UI" w:eastAsiaTheme="majorEastAsia" w:hAnsi="Segoe UI" w:cs="Segoe UI"/>
          <w:color w:val="000000"/>
        </w:rPr>
        <w:t>o</w:t>
      </w:r>
      <w:r w:rsidRPr="00627E85">
        <w:rPr>
          <w:rStyle w:val="normaltextrun"/>
          <w:rFonts w:ascii="Segoe UI" w:eastAsiaTheme="majorEastAsia" w:hAnsi="Segoe UI" w:cs="Segoe UI"/>
          <w:color w:val="000000"/>
        </w:rPr>
        <w:t xml:space="preserve"> ensure both compliance efficiency and meaningful transparency in addressing climate-related impacts.  </w:t>
      </w:r>
      <w:r w:rsidRPr="00627E85">
        <w:rPr>
          <w:rStyle w:val="eop"/>
          <w:rFonts w:ascii="Segoe UI" w:eastAsiaTheme="majorEastAsia" w:hAnsi="Segoe UI" w:cs="Segoe UI"/>
          <w:color w:val="000000"/>
        </w:rPr>
        <w:t> </w:t>
      </w:r>
    </w:p>
    <w:p w14:paraId="77196ECF"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color w:val="000000"/>
        </w:rPr>
        <w:t> </w:t>
      </w:r>
    </w:p>
    <w:p w14:paraId="25BCED51" w14:textId="2216C6DC"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normaltextrun"/>
          <w:rFonts w:ascii="Segoe UI" w:eastAsiaTheme="majorEastAsia" w:hAnsi="Segoe UI" w:cs="Segoe UI"/>
          <w:color w:val="000000"/>
        </w:rPr>
        <w:t xml:space="preserve">We believe a reporting framework that is practical, flexible, and aligned with global standards will support </w:t>
      </w:r>
      <w:r w:rsidR="001B6DC5">
        <w:rPr>
          <w:rStyle w:val="normaltextrun"/>
          <w:rFonts w:ascii="Segoe UI" w:eastAsiaTheme="majorEastAsia" w:hAnsi="Segoe UI" w:cs="Segoe UI"/>
          <w:color w:val="000000"/>
        </w:rPr>
        <w:t>CARB’s</w:t>
      </w:r>
      <w:r w:rsidRPr="00627E85">
        <w:rPr>
          <w:rStyle w:val="normaltextrun"/>
          <w:rFonts w:ascii="Segoe UI" w:eastAsiaTheme="majorEastAsia" w:hAnsi="Segoe UI" w:cs="Segoe UI"/>
          <w:color w:val="000000"/>
        </w:rPr>
        <w:t xml:space="preserve"> transparency objectives, while reducing compliance burden.  We remain dedicated to supporting our clients in fulfilling both voluntary and regulatory climate disclosure requirements. We look forward to these regulations fostering greater transparency and consistency in U.S. climate-related reporting.  </w:t>
      </w:r>
      <w:r w:rsidRPr="00627E85">
        <w:rPr>
          <w:rStyle w:val="eop"/>
          <w:rFonts w:ascii="Segoe UI" w:eastAsiaTheme="majorEastAsia" w:hAnsi="Segoe UI" w:cs="Segoe UI"/>
          <w:color w:val="000000"/>
        </w:rPr>
        <w:t> </w:t>
      </w:r>
    </w:p>
    <w:p w14:paraId="5BE9087A"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color w:val="000000"/>
        </w:rPr>
        <w:t> </w:t>
      </w:r>
    </w:p>
    <w:p w14:paraId="15F7182C"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normaltextrun"/>
          <w:rFonts w:ascii="Segoe UI" w:eastAsiaTheme="majorEastAsia" w:hAnsi="Segoe UI" w:cs="Segoe UI"/>
          <w:color w:val="000000"/>
        </w:rPr>
        <w:t>We welcome ongoing engagement and collaboration with CARB as these policies continue to evolve.</w:t>
      </w:r>
      <w:r w:rsidRPr="00627E85">
        <w:rPr>
          <w:rStyle w:val="eop"/>
          <w:rFonts w:ascii="Segoe UI" w:eastAsiaTheme="majorEastAsia" w:hAnsi="Segoe UI" w:cs="Segoe UI"/>
          <w:color w:val="000000"/>
        </w:rPr>
        <w:t> </w:t>
      </w:r>
    </w:p>
    <w:p w14:paraId="43672062"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6652259E"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787A0C51"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7D376B2B"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52175877"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64A9B335"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5D4CDA42"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685E064B"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7A244FCC"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5E163C2B"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160F2F97"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5FA171E5"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4F9B4751"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130BC233"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4525D4DA" w14:textId="77777777" w:rsidR="00627E85" w:rsidRPr="00627E85" w:rsidRDefault="00627E85" w:rsidP="00627E85">
      <w:pPr>
        <w:pStyle w:val="paragraph"/>
        <w:spacing w:before="0" w:beforeAutospacing="0" w:after="0" w:afterAutospacing="0"/>
        <w:textAlignment w:val="baseline"/>
        <w:rPr>
          <w:rFonts w:ascii="Segoe UI" w:hAnsi="Segoe UI" w:cs="Segoe UI"/>
          <w:sz w:val="18"/>
          <w:szCs w:val="18"/>
        </w:rPr>
      </w:pPr>
      <w:r w:rsidRPr="00627E85">
        <w:rPr>
          <w:rStyle w:val="eop"/>
          <w:rFonts w:ascii="Segoe UI" w:eastAsiaTheme="majorEastAsia" w:hAnsi="Segoe UI" w:cs="Segoe UI"/>
        </w:rPr>
        <w:t> </w:t>
      </w:r>
    </w:p>
    <w:p w14:paraId="066C9854" w14:textId="77777777" w:rsidR="00627E85" w:rsidRDefault="00627E85" w:rsidP="00627E85">
      <w:pPr>
        <w:pStyle w:val="paragraph"/>
        <w:spacing w:before="0" w:beforeAutospacing="0" w:after="0" w:afterAutospacing="0"/>
        <w:textAlignment w:val="baseline"/>
        <w:rPr>
          <w:rStyle w:val="normaltextrun"/>
          <w:rFonts w:ascii="Segoe UI" w:eastAsiaTheme="majorEastAsia" w:hAnsi="Segoe UI" w:cs="Segoe UI"/>
        </w:rPr>
      </w:pPr>
    </w:p>
    <w:p w14:paraId="54F89055" w14:textId="77777777" w:rsidR="00627E85" w:rsidRDefault="00627E85" w:rsidP="00627E85">
      <w:pPr>
        <w:pStyle w:val="paragraph"/>
        <w:spacing w:before="0" w:beforeAutospacing="0" w:after="0" w:afterAutospacing="0"/>
        <w:textAlignment w:val="baseline"/>
        <w:rPr>
          <w:rStyle w:val="normaltextrun"/>
          <w:rFonts w:ascii="Segoe UI" w:eastAsiaTheme="majorEastAsia" w:hAnsi="Segoe UI" w:cs="Segoe UI"/>
        </w:rPr>
      </w:pPr>
    </w:p>
    <w:p w14:paraId="7A914F51" w14:textId="77777777" w:rsidR="00627E85" w:rsidRDefault="00627E85" w:rsidP="00627E85">
      <w:pPr>
        <w:rPr>
          <w:rFonts w:ascii="Segoe UI" w:hAnsi="Segoe UI" w:cs="Segoe UI"/>
          <w:u w:val="single"/>
        </w:rPr>
      </w:pPr>
    </w:p>
    <w:p w14:paraId="1F78D78D" w14:textId="77777777" w:rsidR="00627E85" w:rsidRDefault="00627E85">
      <w:pPr>
        <w:rPr>
          <w:rFonts w:ascii="Segoe UI" w:hAnsi="Segoe UI" w:cs="Segoe UI"/>
          <w:u w:val="single"/>
        </w:rPr>
      </w:pPr>
      <w:r>
        <w:rPr>
          <w:rFonts w:ascii="Segoe UI" w:hAnsi="Segoe UI" w:cs="Segoe UI"/>
          <w:u w:val="single"/>
        </w:rPr>
        <w:br w:type="page"/>
      </w:r>
    </w:p>
    <w:p w14:paraId="3F864A0A" w14:textId="339CBFDA" w:rsidR="00627E85" w:rsidRPr="00171410" w:rsidRDefault="00627E85" w:rsidP="00627E85">
      <w:pPr>
        <w:rPr>
          <w:rFonts w:ascii="Segoe UI" w:hAnsi="Segoe UI" w:cs="Segoe UI"/>
          <w:u w:val="single"/>
        </w:rPr>
      </w:pPr>
      <w:r w:rsidRPr="00171410">
        <w:rPr>
          <w:rFonts w:ascii="Segoe UI" w:hAnsi="Segoe UI" w:cs="Segoe UI"/>
          <w:u w:val="single"/>
        </w:rPr>
        <w:lastRenderedPageBreak/>
        <w:t>General: Applicability</w:t>
      </w:r>
    </w:p>
    <w:p w14:paraId="357B5937" w14:textId="77777777" w:rsidR="00627E85" w:rsidRPr="00627E85" w:rsidRDefault="00627E85" w:rsidP="00627E85">
      <w:pPr>
        <w:pStyle w:val="paragraph"/>
        <w:spacing w:before="0" w:beforeAutospacing="0" w:after="0" w:afterAutospacing="0"/>
        <w:textAlignment w:val="baseline"/>
        <w:rPr>
          <w:rStyle w:val="normaltextrun"/>
          <w:rFonts w:ascii="Segoe UI" w:hAnsi="Segoe UI" w:cs="Segoe UI"/>
          <w:b/>
          <w:bCs/>
          <w:sz w:val="18"/>
          <w:szCs w:val="18"/>
        </w:rPr>
      </w:pPr>
    </w:p>
    <w:p w14:paraId="69F2F5A3" w14:textId="2F323DD8" w:rsidR="00627E85" w:rsidRPr="00627E85" w:rsidRDefault="00627E85" w:rsidP="00627E85">
      <w:pPr>
        <w:pStyle w:val="paragraph"/>
        <w:numPr>
          <w:ilvl w:val="0"/>
          <w:numId w:val="8"/>
        </w:numPr>
        <w:spacing w:before="0" w:beforeAutospacing="0" w:after="0" w:afterAutospacing="0"/>
        <w:textAlignment w:val="baseline"/>
        <w:rPr>
          <w:rFonts w:ascii="Segoe UI" w:hAnsi="Segoe UI" w:cs="Segoe UI"/>
          <w:b/>
          <w:bCs/>
          <w:sz w:val="18"/>
          <w:szCs w:val="18"/>
        </w:rPr>
      </w:pPr>
      <w:r w:rsidRPr="00627E85">
        <w:rPr>
          <w:rStyle w:val="normaltextrun"/>
          <w:rFonts w:ascii="Segoe UI" w:eastAsiaTheme="majorEastAsia" w:hAnsi="Segoe UI" w:cs="Segoe UI"/>
          <w:b/>
          <w:bCs/>
        </w:rPr>
        <w:t>SB 253 and 261 both require an entity that “does business in California” to provide specified information to CARB. This terminology is not defined in the statutes.</w:t>
      </w:r>
      <w:r w:rsidRPr="00627E85">
        <w:rPr>
          <w:rStyle w:val="eop"/>
          <w:rFonts w:ascii="Segoe UI" w:eastAsiaTheme="majorEastAsia" w:hAnsi="Segoe UI" w:cs="Segoe UI"/>
          <w:b/>
          <w:bCs/>
        </w:rPr>
        <w:t> </w:t>
      </w:r>
    </w:p>
    <w:p w14:paraId="0C8A7C74" w14:textId="12D5949D" w:rsidR="00627E85" w:rsidRPr="00D73AF5" w:rsidRDefault="00627E85" w:rsidP="00D73AF5">
      <w:pPr>
        <w:pStyle w:val="paragraph"/>
        <w:numPr>
          <w:ilvl w:val="1"/>
          <w:numId w:val="8"/>
        </w:numPr>
        <w:spacing w:before="0" w:beforeAutospacing="0" w:after="0" w:afterAutospacing="0"/>
        <w:textAlignment w:val="baseline"/>
        <w:rPr>
          <w:rStyle w:val="eop"/>
          <w:rFonts w:ascii="Segoe UI" w:hAnsi="Segoe UI" w:cs="Segoe UI"/>
          <w:b/>
          <w:bCs/>
          <w:sz w:val="18"/>
          <w:szCs w:val="18"/>
        </w:rPr>
      </w:pPr>
      <w:r w:rsidRPr="00627E85">
        <w:rPr>
          <w:rStyle w:val="normaltextrun"/>
          <w:rFonts w:ascii="Segoe UI" w:eastAsiaTheme="majorEastAsia" w:hAnsi="Segoe UI" w:cs="Segoe UI"/>
          <w:b/>
          <w:bCs/>
        </w:rPr>
        <w:t>Should CARB adopt the interpretation of “doing business in California” found in the Revenue and Tax Code section 23101?</w:t>
      </w:r>
      <w:r w:rsidRPr="00627E85">
        <w:rPr>
          <w:rStyle w:val="eop"/>
          <w:rFonts w:ascii="Segoe UI" w:eastAsiaTheme="majorEastAsia" w:hAnsi="Segoe UI" w:cs="Segoe UI"/>
          <w:b/>
          <w:bCs/>
        </w:rPr>
        <w:t> </w:t>
      </w:r>
    </w:p>
    <w:p w14:paraId="207022D2" w14:textId="4A7C3932" w:rsidR="00D73AF5" w:rsidRPr="00D73AF5" w:rsidRDefault="00D73AF5" w:rsidP="00D73AF5">
      <w:pPr>
        <w:pStyle w:val="paragraph"/>
        <w:spacing w:before="240" w:beforeAutospacing="0" w:after="0" w:afterAutospacing="0"/>
        <w:ind w:left="1440"/>
        <w:textAlignment w:val="baseline"/>
        <w:rPr>
          <w:rStyle w:val="eop"/>
          <w:rFonts w:ascii="Segoe UI" w:eastAsiaTheme="majorEastAsia" w:hAnsi="Segoe UI" w:cs="Segoe UI"/>
        </w:rPr>
      </w:pPr>
      <w:r w:rsidRPr="00D73AF5">
        <w:rPr>
          <w:rStyle w:val="eop"/>
          <w:rFonts w:ascii="Segoe UI" w:eastAsiaTheme="majorEastAsia" w:hAnsi="Segoe UI" w:cs="Segoe UI"/>
        </w:rPr>
        <w:t xml:space="preserve">Utilizing the definition in the Revenue and Tax Code section 23101 establishes a legally recognized framework, mitigating ambiguity and providing clarity on the criteria for determining a company's operational presence in California. </w:t>
      </w:r>
      <w:r w:rsidR="00693FC0">
        <w:rPr>
          <w:rStyle w:val="eop"/>
          <w:rFonts w:ascii="Segoe UI" w:eastAsiaTheme="majorEastAsia" w:hAnsi="Segoe UI" w:cs="Segoe UI"/>
        </w:rPr>
        <w:t>This definition</w:t>
      </w:r>
      <w:r w:rsidRPr="00D73AF5">
        <w:rPr>
          <w:rStyle w:val="eop"/>
          <w:rFonts w:ascii="Segoe UI" w:eastAsiaTheme="majorEastAsia" w:hAnsi="Segoe UI" w:cs="Segoe UI"/>
        </w:rPr>
        <w:t xml:space="preserve"> acknowledges the economic benefits derived </w:t>
      </w:r>
      <w:r w:rsidR="00693FC0">
        <w:rPr>
          <w:rStyle w:val="eop"/>
          <w:rFonts w:ascii="Segoe UI" w:eastAsiaTheme="majorEastAsia" w:hAnsi="Segoe UI" w:cs="Segoe UI"/>
        </w:rPr>
        <w:t>in</w:t>
      </w:r>
      <w:r w:rsidRPr="00D73AF5">
        <w:rPr>
          <w:rStyle w:val="eop"/>
          <w:rFonts w:ascii="Segoe UI" w:eastAsiaTheme="majorEastAsia" w:hAnsi="Segoe UI" w:cs="Segoe UI"/>
        </w:rPr>
        <w:t xml:space="preserve"> the state and, accordingly, imposes an obligation to disclose climate risks and emissions.</w:t>
      </w:r>
    </w:p>
    <w:p w14:paraId="53FFC0E4" w14:textId="77777777" w:rsidR="00627E85" w:rsidRPr="00627E85" w:rsidRDefault="00627E85" w:rsidP="00627E85">
      <w:pPr>
        <w:pStyle w:val="paragraph"/>
        <w:spacing w:before="0" w:beforeAutospacing="0" w:after="0" w:afterAutospacing="0"/>
        <w:ind w:left="1440"/>
        <w:textAlignment w:val="baseline"/>
        <w:rPr>
          <w:rFonts w:ascii="Segoe UI" w:hAnsi="Segoe UI" w:cs="Segoe UI"/>
          <w:b/>
          <w:bCs/>
          <w:sz w:val="18"/>
          <w:szCs w:val="18"/>
        </w:rPr>
      </w:pPr>
    </w:p>
    <w:p w14:paraId="0D7B2451" w14:textId="77777777" w:rsidR="00627E85" w:rsidRPr="00627E85" w:rsidRDefault="00627E85" w:rsidP="00627E85">
      <w:pPr>
        <w:pStyle w:val="paragraph"/>
        <w:numPr>
          <w:ilvl w:val="1"/>
          <w:numId w:val="8"/>
        </w:numPr>
        <w:spacing w:before="0" w:beforeAutospacing="0" w:after="0" w:afterAutospacing="0"/>
        <w:textAlignment w:val="baseline"/>
        <w:rPr>
          <w:rStyle w:val="eop"/>
          <w:rFonts w:ascii="Segoe UI" w:hAnsi="Segoe UI" w:cs="Segoe UI"/>
          <w:b/>
          <w:bCs/>
          <w:sz w:val="18"/>
          <w:szCs w:val="18"/>
        </w:rPr>
      </w:pPr>
      <w:r w:rsidRPr="00627E85">
        <w:rPr>
          <w:rStyle w:val="normaltextrun"/>
          <w:rFonts w:ascii="Segoe UI" w:eastAsiaTheme="majorEastAsia" w:hAnsi="Segoe UI" w:cs="Segoe UI"/>
          <w:b/>
          <w:bCs/>
        </w:rPr>
        <w:t>Should federal and state government entities that generate revenue be included in the definition of a “business entity” that “does business in California?”</w:t>
      </w:r>
      <w:r w:rsidRPr="00627E85">
        <w:rPr>
          <w:rStyle w:val="eop"/>
          <w:rFonts w:ascii="Segoe UI" w:eastAsiaTheme="majorEastAsia" w:hAnsi="Segoe UI" w:cs="Segoe UI"/>
          <w:b/>
          <w:bCs/>
        </w:rPr>
        <w:t> </w:t>
      </w:r>
    </w:p>
    <w:p w14:paraId="00223BBD" w14:textId="77777777" w:rsidR="00627E85" w:rsidRPr="00627E85" w:rsidRDefault="00627E85" w:rsidP="00627E85">
      <w:pPr>
        <w:pStyle w:val="paragraph"/>
        <w:spacing w:before="0" w:beforeAutospacing="0" w:after="0" w:afterAutospacing="0"/>
        <w:ind w:left="1440"/>
        <w:textAlignment w:val="baseline"/>
        <w:rPr>
          <w:rStyle w:val="eop"/>
          <w:rFonts w:ascii="Segoe UI" w:eastAsiaTheme="majorEastAsia" w:hAnsi="Segoe UI" w:cs="Segoe UI"/>
          <w:b/>
          <w:bCs/>
        </w:rPr>
      </w:pPr>
    </w:p>
    <w:p w14:paraId="6AFF3CDF" w14:textId="77777777" w:rsidR="00693FC0" w:rsidRDefault="00D73AF5" w:rsidP="00627E85">
      <w:pPr>
        <w:pStyle w:val="paragraph"/>
        <w:spacing w:before="0" w:beforeAutospacing="0" w:after="0" w:afterAutospacing="0"/>
        <w:ind w:left="1440"/>
        <w:textAlignment w:val="baseline"/>
        <w:rPr>
          <w:rFonts w:ascii="Segoe UI" w:hAnsi="Segoe UI" w:cs="Segoe UI"/>
        </w:rPr>
      </w:pPr>
      <w:r w:rsidRPr="00D73AF5">
        <w:rPr>
          <w:rFonts w:ascii="Segoe UI" w:hAnsi="Segoe UI" w:cs="Segoe UI"/>
        </w:rPr>
        <w:t>Including federal and state government entities that generate revenue in the definition of a “business entity” that “does business in California” is essential for ensuring a fair, comprehensive, and effective regulatory framework under CARB’s jurisdiction.</w:t>
      </w:r>
      <w:r w:rsidR="00693FC0">
        <w:rPr>
          <w:rStyle w:val="FootnoteReference"/>
          <w:rFonts w:ascii="Segoe UI" w:hAnsi="Segoe UI" w:cs="Segoe UI"/>
        </w:rPr>
        <w:footnoteReference w:id="1"/>
      </w:r>
      <w:r w:rsidR="00693FC0">
        <w:rPr>
          <w:rFonts w:ascii="Segoe UI" w:hAnsi="Segoe UI" w:cs="Segoe UI"/>
        </w:rPr>
        <w:t xml:space="preserve"> </w:t>
      </w:r>
      <w:r w:rsidRPr="00D73AF5">
        <w:rPr>
          <w:rFonts w:ascii="Segoe UI" w:hAnsi="Segoe UI" w:cs="Segoe UI"/>
        </w:rPr>
        <w:t xml:space="preserve">Many government-operated enterprises, such as utilities, transportation agencies, and infrastructure projects, engage in revenue-generating activities that have environmental impacts comparable to private businesses. Exempting these entities would create regulatory gaps, potentially undermining California’s emissions reduction goals by allowing significant sources of greenhouse gas emissions to go unaccounted for. </w:t>
      </w:r>
    </w:p>
    <w:p w14:paraId="1332D9FE" w14:textId="77777777" w:rsidR="00693FC0" w:rsidRDefault="00693FC0" w:rsidP="00627E85">
      <w:pPr>
        <w:pStyle w:val="paragraph"/>
        <w:spacing w:before="0" w:beforeAutospacing="0" w:after="0" w:afterAutospacing="0"/>
        <w:ind w:left="1440"/>
        <w:textAlignment w:val="baseline"/>
        <w:rPr>
          <w:rFonts w:ascii="Segoe UI" w:hAnsi="Segoe UI" w:cs="Segoe UI"/>
        </w:rPr>
      </w:pPr>
    </w:p>
    <w:p w14:paraId="1F0F9DEA" w14:textId="5CCF2E5F" w:rsidR="00627E85" w:rsidRPr="00D73AF5" w:rsidRDefault="00D73AF5" w:rsidP="00627E85">
      <w:pPr>
        <w:pStyle w:val="paragraph"/>
        <w:spacing w:before="0" w:beforeAutospacing="0" w:after="0" w:afterAutospacing="0"/>
        <w:ind w:left="1440"/>
        <w:textAlignment w:val="baseline"/>
        <w:rPr>
          <w:rFonts w:ascii="Segoe UI" w:hAnsi="Segoe UI" w:cs="Segoe UI"/>
        </w:rPr>
      </w:pPr>
      <w:r w:rsidRPr="00D73AF5">
        <w:rPr>
          <w:rFonts w:ascii="Segoe UI" w:hAnsi="Segoe UI" w:cs="Segoe UI"/>
        </w:rPr>
        <w:t>Additionally, treating public and private entities equitably reinforces market fairness, ensuring that government</w:t>
      </w:r>
      <w:r w:rsidR="00693FC0">
        <w:rPr>
          <w:rFonts w:ascii="Segoe UI" w:hAnsi="Segoe UI" w:cs="Segoe UI"/>
        </w:rPr>
        <w:t xml:space="preserve"> entities</w:t>
      </w:r>
      <w:r w:rsidRPr="00D73AF5">
        <w:rPr>
          <w:rFonts w:ascii="Segoe UI" w:hAnsi="Segoe UI" w:cs="Segoe UI"/>
        </w:rPr>
        <w:t xml:space="preserve"> do not gain a competitive advantage by avoiding compliance costs that private sector businesses must bear. Including these entities also aligns with the state’s commitment to transparency and accountability, promoting consistent emissions reporting across all sectors that contribute to California’s economic and environmental landscape. </w:t>
      </w:r>
    </w:p>
    <w:p w14:paraId="767D5953" w14:textId="77777777" w:rsidR="00D73AF5" w:rsidRPr="00627E85" w:rsidRDefault="00D73AF5" w:rsidP="00627E85">
      <w:pPr>
        <w:pStyle w:val="paragraph"/>
        <w:spacing w:before="0" w:beforeAutospacing="0" w:after="0" w:afterAutospacing="0"/>
        <w:ind w:left="1440"/>
        <w:textAlignment w:val="baseline"/>
        <w:rPr>
          <w:rFonts w:ascii="Segoe UI" w:hAnsi="Segoe UI" w:cs="Segoe UI"/>
          <w:b/>
          <w:bCs/>
          <w:sz w:val="18"/>
          <w:szCs w:val="18"/>
        </w:rPr>
      </w:pPr>
    </w:p>
    <w:p w14:paraId="36B3E349" w14:textId="1240857D" w:rsidR="00627E85" w:rsidRPr="00627E85" w:rsidRDefault="00627E85" w:rsidP="00627E85">
      <w:pPr>
        <w:pStyle w:val="paragraph"/>
        <w:numPr>
          <w:ilvl w:val="1"/>
          <w:numId w:val="8"/>
        </w:numPr>
        <w:spacing w:before="0" w:beforeAutospacing="0" w:after="0" w:afterAutospacing="0"/>
        <w:textAlignment w:val="baseline"/>
        <w:rPr>
          <w:rStyle w:val="normaltextrun"/>
          <w:rFonts w:ascii="Segoe UI" w:hAnsi="Segoe UI" w:cs="Segoe UI"/>
          <w:b/>
          <w:bCs/>
          <w:sz w:val="18"/>
          <w:szCs w:val="18"/>
        </w:rPr>
      </w:pPr>
      <w:r w:rsidRPr="00627E85">
        <w:rPr>
          <w:rStyle w:val="normaltextrun"/>
          <w:rFonts w:ascii="Segoe UI" w:eastAsiaTheme="majorEastAsia" w:hAnsi="Segoe UI" w:cs="Segoe UI"/>
          <w:b/>
          <w:bCs/>
        </w:rPr>
        <w:lastRenderedPageBreak/>
        <w:t>Should SB 253 and 261 cover entities that are owned in part or wholly owned by a foreign government?</w:t>
      </w:r>
    </w:p>
    <w:p w14:paraId="30A56374" w14:textId="77777777" w:rsidR="00627E85" w:rsidRPr="00627E85" w:rsidRDefault="00627E85" w:rsidP="00627E85">
      <w:pPr>
        <w:pStyle w:val="paragraph"/>
        <w:spacing w:before="0" w:beforeAutospacing="0" w:after="0" w:afterAutospacing="0"/>
        <w:ind w:left="1440"/>
        <w:textAlignment w:val="baseline"/>
        <w:rPr>
          <w:rStyle w:val="normaltextrun"/>
          <w:rFonts w:ascii="Segoe UI" w:hAnsi="Segoe UI" w:cs="Segoe UI"/>
          <w:b/>
          <w:bCs/>
          <w:sz w:val="18"/>
          <w:szCs w:val="18"/>
        </w:rPr>
      </w:pPr>
    </w:p>
    <w:p w14:paraId="5C54E498" w14:textId="026DFD4D" w:rsidR="00627E85" w:rsidRPr="00D73AF5" w:rsidRDefault="00D73AF5" w:rsidP="00627E85">
      <w:pPr>
        <w:pStyle w:val="paragraph"/>
        <w:spacing w:before="0" w:beforeAutospacing="0" w:after="0" w:afterAutospacing="0"/>
        <w:ind w:left="1440"/>
        <w:textAlignment w:val="baseline"/>
        <w:rPr>
          <w:rFonts w:ascii="Segoe UI" w:hAnsi="Segoe UI" w:cs="Segoe UI"/>
        </w:rPr>
      </w:pPr>
      <w:r w:rsidRPr="00D73AF5">
        <w:rPr>
          <w:rFonts w:ascii="Segoe UI" w:hAnsi="Segoe UI" w:cs="Segoe UI"/>
        </w:rPr>
        <w:t xml:space="preserve">SB 253 and SB 261 </w:t>
      </w:r>
      <w:r w:rsidR="00693FC0">
        <w:rPr>
          <w:rFonts w:ascii="Segoe UI" w:hAnsi="Segoe UI" w:cs="Segoe UI"/>
        </w:rPr>
        <w:t>sho</w:t>
      </w:r>
      <w:r w:rsidRPr="00D73AF5">
        <w:rPr>
          <w:rFonts w:ascii="Segoe UI" w:hAnsi="Segoe UI" w:cs="Segoe UI"/>
        </w:rPr>
        <w:t>uld apply to entities wholly or partially owned by foreign governments to ensure consistent regulatory standards for both domestic and foreign entities and support comprehensive emissions reporting. Exempting these entities may create differences in transparency and accountability requirements. Many operate in high-emission sectors, making their inclusion relevant to achieving broad climate disclosure. Without coverage, businesses might structure ownership to navigate compliance requirements, potentially affecting the laws’ effectiveness. Applying these laws to all major entities, regardless of ownership, would align with California’s climate reporting objectives. </w:t>
      </w:r>
    </w:p>
    <w:p w14:paraId="2A3532BA" w14:textId="77777777" w:rsidR="00D73AF5" w:rsidRPr="00627E85" w:rsidRDefault="00D73AF5" w:rsidP="00627E85">
      <w:pPr>
        <w:pStyle w:val="paragraph"/>
        <w:spacing w:before="0" w:beforeAutospacing="0" w:after="0" w:afterAutospacing="0"/>
        <w:ind w:left="1440"/>
        <w:textAlignment w:val="baseline"/>
        <w:rPr>
          <w:rStyle w:val="eop"/>
          <w:rFonts w:ascii="Segoe UI" w:hAnsi="Segoe UI" w:cs="Segoe UI"/>
          <w:b/>
          <w:bCs/>
          <w:sz w:val="18"/>
          <w:szCs w:val="18"/>
        </w:rPr>
      </w:pPr>
    </w:p>
    <w:p w14:paraId="19CDFB24" w14:textId="77777777" w:rsidR="00627E85" w:rsidRPr="00627E85" w:rsidRDefault="00627E85" w:rsidP="00627E85">
      <w:pPr>
        <w:pStyle w:val="paragraph"/>
        <w:numPr>
          <w:ilvl w:val="1"/>
          <w:numId w:val="8"/>
        </w:numPr>
        <w:spacing w:before="0" w:beforeAutospacing="0" w:after="0" w:afterAutospacing="0"/>
        <w:textAlignment w:val="baseline"/>
        <w:rPr>
          <w:rStyle w:val="eop"/>
          <w:rFonts w:ascii="Segoe UI" w:hAnsi="Segoe UI" w:cs="Segoe UI"/>
          <w:b/>
          <w:bCs/>
          <w:sz w:val="18"/>
          <w:szCs w:val="18"/>
        </w:rPr>
      </w:pPr>
      <w:r w:rsidRPr="00627E85">
        <w:rPr>
          <w:rStyle w:val="normaltextrun"/>
          <w:rFonts w:ascii="Segoe UI" w:eastAsiaTheme="majorEastAsia" w:hAnsi="Segoe UI" w:cs="Segoe UI"/>
          <w:b/>
          <w:bCs/>
        </w:rPr>
        <w:t>Should entities that sell energy, or other goods and services, into California through a separate market, like the energy imbalance market or extended day ahead market, be covered? </w:t>
      </w:r>
      <w:r w:rsidRPr="00627E85">
        <w:rPr>
          <w:rStyle w:val="eop"/>
          <w:rFonts w:ascii="Segoe UI" w:eastAsiaTheme="majorEastAsia" w:hAnsi="Segoe UI" w:cs="Segoe UI"/>
          <w:b/>
          <w:bCs/>
        </w:rPr>
        <w:t> </w:t>
      </w:r>
    </w:p>
    <w:p w14:paraId="2BB82058" w14:textId="7E0489AF" w:rsidR="00627E85" w:rsidRDefault="00627E85" w:rsidP="00627E85">
      <w:pPr>
        <w:pStyle w:val="paragraph"/>
        <w:spacing w:before="0" w:beforeAutospacing="0" w:after="0" w:afterAutospacing="0"/>
        <w:ind w:left="1440"/>
        <w:textAlignment w:val="baseline"/>
        <w:rPr>
          <w:rStyle w:val="eop"/>
          <w:rFonts w:ascii="Segoe UI" w:eastAsiaTheme="majorEastAsia" w:hAnsi="Segoe UI" w:cs="Segoe UI"/>
        </w:rPr>
      </w:pPr>
    </w:p>
    <w:p w14:paraId="08CAB9A4" w14:textId="77777777" w:rsidR="00693FC0" w:rsidRDefault="00D73AF5" w:rsidP="00627E85">
      <w:pPr>
        <w:pStyle w:val="paragraph"/>
        <w:spacing w:before="0" w:beforeAutospacing="0" w:after="0" w:afterAutospacing="0"/>
        <w:ind w:left="1440"/>
        <w:textAlignment w:val="baseline"/>
        <w:rPr>
          <w:rFonts w:ascii="Segoe UI" w:hAnsi="Segoe UI" w:cs="Segoe UI"/>
        </w:rPr>
      </w:pPr>
      <w:r w:rsidRPr="00D73AF5">
        <w:rPr>
          <w:rFonts w:ascii="Segoe UI" w:hAnsi="Segoe UI" w:cs="Segoe UI"/>
        </w:rPr>
        <w:t xml:space="preserve">Entities that sell energy, goods, or services into California through separate markets, such as the Energy Imbalance Market (EIM) or the Extended Day-Ahead Market (EDAM), should be subject to the reporting requirements of SB 253 and SB 261 to ensure regulatory integrity, prevent competitive distortions, and uphold the state’s climate objectives. These markets facilitate transactions that directly impact California’s energy supply, emissions profile, and climate-related financial risks, and as such, participating entities derive economic benefits from access to the state’s market infrastructure. Exempting them would create a regulatory loophole, enabling companies to evade climate disclosure requirements while still generating climate related risks. </w:t>
      </w:r>
    </w:p>
    <w:p w14:paraId="1B9E7756" w14:textId="77777777" w:rsidR="00693FC0" w:rsidRDefault="00693FC0" w:rsidP="00627E85">
      <w:pPr>
        <w:pStyle w:val="paragraph"/>
        <w:spacing w:before="0" w:beforeAutospacing="0" w:after="0" w:afterAutospacing="0"/>
        <w:ind w:left="1440"/>
        <w:textAlignment w:val="baseline"/>
        <w:rPr>
          <w:rFonts w:ascii="Segoe UI" w:hAnsi="Segoe UI" w:cs="Segoe UI"/>
        </w:rPr>
      </w:pPr>
    </w:p>
    <w:p w14:paraId="661F07F5" w14:textId="64408E42" w:rsidR="00627E85" w:rsidRPr="00D73AF5" w:rsidRDefault="00D73AF5" w:rsidP="00627E85">
      <w:pPr>
        <w:pStyle w:val="paragraph"/>
        <w:spacing w:before="0" w:beforeAutospacing="0" w:after="0" w:afterAutospacing="0"/>
        <w:ind w:left="1440"/>
        <w:textAlignment w:val="baseline"/>
        <w:rPr>
          <w:rFonts w:ascii="Segoe UI" w:hAnsi="Segoe UI" w:cs="Segoe UI"/>
        </w:rPr>
      </w:pPr>
      <w:r w:rsidRPr="00D73AF5">
        <w:rPr>
          <w:rFonts w:ascii="Segoe UI" w:hAnsi="Segoe UI" w:cs="Segoe UI"/>
        </w:rPr>
        <w:t>Furthermore, many of these entities operate across multiple jurisdictions, necessitating clear and uniform disclosure obligations to prevent emissions leakage and ensure equitable compliance across all market participants. Legal precedent supports the state’s authority to regulate entities that conduct substantial business within its jurisdiction, even when physically located elsewhere. Therefore, CARB should establish a comprehensive reporting framework that captures all entities engaging in commerce through California’s energy markets, ensuring that the state’s climate risk disclosures and emissions reduction efforts are neither undermined nor selectively applied. </w:t>
      </w:r>
    </w:p>
    <w:p w14:paraId="37D33572" w14:textId="77777777" w:rsidR="00D73AF5" w:rsidRDefault="00D73AF5" w:rsidP="00627E85">
      <w:pPr>
        <w:pStyle w:val="paragraph"/>
        <w:spacing w:before="0" w:beforeAutospacing="0" w:after="0" w:afterAutospacing="0"/>
        <w:ind w:left="1440"/>
        <w:textAlignment w:val="baseline"/>
        <w:rPr>
          <w:rFonts w:ascii="Segoe UI" w:hAnsi="Segoe UI" w:cs="Segoe UI"/>
          <w:sz w:val="18"/>
          <w:szCs w:val="18"/>
        </w:rPr>
      </w:pPr>
    </w:p>
    <w:p w14:paraId="3B5871F4" w14:textId="77777777" w:rsidR="00627E85" w:rsidRPr="00627E85" w:rsidRDefault="00627E85" w:rsidP="00627E85">
      <w:pPr>
        <w:pStyle w:val="paragraph"/>
        <w:numPr>
          <w:ilvl w:val="0"/>
          <w:numId w:val="8"/>
        </w:numPr>
        <w:spacing w:before="0" w:beforeAutospacing="0" w:after="0" w:afterAutospacing="0"/>
        <w:textAlignment w:val="baseline"/>
        <w:rPr>
          <w:rFonts w:ascii="Segoe UI" w:hAnsi="Segoe UI" w:cs="Segoe UI"/>
          <w:b/>
          <w:bCs/>
        </w:rPr>
      </w:pPr>
      <w:r w:rsidRPr="00627E85">
        <w:rPr>
          <w:rStyle w:val="normaltextrun"/>
          <w:rFonts w:ascii="Segoe UI" w:eastAsiaTheme="majorEastAsia" w:hAnsi="Segoe UI" w:cs="Segoe UI"/>
          <w:b/>
          <w:bCs/>
        </w:rPr>
        <w:lastRenderedPageBreak/>
        <w:t>What are your recommendations on a cost-effective manner to identify all businesses covered by the laws (i.e., that exceed the annual revenue thresholds in the statutes and do business in California)?</w:t>
      </w:r>
      <w:r w:rsidRPr="00627E85">
        <w:rPr>
          <w:rStyle w:val="eop"/>
          <w:rFonts w:ascii="Segoe UI" w:eastAsiaTheme="majorEastAsia" w:hAnsi="Segoe UI" w:cs="Segoe UI"/>
          <w:b/>
          <w:bCs/>
        </w:rPr>
        <w:t> </w:t>
      </w:r>
    </w:p>
    <w:p w14:paraId="5799447C" w14:textId="77777777" w:rsidR="00627E85" w:rsidRPr="00627E85" w:rsidRDefault="00627E85" w:rsidP="00627E85">
      <w:pPr>
        <w:pStyle w:val="paragraph"/>
        <w:numPr>
          <w:ilvl w:val="1"/>
          <w:numId w:val="8"/>
        </w:numPr>
        <w:spacing w:before="0" w:beforeAutospacing="0" w:after="0" w:afterAutospacing="0"/>
        <w:textAlignment w:val="baseline"/>
        <w:rPr>
          <w:rStyle w:val="eop"/>
          <w:rFonts w:ascii="Segoe UI" w:hAnsi="Segoe UI" w:cs="Segoe UI"/>
          <w:b/>
          <w:bCs/>
        </w:rPr>
      </w:pPr>
      <w:r w:rsidRPr="00627E85">
        <w:rPr>
          <w:rStyle w:val="normaltextrun"/>
          <w:rFonts w:ascii="Segoe UI" w:eastAsiaTheme="majorEastAsia" w:hAnsi="Segoe UI" w:cs="Segoe UI"/>
          <w:b/>
          <w:bCs/>
        </w:rPr>
        <w:t>For private companies, what databases or datasets should CARB rely on to identify reporting entities? What is the frequency by which these data are updated and how is it verified?</w:t>
      </w:r>
      <w:r w:rsidRPr="00627E85">
        <w:rPr>
          <w:rStyle w:val="eop"/>
          <w:rFonts w:ascii="Segoe UI" w:eastAsiaTheme="majorEastAsia" w:hAnsi="Segoe UI" w:cs="Segoe UI"/>
        </w:rPr>
        <w:t> </w:t>
      </w:r>
    </w:p>
    <w:p w14:paraId="4EDC1D92" w14:textId="77777777" w:rsidR="00627E85" w:rsidRDefault="00627E85" w:rsidP="00627E85">
      <w:pPr>
        <w:pStyle w:val="paragraph"/>
        <w:spacing w:before="0" w:beforeAutospacing="0" w:after="0" w:afterAutospacing="0"/>
        <w:ind w:left="1440"/>
        <w:textAlignment w:val="baseline"/>
        <w:rPr>
          <w:rFonts w:ascii="Segoe UI" w:hAnsi="Segoe UI" w:cs="Segoe UI"/>
          <w:b/>
          <w:bCs/>
        </w:rPr>
      </w:pPr>
    </w:p>
    <w:p w14:paraId="3554B926" w14:textId="77777777" w:rsidR="00693FC0" w:rsidRDefault="00D73AF5" w:rsidP="00627E85">
      <w:pPr>
        <w:pStyle w:val="paragraph"/>
        <w:spacing w:before="0" w:beforeAutospacing="0" w:after="0" w:afterAutospacing="0"/>
        <w:ind w:left="1440"/>
        <w:textAlignment w:val="baseline"/>
        <w:rPr>
          <w:rFonts w:ascii="Segoe UI" w:hAnsi="Segoe UI" w:cs="Segoe UI"/>
        </w:rPr>
      </w:pPr>
      <w:r w:rsidRPr="00D73AF5">
        <w:rPr>
          <w:rFonts w:ascii="Segoe UI" w:hAnsi="Segoe UI" w:cs="Segoe UI"/>
        </w:rPr>
        <w:t xml:space="preserve">To cost-effectively identify entities covered by SB 253 and SB 261, CARB should leverage publicly available and third-party commercial datasets that track corporate revenues and business activities in California. Key sources include California Franchise Tax Board (FTB) filings, Securities and Exchange Commission (SEC) filings for publicly traded companies, and business registration records from the California Secretary of State. </w:t>
      </w:r>
    </w:p>
    <w:p w14:paraId="20BE983C" w14:textId="77777777" w:rsidR="00693FC0" w:rsidRDefault="00693FC0" w:rsidP="00627E85">
      <w:pPr>
        <w:pStyle w:val="paragraph"/>
        <w:spacing w:before="0" w:beforeAutospacing="0" w:after="0" w:afterAutospacing="0"/>
        <w:ind w:left="1440"/>
        <w:textAlignment w:val="baseline"/>
        <w:rPr>
          <w:rFonts w:ascii="Segoe UI" w:hAnsi="Segoe UI" w:cs="Segoe UI"/>
        </w:rPr>
      </w:pPr>
    </w:p>
    <w:p w14:paraId="7C01044C" w14:textId="0E4FA6CC" w:rsidR="00D73AF5" w:rsidRPr="00D73AF5" w:rsidRDefault="00D73AF5" w:rsidP="00627E85">
      <w:pPr>
        <w:pStyle w:val="paragraph"/>
        <w:spacing w:before="0" w:beforeAutospacing="0" w:after="0" w:afterAutospacing="0"/>
        <w:ind w:left="1440"/>
        <w:textAlignment w:val="baseline"/>
        <w:rPr>
          <w:rFonts w:ascii="Segoe UI" w:hAnsi="Segoe UI" w:cs="Segoe UI"/>
        </w:rPr>
      </w:pPr>
      <w:r w:rsidRPr="00D73AF5">
        <w:rPr>
          <w:rFonts w:ascii="Segoe UI" w:hAnsi="Segoe UI" w:cs="Segoe UI"/>
        </w:rPr>
        <w:t xml:space="preserve">Additionally, CARB can utilize commercial databases such as Dun &amp; Bradstreet (D&amp;B), Orbis (Bureau van Dijk), Bloomberg, </w:t>
      </w:r>
      <w:proofErr w:type="spellStart"/>
      <w:r w:rsidRPr="00D73AF5">
        <w:rPr>
          <w:rFonts w:ascii="Segoe UI" w:hAnsi="Segoe UI" w:cs="Segoe UI"/>
        </w:rPr>
        <w:t>PitchBook</w:t>
      </w:r>
      <w:proofErr w:type="spellEnd"/>
      <w:r w:rsidRPr="00D73AF5">
        <w:rPr>
          <w:rFonts w:ascii="Segoe UI" w:hAnsi="Segoe UI" w:cs="Segoe UI"/>
        </w:rPr>
        <w:t xml:space="preserve"> and Capital IQ, which provide financial data, corporate linkages, and annual revenue figures. Many of these databases are updated quarterly or annually, ensuring timely access to financial disclosures. Verification can be enhanced through cross-referencing with sales tax records, payroll data, and industry-specific reports that indicate substantial business operations in the state.  </w:t>
      </w:r>
    </w:p>
    <w:p w14:paraId="4CB84DCD" w14:textId="77777777" w:rsidR="00A42056" w:rsidRPr="00627E85" w:rsidRDefault="00A42056" w:rsidP="00627E85">
      <w:pPr>
        <w:pStyle w:val="paragraph"/>
        <w:spacing w:before="0" w:beforeAutospacing="0" w:after="0" w:afterAutospacing="0"/>
        <w:ind w:left="1440"/>
        <w:textAlignment w:val="baseline"/>
        <w:rPr>
          <w:rFonts w:ascii="Segoe UI" w:hAnsi="Segoe UI" w:cs="Segoe UI"/>
          <w:b/>
          <w:bCs/>
        </w:rPr>
      </w:pPr>
    </w:p>
    <w:p w14:paraId="2361F8FC" w14:textId="77777777" w:rsidR="00D73AF5" w:rsidRPr="00D73AF5" w:rsidRDefault="00627E85" w:rsidP="00627E85">
      <w:pPr>
        <w:pStyle w:val="paragraph"/>
        <w:numPr>
          <w:ilvl w:val="1"/>
          <w:numId w:val="8"/>
        </w:numPr>
        <w:spacing w:before="0" w:beforeAutospacing="0" w:after="0" w:afterAutospacing="0"/>
        <w:textAlignment w:val="baseline"/>
        <w:rPr>
          <w:rStyle w:val="normaltextrun"/>
          <w:rFonts w:ascii="Segoe UI" w:hAnsi="Segoe UI" w:cs="Segoe UI"/>
          <w:b/>
          <w:bCs/>
        </w:rPr>
      </w:pPr>
      <w:r w:rsidRPr="00627E85">
        <w:rPr>
          <w:rStyle w:val="normaltextrun"/>
          <w:rFonts w:ascii="Segoe UI" w:eastAsiaTheme="majorEastAsia" w:hAnsi="Segoe UI" w:cs="Segoe UI"/>
          <w:b/>
          <w:bCs/>
        </w:rPr>
        <w:t>In what way(s) should CARB track parent/subsidiary relationships to assure companies doing business in California that report under a parent are clearly identified and included in any reporting requirements?</w:t>
      </w:r>
    </w:p>
    <w:p w14:paraId="1F431913" w14:textId="77777777" w:rsidR="00D73AF5" w:rsidRDefault="00D73AF5" w:rsidP="00D73AF5">
      <w:pPr>
        <w:pStyle w:val="paragraph"/>
        <w:spacing w:before="0" w:beforeAutospacing="0" w:after="0" w:afterAutospacing="0"/>
        <w:ind w:left="1440"/>
        <w:textAlignment w:val="baseline"/>
        <w:rPr>
          <w:rFonts w:ascii="Segoe UI" w:eastAsiaTheme="majorEastAsia" w:hAnsi="Segoe UI" w:cs="Segoe UI"/>
        </w:rPr>
      </w:pPr>
    </w:p>
    <w:p w14:paraId="5650BA1A" w14:textId="77777777" w:rsidR="00693FC0" w:rsidRDefault="00D73AF5" w:rsidP="00D73AF5">
      <w:pPr>
        <w:pStyle w:val="paragraph"/>
        <w:spacing w:before="0" w:beforeAutospacing="0" w:after="0" w:afterAutospacing="0"/>
        <w:ind w:left="1440"/>
        <w:textAlignment w:val="baseline"/>
        <w:rPr>
          <w:rFonts w:ascii="Segoe UI" w:eastAsiaTheme="majorEastAsia" w:hAnsi="Segoe UI" w:cs="Segoe UI"/>
        </w:rPr>
      </w:pPr>
      <w:r w:rsidRPr="00D73AF5">
        <w:rPr>
          <w:rFonts w:ascii="Segoe UI" w:eastAsiaTheme="majorEastAsia" w:hAnsi="Segoe UI" w:cs="Segoe UI"/>
        </w:rPr>
        <w:t>CARB should establish a robust and legally sound framework for tracking parent-subsidiary relationships to ensure comprehensive compliance with SB 253 and SB 261. Given the complexities of corporate structures, CARB should mandate that entities disclose ultimate parent ownership and all relevant subsidiaries through financial reporting mechanisms, leveraging publicly available data from SEC filings (Forms 10-K, 20-F), California Secretary of State business registrations, and international databases such as Orbis (Bureau van Dijk) and Dun &amp; Bradstreet (D&amp;B). These sources provide corporate hierarchies, beneficial ownership details, and financial linkages necessary to ensure that subsidiaries operating in California under a parent entity’s consolidated report are properly accounted for.</w:t>
      </w:r>
    </w:p>
    <w:p w14:paraId="10E4F313" w14:textId="77777777" w:rsidR="00693FC0" w:rsidRDefault="00693FC0" w:rsidP="00D73AF5">
      <w:pPr>
        <w:pStyle w:val="paragraph"/>
        <w:spacing w:before="0" w:beforeAutospacing="0" w:after="0" w:afterAutospacing="0"/>
        <w:ind w:left="1440"/>
        <w:textAlignment w:val="baseline"/>
        <w:rPr>
          <w:rFonts w:ascii="Segoe UI" w:eastAsiaTheme="majorEastAsia" w:hAnsi="Segoe UI" w:cs="Segoe UI"/>
        </w:rPr>
      </w:pPr>
    </w:p>
    <w:p w14:paraId="2E9DA813" w14:textId="72004F09" w:rsidR="00627E85" w:rsidRPr="00A42056" w:rsidRDefault="00D73AF5" w:rsidP="00D73AF5">
      <w:pPr>
        <w:pStyle w:val="paragraph"/>
        <w:spacing w:before="0" w:beforeAutospacing="0" w:after="0" w:afterAutospacing="0"/>
        <w:ind w:left="1440"/>
        <w:textAlignment w:val="baseline"/>
        <w:rPr>
          <w:rStyle w:val="eop"/>
          <w:rFonts w:ascii="Segoe UI" w:hAnsi="Segoe UI" w:cs="Segoe UI"/>
          <w:b/>
          <w:bCs/>
        </w:rPr>
      </w:pPr>
      <w:r w:rsidRPr="00D73AF5">
        <w:rPr>
          <w:rFonts w:ascii="Segoe UI" w:eastAsiaTheme="majorEastAsia" w:hAnsi="Segoe UI" w:cs="Segoe UI"/>
        </w:rPr>
        <w:lastRenderedPageBreak/>
        <w:t>Additionally, CARB should require reporting entities to submit organizational structure disclosures, identifying all subsidiaries meeting the revenue and business activity thresholds. This requirement would prevent companies from exploiting fragmented corporate structures to evade compliance. </w:t>
      </w:r>
      <w:r w:rsidR="00627E85" w:rsidRPr="00627E85">
        <w:rPr>
          <w:rStyle w:val="eop"/>
          <w:rFonts w:ascii="Segoe UI" w:eastAsiaTheme="majorEastAsia" w:hAnsi="Segoe UI" w:cs="Segoe UI"/>
        </w:rPr>
        <w:t> </w:t>
      </w:r>
    </w:p>
    <w:p w14:paraId="3A5AEA39" w14:textId="77777777" w:rsidR="00A42056" w:rsidRPr="00627E85" w:rsidRDefault="00A42056" w:rsidP="00A42056">
      <w:pPr>
        <w:pStyle w:val="paragraph"/>
        <w:spacing w:before="0" w:beforeAutospacing="0" w:after="0" w:afterAutospacing="0"/>
        <w:textAlignment w:val="baseline"/>
        <w:rPr>
          <w:rStyle w:val="eop"/>
          <w:rFonts w:ascii="Segoe UI" w:hAnsi="Segoe UI" w:cs="Segoe UI"/>
          <w:b/>
          <w:bCs/>
        </w:rPr>
      </w:pPr>
    </w:p>
    <w:p w14:paraId="5732C772" w14:textId="77777777" w:rsidR="00627E85" w:rsidRDefault="00627E85" w:rsidP="00627E85">
      <w:pPr>
        <w:pStyle w:val="ListParagraph"/>
        <w:rPr>
          <w:rFonts w:ascii="Segoe UI" w:hAnsi="Segoe UI" w:cs="Segoe UI"/>
          <w:b/>
          <w:bCs/>
          <w:sz w:val="18"/>
          <w:szCs w:val="18"/>
        </w:rPr>
      </w:pPr>
    </w:p>
    <w:p w14:paraId="07B8CA3A" w14:textId="7DAA8490" w:rsidR="00627E85" w:rsidRPr="00627E85" w:rsidRDefault="00627E85" w:rsidP="00627E85">
      <w:pPr>
        <w:pStyle w:val="paragraph"/>
        <w:spacing w:before="0" w:beforeAutospacing="0" w:after="0" w:afterAutospacing="0"/>
        <w:textAlignment w:val="baseline"/>
        <w:rPr>
          <w:rFonts w:ascii="Segoe UI" w:hAnsi="Segoe UI" w:cs="Segoe UI"/>
          <w:u w:val="single"/>
        </w:rPr>
      </w:pPr>
      <w:r w:rsidRPr="00627E85">
        <w:rPr>
          <w:rFonts w:ascii="Segoe UI" w:hAnsi="Segoe UI" w:cs="Segoe UI"/>
          <w:u w:val="single"/>
        </w:rPr>
        <w:t>General: Standards in Regulation</w:t>
      </w:r>
    </w:p>
    <w:p w14:paraId="71459E6A" w14:textId="77777777" w:rsidR="00627E85" w:rsidRDefault="00627E85" w:rsidP="00627E85">
      <w:pPr>
        <w:pStyle w:val="ListParagraph"/>
        <w:rPr>
          <w:rStyle w:val="normaltextrun"/>
          <w:rFonts w:ascii="Segoe UI" w:eastAsiaTheme="majorEastAsia" w:hAnsi="Segoe UI" w:cs="Segoe UI"/>
        </w:rPr>
      </w:pPr>
    </w:p>
    <w:p w14:paraId="5C33ACD0" w14:textId="77777777" w:rsidR="00627E85" w:rsidRDefault="00627E85" w:rsidP="00627E85">
      <w:pPr>
        <w:pStyle w:val="paragraph"/>
        <w:numPr>
          <w:ilvl w:val="0"/>
          <w:numId w:val="8"/>
        </w:numPr>
        <w:spacing w:before="0" w:beforeAutospacing="0" w:after="0" w:afterAutospacing="0"/>
        <w:textAlignment w:val="baseline"/>
        <w:rPr>
          <w:rFonts w:ascii="Segoe UI" w:hAnsi="Segoe UI" w:cs="Segoe UI"/>
          <w:b/>
          <w:bCs/>
        </w:rPr>
      </w:pPr>
      <w:r w:rsidRPr="00627E85">
        <w:rPr>
          <w:rStyle w:val="normaltextrun"/>
          <w:rFonts w:ascii="Segoe UI" w:eastAsiaTheme="majorEastAsia" w:hAnsi="Segoe UI" w:cs="Segoe UI"/>
          <w:b/>
          <w:bCs/>
        </w:rPr>
        <w:t>CARB is tasked with implementing both SB 253 and 261 in ways that would rely on protocols or standards published by external and potentially non-governmental entities.</w:t>
      </w:r>
      <w:r w:rsidRPr="00627E85">
        <w:rPr>
          <w:rStyle w:val="eop"/>
          <w:rFonts w:ascii="Segoe UI" w:eastAsiaTheme="majorEastAsia" w:hAnsi="Segoe UI" w:cs="Segoe UI"/>
          <w:b/>
          <w:bCs/>
        </w:rPr>
        <w:t> </w:t>
      </w:r>
    </w:p>
    <w:p w14:paraId="45645396" w14:textId="404FF82C" w:rsidR="00A42056" w:rsidRPr="00D73AF5" w:rsidRDefault="00627E85" w:rsidP="00D73AF5">
      <w:pPr>
        <w:pStyle w:val="paragraph"/>
        <w:numPr>
          <w:ilvl w:val="1"/>
          <w:numId w:val="8"/>
        </w:numPr>
        <w:spacing w:before="0" w:beforeAutospacing="0" w:after="0" w:afterAutospacing="0"/>
        <w:textAlignment w:val="baseline"/>
        <w:rPr>
          <w:rFonts w:ascii="Segoe UI" w:hAnsi="Segoe UI" w:cs="Segoe UI"/>
          <w:b/>
          <w:bCs/>
        </w:rPr>
      </w:pPr>
      <w:r w:rsidRPr="00627E85">
        <w:rPr>
          <w:rStyle w:val="normaltextrun"/>
          <w:rFonts w:ascii="Segoe UI" w:eastAsiaTheme="majorEastAsia" w:hAnsi="Segoe UI" w:cs="Segoe UI"/>
          <w:b/>
          <w:bCs/>
        </w:rPr>
        <w:t>How do we ensure that CARB’s regulations address California-specific needs and are also kept current and stay in alignment with standards incorporated into the statute as these external standards and protocols evolve?</w:t>
      </w:r>
      <w:r w:rsidRPr="00627E85">
        <w:rPr>
          <w:rStyle w:val="eop"/>
          <w:rFonts w:ascii="Segoe UI" w:eastAsiaTheme="majorEastAsia" w:hAnsi="Segoe UI" w:cs="Segoe UI"/>
          <w:b/>
          <w:bCs/>
        </w:rPr>
        <w:t> </w:t>
      </w:r>
    </w:p>
    <w:p w14:paraId="38CEE771" w14:textId="3CB16567" w:rsidR="00D73AF5" w:rsidRPr="00D73AF5" w:rsidRDefault="00D73AF5" w:rsidP="00D73AF5">
      <w:pPr>
        <w:pStyle w:val="paragraph"/>
        <w:ind w:left="1440"/>
        <w:rPr>
          <w:rFonts w:ascii="Segoe UI" w:hAnsi="Segoe UI" w:cs="Segoe UI"/>
        </w:rPr>
      </w:pPr>
      <w:r w:rsidRPr="00D73AF5">
        <w:rPr>
          <w:rFonts w:ascii="Segoe UI" w:hAnsi="Segoe UI" w:cs="Segoe UI"/>
        </w:rPr>
        <w:t xml:space="preserve">To ensure that CARB’s regulations under SB 253 and SB 261 address California-specific priorities while remaining current and aligned with evolving external standards, CARB must establish a structured, adaptive regulatory framework that integrates external protocols while preserving the state's authority to maintain </w:t>
      </w:r>
      <w:r w:rsidR="00693FC0">
        <w:rPr>
          <w:rFonts w:ascii="Segoe UI" w:hAnsi="Segoe UI" w:cs="Segoe UI"/>
        </w:rPr>
        <w:t>robust</w:t>
      </w:r>
      <w:r w:rsidRPr="00D73AF5">
        <w:rPr>
          <w:rFonts w:ascii="Segoe UI" w:hAnsi="Segoe UI" w:cs="Segoe UI"/>
        </w:rPr>
        <w:t xml:space="preserve"> and enforceable climate disclosure requirements. Given that external standards</w:t>
      </w:r>
      <w:r w:rsidR="00693FC0">
        <w:rPr>
          <w:rFonts w:ascii="Segoe UI" w:hAnsi="Segoe UI" w:cs="Segoe UI"/>
        </w:rPr>
        <w:t xml:space="preserve">, </w:t>
      </w:r>
      <w:proofErr w:type="spellStart"/>
      <w:r w:rsidR="00693FC0">
        <w:rPr>
          <w:rFonts w:ascii="Segoe UI" w:hAnsi="Segoe UI" w:cs="Segoe UI"/>
        </w:rPr>
        <w:t>framworks</w:t>
      </w:r>
      <w:proofErr w:type="spellEnd"/>
      <w:r w:rsidR="00693FC0">
        <w:rPr>
          <w:rFonts w:ascii="Segoe UI" w:hAnsi="Segoe UI" w:cs="Segoe UI"/>
        </w:rPr>
        <w:t>,</w:t>
      </w:r>
      <w:r w:rsidRPr="00D73AF5">
        <w:rPr>
          <w:rFonts w:ascii="Segoe UI" w:hAnsi="Segoe UI" w:cs="Segoe UI"/>
        </w:rPr>
        <w:t xml:space="preserve"> and protocols—such as the GHG Protocol, Task Force on Climate-related Disclosures (TCFD), IFRS Sustainability Reporting Standards, and </w:t>
      </w:r>
      <w:r w:rsidR="00693FC0">
        <w:rPr>
          <w:rFonts w:ascii="Segoe UI" w:hAnsi="Segoe UI" w:cs="Segoe UI"/>
        </w:rPr>
        <w:t xml:space="preserve">European Sustainability Reporting Standards </w:t>
      </w:r>
      <w:r w:rsidRPr="00D73AF5">
        <w:rPr>
          <w:rFonts w:ascii="Segoe UI" w:hAnsi="Segoe UI" w:cs="Segoe UI"/>
        </w:rPr>
        <w:t>(</w:t>
      </w:r>
      <w:r w:rsidR="00693FC0">
        <w:rPr>
          <w:rFonts w:ascii="Segoe UI" w:hAnsi="Segoe UI" w:cs="Segoe UI"/>
        </w:rPr>
        <w:t>ESRS</w:t>
      </w:r>
      <w:r w:rsidRPr="00D73AF5">
        <w:rPr>
          <w:rFonts w:ascii="Segoe UI" w:hAnsi="Segoe UI" w:cs="Segoe UI"/>
        </w:rPr>
        <w:t>)—are subject to periodic revisions by non-governmental and international entities, CARB must implement a formalized review process requiring regular assessments and updates (e.g., on a biennial or triennial basis) to evaluate the applicability, effectiveness, and relevance of these standards and new emerging standards in the context of California’s statutory and policy objectives.  SB 261 already hints at the need for such a process by opening the door to the adoption of “any successor thereto” which builds upon TCFD’s principles. </w:t>
      </w:r>
    </w:p>
    <w:p w14:paraId="44CDB6C5" w14:textId="6D66B285" w:rsidR="00D73AF5" w:rsidRPr="00D73AF5" w:rsidRDefault="00D73AF5" w:rsidP="00D73AF5">
      <w:pPr>
        <w:pStyle w:val="paragraph"/>
        <w:ind w:left="1440"/>
        <w:rPr>
          <w:rFonts w:ascii="Segoe UI" w:hAnsi="Segoe UI" w:cs="Segoe UI"/>
        </w:rPr>
      </w:pPr>
      <w:r w:rsidRPr="00D73AF5">
        <w:rPr>
          <w:rFonts w:ascii="Segoe UI" w:hAnsi="Segoe UI" w:cs="Segoe UI"/>
        </w:rPr>
        <w:t xml:space="preserve">Furthermore, CARB should establish a stakeholder consultation mechanism, </w:t>
      </w:r>
      <w:proofErr w:type="gramStart"/>
      <w:r w:rsidR="00693FC0">
        <w:rPr>
          <w:rFonts w:ascii="Segoe UI" w:hAnsi="Segoe UI" w:cs="Segoe UI"/>
        </w:rPr>
        <w:t>similar to</w:t>
      </w:r>
      <w:proofErr w:type="gramEnd"/>
      <w:r w:rsidRPr="00D73AF5">
        <w:rPr>
          <w:rFonts w:ascii="Segoe UI" w:hAnsi="Segoe UI" w:cs="Segoe UI"/>
        </w:rPr>
        <w:t xml:space="preserve"> this Information Solicitation, that solicits input from regulated entities, </w:t>
      </w:r>
      <w:r w:rsidR="00C77941">
        <w:rPr>
          <w:rFonts w:ascii="Segoe UI" w:hAnsi="Segoe UI" w:cs="Segoe UI"/>
        </w:rPr>
        <w:t xml:space="preserve">sustainability-focused consultancies, </w:t>
      </w:r>
      <w:r w:rsidRPr="00D73AF5">
        <w:rPr>
          <w:rFonts w:ascii="Segoe UI" w:hAnsi="Segoe UI" w:cs="Segoe UI"/>
        </w:rPr>
        <w:t xml:space="preserve">academic experts, public interest organizations, and technical advisory committees to determine whether modifications to external standards or the emergence of new, more appropriate standards necessitate regulatory amendments </w:t>
      </w:r>
      <w:r w:rsidRPr="00D73AF5">
        <w:rPr>
          <w:rFonts w:ascii="Segoe UI" w:hAnsi="Segoe UI" w:cs="Segoe UI"/>
        </w:rPr>
        <w:lastRenderedPageBreak/>
        <w:t>or adjustments. This will ensure that regulatory changes reflect scientific advancements, market developments, and legal considerations, rather than being automatically dictated by external bodies whose priorities may not fully align with California’s climate goals. </w:t>
      </w:r>
    </w:p>
    <w:p w14:paraId="5B108F1E" w14:textId="77777777" w:rsidR="00D73AF5" w:rsidRDefault="00627E85" w:rsidP="00D73AF5">
      <w:pPr>
        <w:pStyle w:val="paragraph"/>
        <w:numPr>
          <w:ilvl w:val="1"/>
          <w:numId w:val="8"/>
        </w:numPr>
        <w:spacing w:before="0" w:beforeAutospacing="0" w:after="0" w:afterAutospacing="0"/>
        <w:textAlignment w:val="baseline"/>
        <w:rPr>
          <w:rStyle w:val="eop"/>
          <w:rFonts w:ascii="Segoe UI" w:hAnsi="Segoe UI" w:cs="Segoe UI"/>
          <w:b/>
          <w:bCs/>
        </w:rPr>
      </w:pPr>
      <w:r w:rsidRPr="00A42056">
        <w:rPr>
          <w:rStyle w:val="normaltextrun"/>
          <w:rFonts w:ascii="Segoe UI" w:eastAsiaTheme="majorEastAsia" w:hAnsi="Segoe UI" w:cs="Segoe UI"/>
          <w:b/>
          <w:bCs/>
        </w:rPr>
        <w:t>How could CARB ensure reporting under the laws minimizes a duplication of effort for entities that are required to report GHG emissions or financial risk under other mandatory programs and under SB 253 or 261 reporting requirements?</w:t>
      </w:r>
      <w:r w:rsidRPr="00A42056">
        <w:rPr>
          <w:rStyle w:val="eop"/>
          <w:rFonts w:ascii="Segoe UI" w:eastAsiaTheme="majorEastAsia" w:hAnsi="Segoe UI" w:cs="Segoe UI"/>
          <w:b/>
          <w:bCs/>
        </w:rPr>
        <w:t> </w:t>
      </w:r>
    </w:p>
    <w:p w14:paraId="6DA388A2" w14:textId="77777777" w:rsidR="00D73AF5" w:rsidRDefault="00D73AF5" w:rsidP="00D73AF5">
      <w:pPr>
        <w:pStyle w:val="paragraph"/>
        <w:spacing w:before="0" w:beforeAutospacing="0" w:after="0" w:afterAutospacing="0"/>
        <w:ind w:left="1440"/>
        <w:textAlignment w:val="baseline"/>
        <w:rPr>
          <w:rStyle w:val="eop"/>
          <w:rFonts w:ascii="Segoe UI" w:hAnsi="Segoe UI" w:cs="Segoe UI"/>
          <w:b/>
          <w:bCs/>
        </w:rPr>
      </w:pPr>
    </w:p>
    <w:p w14:paraId="54B3DBC3" w14:textId="77777777" w:rsidR="00C77941" w:rsidRDefault="00D73AF5" w:rsidP="00D73AF5">
      <w:pPr>
        <w:pStyle w:val="paragraph"/>
        <w:spacing w:before="0" w:beforeAutospacing="0" w:after="0" w:afterAutospacing="0"/>
        <w:ind w:left="1440"/>
        <w:textAlignment w:val="baseline"/>
        <w:rPr>
          <w:rFonts w:ascii="Segoe UI" w:hAnsi="Segoe UI" w:cs="Segoe UI"/>
        </w:rPr>
      </w:pPr>
      <w:r w:rsidRPr="00D73AF5">
        <w:rPr>
          <w:rFonts w:ascii="Segoe UI" w:hAnsi="Segoe UI" w:cs="Segoe UI"/>
        </w:rPr>
        <w:t xml:space="preserve">CARB should seek to understand the standards and frameworks that underlie existing mandatory programs – as CARB is already </w:t>
      </w:r>
      <w:r w:rsidR="00C77941">
        <w:rPr>
          <w:rFonts w:ascii="Segoe UI" w:hAnsi="Segoe UI" w:cs="Segoe UI"/>
        </w:rPr>
        <w:t>pursuing</w:t>
      </w:r>
      <w:r w:rsidRPr="00D73AF5">
        <w:rPr>
          <w:rFonts w:ascii="Segoe UI" w:hAnsi="Segoe UI" w:cs="Segoe UI"/>
        </w:rPr>
        <w:t xml:space="preserve"> in questions 7 and 13.  We have listed example standards</w:t>
      </w:r>
      <w:r w:rsidR="00C77941">
        <w:rPr>
          <w:rFonts w:ascii="Segoe UI" w:hAnsi="Segoe UI" w:cs="Segoe UI"/>
        </w:rPr>
        <w:t xml:space="preserve"> and </w:t>
      </w:r>
      <w:r w:rsidRPr="00D73AF5">
        <w:rPr>
          <w:rFonts w:ascii="Segoe UI" w:hAnsi="Segoe UI" w:cs="Segoe UI"/>
        </w:rPr>
        <w:t xml:space="preserve">frameworks in those responses.  </w:t>
      </w:r>
    </w:p>
    <w:p w14:paraId="6ACFD60A" w14:textId="77777777" w:rsidR="00C77941" w:rsidRDefault="00C77941" w:rsidP="00D73AF5">
      <w:pPr>
        <w:pStyle w:val="paragraph"/>
        <w:spacing w:before="0" w:beforeAutospacing="0" w:after="0" w:afterAutospacing="0"/>
        <w:ind w:left="1440"/>
        <w:textAlignment w:val="baseline"/>
        <w:rPr>
          <w:rFonts w:ascii="Segoe UI" w:hAnsi="Segoe UI" w:cs="Segoe UI"/>
        </w:rPr>
      </w:pPr>
    </w:p>
    <w:p w14:paraId="20A1109D" w14:textId="1302BB15" w:rsidR="00A42056" w:rsidRPr="00D73AF5" w:rsidRDefault="00D73AF5" w:rsidP="00D73AF5">
      <w:pPr>
        <w:pStyle w:val="paragraph"/>
        <w:spacing w:before="0" w:beforeAutospacing="0" w:after="0" w:afterAutospacing="0"/>
        <w:ind w:left="1440"/>
        <w:textAlignment w:val="baseline"/>
        <w:rPr>
          <w:rStyle w:val="eop"/>
          <w:rFonts w:ascii="Segoe UI" w:hAnsi="Segoe UI" w:cs="Segoe UI"/>
        </w:rPr>
      </w:pPr>
      <w:r w:rsidRPr="00D73AF5">
        <w:rPr>
          <w:rFonts w:ascii="Segoe UI" w:hAnsi="Segoe UI" w:cs="Segoe UI"/>
        </w:rPr>
        <w:t>Using this Information Solicitation and stakeholder consultation mechanism above, CARB should assess the credibility and relevance of those standards and frameworks for CARB’s needs, seeking to pursue both alignment with widely accepted standards today and the establishment of a mechanism to align with new emerging standards over time.  </w:t>
      </w:r>
    </w:p>
    <w:p w14:paraId="53586527" w14:textId="77777777" w:rsidR="00A42056" w:rsidRPr="00A42056" w:rsidRDefault="00A42056" w:rsidP="00A42056">
      <w:pPr>
        <w:pStyle w:val="paragraph"/>
        <w:spacing w:before="0" w:beforeAutospacing="0" w:after="0" w:afterAutospacing="0"/>
        <w:ind w:left="1440"/>
        <w:textAlignment w:val="baseline"/>
        <w:rPr>
          <w:rFonts w:ascii="Segoe UI" w:hAnsi="Segoe UI" w:cs="Segoe UI"/>
          <w:b/>
          <w:bCs/>
        </w:rPr>
      </w:pPr>
    </w:p>
    <w:p w14:paraId="54FD449A" w14:textId="77777777" w:rsidR="00A42056" w:rsidRPr="00A42056" w:rsidRDefault="00627E85" w:rsidP="00627E85">
      <w:pPr>
        <w:pStyle w:val="paragraph"/>
        <w:numPr>
          <w:ilvl w:val="1"/>
          <w:numId w:val="8"/>
        </w:numPr>
        <w:spacing w:before="0" w:beforeAutospacing="0" w:after="0" w:afterAutospacing="0"/>
        <w:textAlignment w:val="baseline"/>
        <w:rPr>
          <w:rStyle w:val="eop"/>
          <w:rFonts w:ascii="Segoe UI" w:hAnsi="Segoe UI" w:cs="Segoe UI"/>
          <w:b/>
          <w:bCs/>
        </w:rPr>
      </w:pPr>
      <w:r w:rsidRPr="00A42056">
        <w:rPr>
          <w:rStyle w:val="normaltextrun"/>
          <w:rFonts w:ascii="Segoe UI" w:eastAsiaTheme="majorEastAsia" w:hAnsi="Segoe UI" w:cs="Segoe UI"/>
          <w:b/>
          <w:bCs/>
        </w:rPr>
        <w:t>To the extent the standards and protocols incorporated into the statute provide flexibility in reporting methods, should reporting entities be required to pick a specific reporting method and consistently use it year-to-year?</w:t>
      </w:r>
      <w:r w:rsidRPr="00A42056">
        <w:rPr>
          <w:rStyle w:val="eop"/>
          <w:rFonts w:ascii="Segoe UI" w:eastAsiaTheme="majorEastAsia" w:hAnsi="Segoe UI" w:cs="Segoe UI"/>
          <w:b/>
          <w:bCs/>
        </w:rPr>
        <w:t> </w:t>
      </w:r>
    </w:p>
    <w:p w14:paraId="0256F23A" w14:textId="77777777" w:rsidR="00A42056" w:rsidRDefault="00A42056" w:rsidP="00A42056">
      <w:pPr>
        <w:pStyle w:val="paragraph"/>
        <w:spacing w:before="0" w:beforeAutospacing="0" w:after="0" w:afterAutospacing="0"/>
        <w:ind w:left="1440"/>
        <w:textAlignment w:val="baseline"/>
        <w:rPr>
          <w:rStyle w:val="eop"/>
          <w:rFonts w:ascii="Segoe UI" w:eastAsiaTheme="majorEastAsia" w:hAnsi="Segoe UI" w:cs="Segoe UI"/>
        </w:rPr>
      </w:pPr>
    </w:p>
    <w:p w14:paraId="68EDFB3E" w14:textId="77777777" w:rsidR="00C77941" w:rsidRDefault="00D73AF5" w:rsidP="00A42056">
      <w:pPr>
        <w:pStyle w:val="paragraph"/>
        <w:spacing w:before="0" w:beforeAutospacing="0" w:after="0" w:afterAutospacing="0"/>
        <w:ind w:left="1440"/>
        <w:textAlignment w:val="baseline"/>
        <w:rPr>
          <w:rFonts w:ascii="Segoe UI" w:eastAsiaTheme="majorEastAsia" w:hAnsi="Segoe UI" w:cs="Segoe UI"/>
        </w:rPr>
      </w:pPr>
      <w:r w:rsidRPr="00D73AF5">
        <w:rPr>
          <w:rFonts w:ascii="Segoe UI" w:eastAsiaTheme="majorEastAsia" w:hAnsi="Segoe UI" w:cs="Segoe UI"/>
        </w:rPr>
        <w:t xml:space="preserve">CARB should recommend that covered entities maintain the same reporting method year-over-year, such as </w:t>
      </w:r>
      <w:r w:rsidR="00C77941">
        <w:rPr>
          <w:rFonts w:ascii="Segoe UI" w:eastAsiaTheme="majorEastAsia" w:hAnsi="Segoe UI" w:cs="Segoe UI"/>
        </w:rPr>
        <w:t>the</w:t>
      </w:r>
      <w:r w:rsidRPr="00D73AF5">
        <w:rPr>
          <w:rFonts w:ascii="Segoe UI" w:eastAsiaTheme="majorEastAsia" w:hAnsi="Segoe UI" w:cs="Segoe UI"/>
        </w:rPr>
        <w:t xml:space="preserve"> “control” method applied within the GHG Protocol, to ensure consistency and comparability</w:t>
      </w:r>
      <w:r w:rsidR="001B6DC5">
        <w:rPr>
          <w:rFonts w:ascii="Segoe UI" w:eastAsiaTheme="majorEastAsia" w:hAnsi="Segoe UI" w:cs="Segoe UI"/>
        </w:rPr>
        <w:t>, given c</w:t>
      </w:r>
      <w:r w:rsidR="001B6DC5" w:rsidRPr="001B6DC5">
        <w:rPr>
          <w:rFonts w:ascii="Segoe UI" w:eastAsiaTheme="majorEastAsia" w:hAnsi="Segoe UI" w:cs="Segoe UI"/>
        </w:rPr>
        <w:t xml:space="preserve">onsistency is one of the </w:t>
      </w:r>
      <w:r w:rsidR="001B6DC5">
        <w:rPr>
          <w:rFonts w:ascii="Segoe UI" w:eastAsiaTheme="majorEastAsia" w:hAnsi="Segoe UI" w:cs="Segoe UI"/>
        </w:rPr>
        <w:t>five</w:t>
      </w:r>
      <w:r w:rsidR="001B6DC5" w:rsidRPr="001B6DC5">
        <w:rPr>
          <w:rFonts w:ascii="Segoe UI" w:eastAsiaTheme="majorEastAsia" w:hAnsi="Segoe UI" w:cs="Segoe UI"/>
        </w:rPr>
        <w:t xml:space="preserve"> core principles of the GHG Protocol</w:t>
      </w:r>
      <w:r w:rsidR="001B6DC5">
        <w:rPr>
          <w:rFonts w:ascii="Segoe UI" w:eastAsiaTheme="majorEastAsia" w:hAnsi="Segoe UI" w:cs="Segoe UI"/>
        </w:rPr>
        <w:t xml:space="preserve"> Corporate Standard</w:t>
      </w:r>
      <w:r w:rsidR="004C4F14">
        <w:rPr>
          <w:rStyle w:val="FootnoteReference"/>
          <w:rFonts w:ascii="Segoe UI" w:eastAsiaTheme="majorEastAsia" w:hAnsi="Segoe UI" w:cs="Segoe UI"/>
        </w:rPr>
        <w:footnoteReference w:id="2"/>
      </w:r>
      <w:r w:rsidRPr="00D73AF5">
        <w:rPr>
          <w:rFonts w:ascii="Segoe UI" w:eastAsiaTheme="majorEastAsia" w:hAnsi="Segoe UI" w:cs="Segoe UI"/>
        </w:rPr>
        <w:t xml:space="preserve">.  </w:t>
      </w:r>
    </w:p>
    <w:p w14:paraId="18786800" w14:textId="77777777" w:rsidR="00C77941" w:rsidRDefault="00C77941" w:rsidP="00A42056">
      <w:pPr>
        <w:pStyle w:val="paragraph"/>
        <w:spacing w:before="0" w:beforeAutospacing="0" w:after="0" w:afterAutospacing="0"/>
        <w:ind w:left="1440"/>
        <w:textAlignment w:val="baseline"/>
        <w:rPr>
          <w:rFonts w:ascii="Segoe UI" w:eastAsiaTheme="majorEastAsia" w:hAnsi="Segoe UI" w:cs="Segoe UI"/>
        </w:rPr>
      </w:pPr>
    </w:p>
    <w:p w14:paraId="457385FA" w14:textId="0CCC662C" w:rsidR="00D73AF5" w:rsidRDefault="00D73AF5" w:rsidP="00A42056">
      <w:pPr>
        <w:pStyle w:val="paragraph"/>
        <w:spacing w:before="0" w:beforeAutospacing="0" w:after="0" w:afterAutospacing="0"/>
        <w:ind w:left="1440"/>
        <w:textAlignment w:val="baseline"/>
        <w:rPr>
          <w:rStyle w:val="eop"/>
          <w:rFonts w:ascii="Segoe UI" w:eastAsiaTheme="majorEastAsia" w:hAnsi="Segoe UI" w:cs="Segoe UI"/>
        </w:rPr>
      </w:pPr>
      <w:r w:rsidRPr="00D73AF5">
        <w:rPr>
          <w:rFonts w:ascii="Segoe UI" w:eastAsiaTheme="majorEastAsia" w:hAnsi="Segoe UI" w:cs="Segoe UI"/>
        </w:rPr>
        <w:t>If covered entities change their reporting method year-over-year, CARB should require covered entities to clearly disclose any reporting method changes and justification for doing so.  This approach ensures transparency and consistency, but also allows for methodological improvement and adaption as business models and/or reporting standards evolve. </w:t>
      </w:r>
    </w:p>
    <w:p w14:paraId="6B6B38F6" w14:textId="77777777" w:rsidR="00A42056" w:rsidRDefault="00A42056" w:rsidP="00A42056">
      <w:pPr>
        <w:pStyle w:val="paragraph"/>
        <w:spacing w:before="0" w:beforeAutospacing="0" w:after="0" w:afterAutospacing="0"/>
        <w:ind w:left="1440"/>
        <w:textAlignment w:val="baseline"/>
        <w:rPr>
          <w:rStyle w:val="eop"/>
          <w:rFonts w:ascii="Segoe UI" w:eastAsiaTheme="majorEastAsia" w:hAnsi="Segoe UI" w:cs="Segoe UI"/>
        </w:rPr>
      </w:pPr>
    </w:p>
    <w:p w14:paraId="2BCE5953" w14:textId="7A705580" w:rsidR="00A42056" w:rsidRPr="00627E85" w:rsidRDefault="00A42056" w:rsidP="00A42056">
      <w:pPr>
        <w:pStyle w:val="paragraph"/>
        <w:spacing w:before="0" w:beforeAutospacing="0" w:after="0" w:afterAutospacing="0"/>
        <w:textAlignment w:val="baseline"/>
        <w:rPr>
          <w:rFonts w:ascii="Segoe UI" w:hAnsi="Segoe UI" w:cs="Segoe UI"/>
          <w:u w:val="single"/>
        </w:rPr>
      </w:pPr>
      <w:r w:rsidRPr="00627E85">
        <w:rPr>
          <w:rFonts w:ascii="Segoe UI" w:hAnsi="Segoe UI" w:cs="Segoe UI"/>
          <w:u w:val="single"/>
        </w:rPr>
        <w:lastRenderedPageBreak/>
        <w:t xml:space="preserve">General: </w:t>
      </w:r>
      <w:r>
        <w:rPr>
          <w:rFonts w:ascii="Segoe UI" w:hAnsi="Segoe UI" w:cs="Segoe UI"/>
          <w:u w:val="single"/>
        </w:rPr>
        <w:t>Data Reporting</w:t>
      </w:r>
    </w:p>
    <w:p w14:paraId="280B5104" w14:textId="77777777" w:rsidR="00A42056" w:rsidRDefault="00A42056" w:rsidP="00A42056">
      <w:pPr>
        <w:pStyle w:val="paragraph"/>
        <w:spacing w:before="0" w:beforeAutospacing="0" w:after="0" w:afterAutospacing="0"/>
        <w:textAlignment w:val="baseline"/>
        <w:rPr>
          <w:rFonts w:ascii="Segoe UI" w:hAnsi="Segoe UI" w:cs="Segoe UI"/>
          <w:b/>
          <w:bCs/>
        </w:rPr>
      </w:pPr>
    </w:p>
    <w:p w14:paraId="36BE99B3" w14:textId="77777777" w:rsidR="00D73AF5" w:rsidRDefault="00627E85" w:rsidP="00D73AF5">
      <w:pPr>
        <w:pStyle w:val="paragraph"/>
        <w:numPr>
          <w:ilvl w:val="0"/>
          <w:numId w:val="8"/>
        </w:numPr>
        <w:spacing w:before="0" w:beforeAutospacing="0" w:after="0" w:afterAutospacing="0"/>
        <w:textAlignment w:val="baseline"/>
        <w:rPr>
          <w:rStyle w:val="eop"/>
          <w:rFonts w:ascii="Segoe UI" w:hAnsi="Segoe UI" w:cs="Segoe UI"/>
          <w:b/>
          <w:bCs/>
        </w:rPr>
      </w:pPr>
      <w:r w:rsidRPr="00A42056">
        <w:rPr>
          <w:rStyle w:val="normaltextrun"/>
          <w:rFonts w:ascii="Segoe UI" w:eastAsiaTheme="majorEastAsia" w:hAnsi="Segoe UI" w:cs="Segoe UI"/>
          <w:b/>
          <w:bCs/>
        </w:rPr>
        <w:t>To inform CARB’s regulatory processes, are there any public datasets that identify the costs for voluntary reporting already being submitted by companies? What factors affect the cost or anticipated cost for entities to comply with either legislation? What data should CARB rely on when assessing the fiscal impacts of either regulation?</w:t>
      </w:r>
      <w:r w:rsidRPr="00A42056">
        <w:rPr>
          <w:rStyle w:val="eop"/>
          <w:rFonts w:ascii="Segoe UI" w:eastAsiaTheme="majorEastAsia" w:hAnsi="Segoe UI" w:cs="Segoe UI"/>
          <w:b/>
          <w:bCs/>
        </w:rPr>
        <w:t> </w:t>
      </w:r>
    </w:p>
    <w:p w14:paraId="0BA1379A" w14:textId="77777777" w:rsidR="00D73AF5" w:rsidRDefault="00D73AF5" w:rsidP="00D73AF5">
      <w:pPr>
        <w:pStyle w:val="paragraph"/>
        <w:spacing w:before="0" w:beforeAutospacing="0" w:after="0" w:afterAutospacing="0"/>
        <w:ind w:left="720"/>
        <w:textAlignment w:val="baseline"/>
        <w:rPr>
          <w:rStyle w:val="eop"/>
          <w:rFonts w:ascii="Segoe UI" w:hAnsi="Segoe UI" w:cs="Segoe UI"/>
          <w:b/>
          <w:bCs/>
        </w:rPr>
      </w:pPr>
    </w:p>
    <w:p w14:paraId="5062AB28" w14:textId="06F1F719" w:rsidR="00D73AF5" w:rsidRPr="00D73AF5" w:rsidRDefault="00D73AF5" w:rsidP="00D73AF5">
      <w:pPr>
        <w:pStyle w:val="paragraph"/>
        <w:spacing w:before="0" w:beforeAutospacing="0" w:after="0" w:afterAutospacing="0"/>
        <w:ind w:left="720"/>
        <w:textAlignment w:val="baseline"/>
        <w:rPr>
          <w:rFonts w:ascii="Segoe UI" w:hAnsi="Segoe UI" w:cs="Segoe UI"/>
          <w:b/>
          <w:bCs/>
        </w:rPr>
      </w:pPr>
      <w:r w:rsidRPr="00D73AF5">
        <w:rPr>
          <w:rStyle w:val="normaltextrun"/>
          <w:rFonts w:ascii="Segoe UI" w:eastAsiaTheme="majorEastAsia" w:hAnsi="Segoe UI" w:cs="Segoe UI"/>
        </w:rPr>
        <w:t>Compliance costs vary based on several factors, including:</w:t>
      </w:r>
      <w:r w:rsidRPr="00D73AF5">
        <w:rPr>
          <w:rStyle w:val="eop"/>
          <w:rFonts w:ascii="Segoe UI" w:eastAsiaTheme="majorEastAsia" w:hAnsi="Segoe UI" w:cs="Segoe UI"/>
        </w:rPr>
        <w:t> </w:t>
      </w:r>
    </w:p>
    <w:p w14:paraId="744D0C92" w14:textId="77777777" w:rsidR="00D73AF5" w:rsidRPr="00D73AF5" w:rsidRDefault="00D73AF5" w:rsidP="00C77941">
      <w:pPr>
        <w:pStyle w:val="paragraph"/>
        <w:numPr>
          <w:ilvl w:val="0"/>
          <w:numId w:val="9"/>
        </w:numPr>
        <w:spacing w:before="60" w:beforeAutospacing="0" w:after="0" w:afterAutospacing="0"/>
        <w:ind w:left="1080" w:firstLine="0"/>
        <w:textAlignment w:val="baseline"/>
        <w:rPr>
          <w:rFonts w:ascii="Segoe UI" w:hAnsi="Segoe UI" w:cs="Segoe UI"/>
        </w:rPr>
      </w:pPr>
      <w:r w:rsidRPr="00D73AF5">
        <w:rPr>
          <w:rStyle w:val="normaltextrun"/>
          <w:rFonts w:ascii="Segoe UI" w:eastAsiaTheme="majorEastAsia" w:hAnsi="Segoe UI" w:cs="Segoe UI"/>
        </w:rPr>
        <w:t>The covered entity's industry and size.</w:t>
      </w:r>
      <w:r w:rsidRPr="00D73AF5">
        <w:rPr>
          <w:rStyle w:val="eop"/>
          <w:rFonts w:ascii="Segoe UI" w:eastAsiaTheme="majorEastAsia" w:hAnsi="Segoe UI" w:cs="Segoe UI"/>
        </w:rPr>
        <w:t> </w:t>
      </w:r>
    </w:p>
    <w:p w14:paraId="4AE84496" w14:textId="77777777" w:rsidR="00D73AF5" w:rsidRPr="00D73AF5" w:rsidRDefault="00D73AF5" w:rsidP="00D73AF5">
      <w:pPr>
        <w:pStyle w:val="paragraph"/>
        <w:numPr>
          <w:ilvl w:val="0"/>
          <w:numId w:val="10"/>
        </w:numPr>
        <w:spacing w:before="0" w:beforeAutospacing="0" w:after="0" w:afterAutospacing="0"/>
        <w:ind w:left="1080" w:firstLine="0"/>
        <w:textAlignment w:val="baseline"/>
        <w:rPr>
          <w:rFonts w:ascii="Segoe UI" w:hAnsi="Segoe UI" w:cs="Segoe UI"/>
        </w:rPr>
      </w:pPr>
      <w:r w:rsidRPr="00D73AF5">
        <w:rPr>
          <w:rStyle w:val="normaltextrun"/>
          <w:rFonts w:ascii="Segoe UI" w:eastAsiaTheme="majorEastAsia" w:hAnsi="Segoe UI" w:cs="Segoe UI"/>
        </w:rPr>
        <w:t>The maturity of its existing climate reporting processes.</w:t>
      </w:r>
      <w:r w:rsidRPr="00D73AF5">
        <w:rPr>
          <w:rStyle w:val="eop"/>
          <w:rFonts w:ascii="Segoe UI" w:eastAsiaTheme="majorEastAsia" w:hAnsi="Segoe UI" w:cs="Segoe UI"/>
        </w:rPr>
        <w:t> </w:t>
      </w:r>
    </w:p>
    <w:p w14:paraId="4B9BF899" w14:textId="77777777" w:rsidR="00D73AF5" w:rsidRPr="00D73AF5" w:rsidRDefault="00D73AF5" w:rsidP="00D73AF5">
      <w:pPr>
        <w:pStyle w:val="paragraph"/>
        <w:numPr>
          <w:ilvl w:val="0"/>
          <w:numId w:val="11"/>
        </w:numPr>
        <w:spacing w:before="0" w:beforeAutospacing="0" w:after="0" w:afterAutospacing="0"/>
        <w:ind w:left="1080" w:firstLine="0"/>
        <w:textAlignment w:val="baseline"/>
        <w:rPr>
          <w:rFonts w:ascii="Segoe UI" w:hAnsi="Segoe UI" w:cs="Segoe UI"/>
        </w:rPr>
      </w:pPr>
      <w:r w:rsidRPr="00D73AF5">
        <w:rPr>
          <w:rStyle w:val="normaltextrun"/>
          <w:rFonts w:ascii="Segoe UI" w:eastAsiaTheme="majorEastAsia" w:hAnsi="Segoe UI" w:cs="Segoe UI"/>
        </w:rPr>
        <w:t>The level of assurance required (limited or reasonable).</w:t>
      </w:r>
      <w:r w:rsidRPr="00D73AF5">
        <w:rPr>
          <w:rStyle w:val="eop"/>
          <w:rFonts w:ascii="Segoe UI" w:eastAsiaTheme="majorEastAsia" w:hAnsi="Segoe UI" w:cs="Segoe UI"/>
        </w:rPr>
        <w:t> </w:t>
      </w:r>
    </w:p>
    <w:p w14:paraId="5E71A0EA" w14:textId="77777777" w:rsidR="00D73AF5" w:rsidRPr="00D73AF5" w:rsidRDefault="00D73AF5" w:rsidP="00D73AF5">
      <w:pPr>
        <w:pStyle w:val="paragraph"/>
        <w:numPr>
          <w:ilvl w:val="0"/>
          <w:numId w:val="12"/>
        </w:numPr>
        <w:spacing w:before="0" w:beforeAutospacing="0" w:after="0" w:afterAutospacing="0"/>
        <w:ind w:left="1080" w:firstLine="0"/>
        <w:textAlignment w:val="baseline"/>
        <w:rPr>
          <w:rFonts w:ascii="Segoe UI" w:hAnsi="Segoe UI" w:cs="Segoe UI"/>
        </w:rPr>
      </w:pPr>
      <w:r w:rsidRPr="00D73AF5">
        <w:rPr>
          <w:rStyle w:val="normaltextrun"/>
          <w:rFonts w:ascii="Segoe UI" w:eastAsiaTheme="majorEastAsia" w:hAnsi="Segoe UI" w:cs="Segoe UI"/>
        </w:rPr>
        <w:t>The sophistication of its data collection systems and internal expertise.</w:t>
      </w:r>
      <w:r w:rsidRPr="00D73AF5">
        <w:rPr>
          <w:rStyle w:val="eop"/>
          <w:rFonts w:ascii="Segoe UI" w:eastAsiaTheme="majorEastAsia" w:hAnsi="Segoe UI" w:cs="Segoe UI"/>
        </w:rPr>
        <w:t> </w:t>
      </w:r>
    </w:p>
    <w:p w14:paraId="5025FB92" w14:textId="065D23B9" w:rsidR="00D73AF5" w:rsidRPr="00D73AF5" w:rsidRDefault="00D73AF5" w:rsidP="00C77941">
      <w:pPr>
        <w:pStyle w:val="paragraph"/>
        <w:spacing w:before="60" w:beforeAutospacing="0" w:after="0" w:afterAutospacing="0"/>
        <w:ind w:left="720"/>
        <w:textAlignment w:val="baseline"/>
        <w:rPr>
          <w:rFonts w:ascii="Segoe UI" w:hAnsi="Segoe UI" w:cs="Segoe UI"/>
        </w:rPr>
      </w:pPr>
      <w:r w:rsidRPr="00D73AF5">
        <w:rPr>
          <w:rStyle w:val="normaltextrun"/>
          <w:rFonts w:ascii="Segoe UI" w:eastAsiaTheme="majorEastAsia" w:hAnsi="Segoe UI" w:cs="Segoe UI"/>
        </w:rPr>
        <w:t>In addition, while many covered entities are already performing voluntary climate disclosures, a smaller subset of them are obtaining verification and/or limited assurance for their GHG emissions disclosures.  Therefore, many covered entities will incur compliance costs associated with obtaining limited assurance to meet the requirements of SB 253.  On page 763 of the SEC Climate Rule</w:t>
      </w:r>
      <w:r>
        <w:rPr>
          <w:rStyle w:val="FootnoteReference"/>
          <w:rFonts w:ascii="Segoe UI" w:eastAsiaTheme="majorEastAsia" w:hAnsi="Segoe UI" w:cs="Segoe UI"/>
        </w:rPr>
        <w:footnoteReference w:id="3"/>
      </w:r>
      <w:r w:rsidRPr="00D73AF5">
        <w:rPr>
          <w:rStyle w:val="normaltextrun"/>
          <w:rFonts w:ascii="Segoe UI" w:eastAsiaTheme="majorEastAsia" w:hAnsi="Segoe UI" w:cs="Segoe UI"/>
        </w:rPr>
        <w:t>, Table 12 lists the “Costs of limited assurance for GHG emissions disclosures” with a median cost of $</w:t>
      </w:r>
      <w:r w:rsidRPr="00D73AF5">
        <w:rPr>
          <w:rStyle w:val="findhit"/>
          <w:rFonts w:ascii="Segoe UI" w:eastAsiaTheme="majorEastAsia" w:hAnsi="Segoe UI" w:cs="Segoe UI"/>
        </w:rPr>
        <w:t>50</w:t>
      </w:r>
      <w:r w:rsidRPr="00D73AF5">
        <w:rPr>
          <w:rStyle w:val="normaltextrun"/>
          <w:rFonts w:ascii="Segoe UI" w:eastAsiaTheme="majorEastAsia" w:hAnsi="Segoe UI" w:cs="Segoe UI"/>
        </w:rPr>
        <w:t>,000.  </w:t>
      </w:r>
      <w:r w:rsidRPr="00D73AF5">
        <w:rPr>
          <w:rStyle w:val="eop"/>
          <w:rFonts w:ascii="Segoe UI" w:eastAsiaTheme="majorEastAsia" w:hAnsi="Segoe UI" w:cs="Segoe UI"/>
        </w:rPr>
        <w:t> </w:t>
      </w:r>
    </w:p>
    <w:p w14:paraId="2D6FDF26" w14:textId="77777777" w:rsidR="00A42056" w:rsidRPr="00A42056" w:rsidRDefault="00A42056" w:rsidP="00D73AF5">
      <w:pPr>
        <w:pStyle w:val="paragraph"/>
        <w:spacing w:before="0" w:beforeAutospacing="0" w:after="0" w:afterAutospacing="0"/>
        <w:textAlignment w:val="baseline"/>
        <w:rPr>
          <w:rFonts w:ascii="Segoe UI" w:hAnsi="Segoe UI" w:cs="Segoe UI"/>
          <w:b/>
          <w:bCs/>
        </w:rPr>
      </w:pPr>
    </w:p>
    <w:p w14:paraId="3BACD68B" w14:textId="77777777" w:rsidR="00A42056" w:rsidRPr="00A42056" w:rsidRDefault="00627E85" w:rsidP="00627E85">
      <w:pPr>
        <w:pStyle w:val="paragraph"/>
        <w:numPr>
          <w:ilvl w:val="0"/>
          <w:numId w:val="8"/>
        </w:numPr>
        <w:spacing w:before="0" w:beforeAutospacing="0" w:after="0" w:afterAutospacing="0"/>
        <w:textAlignment w:val="baseline"/>
        <w:rPr>
          <w:rStyle w:val="eop"/>
          <w:rFonts w:ascii="Segoe UI" w:hAnsi="Segoe UI" w:cs="Segoe UI"/>
          <w:b/>
          <w:bCs/>
        </w:rPr>
      </w:pPr>
      <w:r w:rsidRPr="00A42056">
        <w:rPr>
          <w:rStyle w:val="normaltextrun"/>
          <w:rFonts w:ascii="Segoe UI" w:eastAsiaTheme="majorEastAsia" w:hAnsi="Segoe UI" w:cs="Segoe UI"/>
          <w:b/>
          <w:bCs/>
        </w:rPr>
        <w:t>Should the state require reporting directly to CARB or contract out to an “emissions” and/or “climate” reporting organization? </w:t>
      </w:r>
      <w:r w:rsidRPr="00A42056">
        <w:rPr>
          <w:rStyle w:val="eop"/>
          <w:rFonts w:ascii="Segoe UI" w:eastAsiaTheme="majorEastAsia" w:hAnsi="Segoe UI" w:cs="Segoe UI"/>
          <w:b/>
          <w:bCs/>
        </w:rPr>
        <w:t> </w:t>
      </w:r>
    </w:p>
    <w:p w14:paraId="27383FA8" w14:textId="77777777" w:rsidR="00D73AF5" w:rsidRDefault="00D73AF5" w:rsidP="00A42056">
      <w:pPr>
        <w:pStyle w:val="paragraph"/>
        <w:spacing w:before="0" w:beforeAutospacing="0" w:after="0" w:afterAutospacing="0"/>
        <w:ind w:left="720"/>
        <w:textAlignment w:val="baseline"/>
        <w:rPr>
          <w:rFonts w:ascii="Segoe UI" w:hAnsi="Segoe UI" w:cs="Segoe UI"/>
          <w:b/>
          <w:bCs/>
        </w:rPr>
      </w:pPr>
    </w:p>
    <w:p w14:paraId="46CA4C7E" w14:textId="5B09EF90" w:rsidR="00A42056" w:rsidRPr="00D73AF5" w:rsidRDefault="00D73AF5" w:rsidP="00A42056">
      <w:pPr>
        <w:pStyle w:val="paragraph"/>
        <w:spacing w:before="0" w:beforeAutospacing="0" w:after="0" w:afterAutospacing="0"/>
        <w:ind w:left="720"/>
        <w:textAlignment w:val="baseline"/>
        <w:rPr>
          <w:rFonts w:ascii="Segoe UI" w:hAnsi="Segoe UI" w:cs="Segoe UI"/>
        </w:rPr>
      </w:pPr>
      <w:r w:rsidRPr="00D73AF5">
        <w:rPr>
          <w:rFonts w:ascii="Segoe UI" w:hAnsi="Segoe UI" w:cs="Segoe UI"/>
        </w:rPr>
        <w:t>We do not have a specific opinion on this matter.  </w:t>
      </w:r>
    </w:p>
    <w:p w14:paraId="44D57433" w14:textId="77777777" w:rsidR="00A42056" w:rsidRPr="00A42056" w:rsidRDefault="00A42056" w:rsidP="00A42056">
      <w:pPr>
        <w:pStyle w:val="paragraph"/>
        <w:spacing w:before="0" w:beforeAutospacing="0" w:after="0" w:afterAutospacing="0"/>
        <w:ind w:left="720"/>
        <w:textAlignment w:val="baseline"/>
        <w:rPr>
          <w:rFonts w:ascii="Segoe UI" w:hAnsi="Segoe UI" w:cs="Segoe UI"/>
          <w:b/>
          <w:bCs/>
        </w:rPr>
      </w:pPr>
    </w:p>
    <w:p w14:paraId="712109E1" w14:textId="18CA68B4" w:rsidR="00627E85" w:rsidRPr="00D73AF5" w:rsidRDefault="00A42056" w:rsidP="00A821A1">
      <w:pPr>
        <w:pStyle w:val="paragraph"/>
        <w:numPr>
          <w:ilvl w:val="0"/>
          <w:numId w:val="8"/>
        </w:numPr>
        <w:spacing w:before="0" w:beforeAutospacing="0" w:after="0" w:afterAutospacing="0"/>
        <w:textAlignment w:val="baseline"/>
        <w:rPr>
          <w:rStyle w:val="eop"/>
          <w:rFonts w:ascii="Segoe UI" w:hAnsi="Segoe UI" w:cs="Segoe UI"/>
          <w:b/>
          <w:bCs/>
        </w:rPr>
      </w:pPr>
      <w:r w:rsidRPr="00A42056">
        <w:rPr>
          <w:rFonts w:ascii="Segoe UI" w:hAnsi="Segoe UI" w:cs="Segoe UI"/>
          <w:b/>
          <w:bCs/>
        </w:rPr>
        <w:t>I</w:t>
      </w:r>
      <w:r w:rsidR="00627E85" w:rsidRPr="00A42056">
        <w:rPr>
          <w:rStyle w:val="normaltextrun"/>
          <w:rFonts w:ascii="Segoe UI" w:eastAsiaTheme="majorEastAsia" w:hAnsi="Segoe UI" w:cs="Segoe UI"/>
          <w:b/>
          <w:bCs/>
        </w:rPr>
        <w:t>f contracting out for reporting services, are there non-profits or private companies that already provide these services?</w:t>
      </w:r>
      <w:r w:rsidR="00627E85" w:rsidRPr="00A42056">
        <w:rPr>
          <w:rStyle w:val="eop"/>
          <w:rFonts w:ascii="Segoe UI" w:eastAsiaTheme="majorEastAsia" w:hAnsi="Segoe UI" w:cs="Segoe UI"/>
          <w:b/>
          <w:bCs/>
        </w:rPr>
        <w:t> </w:t>
      </w:r>
    </w:p>
    <w:p w14:paraId="3F2C03A0" w14:textId="77777777" w:rsidR="00D73AF5" w:rsidRDefault="00D73AF5" w:rsidP="00D73AF5">
      <w:pPr>
        <w:pStyle w:val="paragraph"/>
        <w:spacing w:before="0" w:beforeAutospacing="0" w:after="0" w:afterAutospacing="0"/>
        <w:ind w:left="720"/>
        <w:textAlignment w:val="baseline"/>
        <w:rPr>
          <w:rFonts w:ascii="Segoe UI" w:hAnsi="Segoe UI" w:cs="Segoe UI"/>
        </w:rPr>
      </w:pPr>
    </w:p>
    <w:p w14:paraId="5C965A81" w14:textId="258C9FBB" w:rsidR="00A42056" w:rsidRPr="00D73AF5" w:rsidRDefault="00D73AF5" w:rsidP="00D73AF5">
      <w:pPr>
        <w:pStyle w:val="paragraph"/>
        <w:spacing w:before="0" w:beforeAutospacing="0" w:after="0" w:afterAutospacing="0"/>
        <w:ind w:left="720"/>
        <w:textAlignment w:val="baseline"/>
        <w:rPr>
          <w:rFonts w:ascii="Segoe UI" w:hAnsi="Segoe UI" w:cs="Segoe UI"/>
        </w:rPr>
      </w:pPr>
      <w:r w:rsidRPr="00D73AF5">
        <w:rPr>
          <w:rFonts w:ascii="Segoe UI" w:hAnsi="Segoe UI" w:cs="Segoe UI"/>
        </w:rPr>
        <w:t>We do not have a specific opinion on this matter.  </w:t>
      </w:r>
    </w:p>
    <w:p w14:paraId="544804FE" w14:textId="77777777" w:rsidR="00627E85" w:rsidRDefault="00627E85" w:rsidP="00A821A1">
      <w:pPr>
        <w:rPr>
          <w:rFonts w:ascii="Segoe UI" w:hAnsi="Segoe UI" w:cs="Segoe UI"/>
          <w:u w:val="single"/>
        </w:rPr>
      </w:pPr>
    </w:p>
    <w:p w14:paraId="15A3CAB1" w14:textId="1B84E4BE" w:rsidR="00A821A1" w:rsidRDefault="00A821A1" w:rsidP="00A821A1">
      <w:pPr>
        <w:rPr>
          <w:rFonts w:ascii="Segoe UI" w:hAnsi="Segoe UI" w:cs="Segoe UI"/>
          <w:u w:val="single"/>
        </w:rPr>
      </w:pPr>
      <w:r w:rsidRPr="00171410">
        <w:rPr>
          <w:rFonts w:ascii="Segoe UI" w:hAnsi="Segoe UI" w:cs="Segoe UI"/>
          <w:u w:val="single"/>
        </w:rPr>
        <w:t>SB 253: Climate Corporate Data Accountability Act</w:t>
      </w:r>
    </w:p>
    <w:p w14:paraId="308EA2E7" w14:textId="77777777" w:rsidR="00EB7CDB" w:rsidRPr="00171410" w:rsidRDefault="00EB7CDB" w:rsidP="00A821A1">
      <w:pPr>
        <w:rPr>
          <w:rFonts w:ascii="Segoe UI" w:hAnsi="Segoe UI" w:cs="Segoe UI"/>
          <w:u w:val="single"/>
        </w:rPr>
      </w:pPr>
    </w:p>
    <w:p w14:paraId="742995E0" w14:textId="3CA754DF" w:rsidR="00E906C4" w:rsidRPr="00E906C4" w:rsidRDefault="00427798" w:rsidP="00B446F1">
      <w:pPr>
        <w:pStyle w:val="ListParagraph"/>
        <w:numPr>
          <w:ilvl w:val="0"/>
          <w:numId w:val="8"/>
        </w:numPr>
        <w:rPr>
          <w:rFonts w:ascii="Segoe UI" w:hAnsi="Segoe UI" w:cs="Segoe UI"/>
          <w:b/>
          <w:bCs/>
        </w:rPr>
      </w:pPr>
      <w:r w:rsidRPr="00171410">
        <w:rPr>
          <w:rFonts w:ascii="Segoe UI" w:hAnsi="Segoe UI" w:cs="Segoe UI"/>
          <w:b/>
          <w:bCs/>
        </w:rPr>
        <w:t xml:space="preserve">Entities must measure and report their emissions of greenhouse gases in conformance with the GHG Protocol, 1 which allows for flexibility in some areas (i.e. boundary setting, apportioning emissions in multiple ownerships, GHGs subject to reporting, reporting by sector vs business unit, or others). </w:t>
      </w:r>
      <w:r w:rsidRPr="00171410">
        <w:rPr>
          <w:rFonts w:ascii="Segoe UI" w:hAnsi="Segoe UI" w:cs="Segoe UI"/>
          <w:b/>
          <w:bCs/>
        </w:rPr>
        <w:lastRenderedPageBreak/>
        <w:t xml:space="preserve">Are there specific aspects of scopes 1, 2, or 3 reporting that CARB should consider standardizing? </w:t>
      </w:r>
    </w:p>
    <w:p w14:paraId="74FEA32C" w14:textId="77777777" w:rsidR="00E906C4" w:rsidRDefault="00E906C4" w:rsidP="002E3C90">
      <w:pPr>
        <w:ind w:left="720"/>
        <w:rPr>
          <w:rFonts w:ascii="Segoe UI" w:hAnsi="Segoe UI" w:cs="Segoe UI"/>
        </w:rPr>
      </w:pPr>
    </w:p>
    <w:p w14:paraId="6E58EBCE" w14:textId="73AAA3D6" w:rsidR="002E3C90" w:rsidRPr="00171410" w:rsidRDefault="002E3C90" w:rsidP="002E3C90">
      <w:pPr>
        <w:ind w:left="720"/>
        <w:rPr>
          <w:rFonts w:ascii="Segoe UI" w:hAnsi="Segoe UI" w:cs="Segoe UI"/>
        </w:rPr>
      </w:pPr>
      <w:r w:rsidRPr="00171410">
        <w:rPr>
          <w:rFonts w:ascii="Segoe UI" w:hAnsi="Segoe UI" w:cs="Segoe UI"/>
        </w:rPr>
        <w:t>We recommend that CARB provide</w:t>
      </w:r>
      <w:r w:rsidR="00C77941">
        <w:rPr>
          <w:rFonts w:ascii="Segoe UI" w:hAnsi="Segoe UI" w:cs="Segoe UI"/>
        </w:rPr>
        <w:t>s</w:t>
      </w:r>
      <w:r w:rsidRPr="00171410">
        <w:rPr>
          <w:rFonts w:ascii="Segoe UI" w:hAnsi="Segoe UI" w:cs="Segoe UI"/>
        </w:rPr>
        <w:t xml:space="preserve"> additional</w:t>
      </w:r>
      <w:r w:rsidR="00744AA7" w:rsidRPr="00171410">
        <w:rPr>
          <w:rFonts w:ascii="Segoe UI" w:hAnsi="Segoe UI" w:cs="Segoe UI"/>
        </w:rPr>
        <w:t xml:space="preserve"> standard</w:t>
      </w:r>
      <w:r w:rsidR="004653FC">
        <w:rPr>
          <w:rFonts w:ascii="Segoe UI" w:hAnsi="Segoe UI" w:cs="Segoe UI"/>
        </w:rPr>
        <w:t>ized</w:t>
      </w:r>
      <w:r w:rsidR="00013755">
        <w:rPr>
          <w:rFonts w:ascii="Segoe UI" w:hAnsi="Segoe UI" w:cs="Segoe UI"/>
        </w:rPr>
        <w:t xml:space="preserve"> guidance</w:t>
      </w:r>
      <w:r w:rsidRPr="00171410">
        <w:rPr>
          <w:rFonts w:ascii="Segoe UI" w:hAnsi="Segoe UI" w:cs="Segoe UI"/>
        </w:rPr>
        <w:t xml:space="preserve"> within scope 3 given the GHG Protocol</w:t>
      </w:r>
      <w:r w:rsidR="00013755">
        <w:rPr>
          <w:rFonts w:ascii="Segoe UI" w:hAnsi="Segoe UI" w:cs="Segoe UI"/>
        </w:rPr>
        <w:t xml:space="preserve"> Corporate Standard</w:t>
      </w:r>
      <w:r w:rsidR="00D73AF5">
        <w:rPr>
          <w:rFonts w:ascii="Segoe UI" w:hAnsi="Segoe UI" w:cs="Segoe UI"/>
        </w:rPr>
        <w:t xml:space="preserve"> considers scope 3 optional</w:t>
      </w:r>
      <w:r w:rsidRPr="00171410">
        <w:rPr>
          <w:rFonts w:ascii="Segoe UI" w:hAnsi="Segoe UI" w:cs="Segoe UI"/>
        </w:rPr>
        <w:t>.  CARB should provide sector-specific guidance</w:t>
      </w:r>
      <w:r w:rsidR="00013755">
        <w:rPr>
          <w:rFonts w:ascii="Segoe UI" w:hAnsi="Segoe UI" w:cs="Segoe UI"/>
        </w:rPr>
        <w:t xml:space="preserve">, organized under each two-digit </w:t>
      </w:r>
      <w:r w:rsidR="004C4F14">
        <w:rPr>
          <w:rFonts w:ascii="Segoe UI" w:hAnsi="Segoe UI" w:cs="Segoe UI"/>
        </w:rPr>
        <w:t>North American Industry Classification System (</w:t>
      </w:r>
      <w:r w:rsidR="00013755">
        <w:rPr>
          <w:rFonts w:ascii="Segoe UI" w:hAnsi="Segoe UI" w:cs="Segoe UI"/>
        </w:rPr>
        <w:t>NAICS</w:t>
      </w:r>
      <w:r w:rsidR="004C4F14">
        <w:rPr>
          <w:rFonts w:ascii="Segoe UI" w:hAnsi="Segoe UI" w:cs="Segoe UI"/>
        </w:rPr>
        <w:t xml:space="preserve">) </w:t>
      </w:r>
      <w:r w:rsidR="00013755">
        <w:rPr>
          <w:rFonts w:ascii="Segoe UI" w:hAnsi="Segoe UI" w:cs="Segoe UI"/>
        </w:rPr>
        <w:t>Code,</w:t>
      </w:r>
      <w:r w:rsidRPr="00171410">
        <w:rPr>
          <w:rFonts w:ascii="Segoe UI" w:hAnsi="Segoe UI" w:cs="Segoe UI"/>
        </w:rPr>
        <w:t xml:space="preserve"> regarding which scope 3 categories should be reported</w:t>
      </w:r>
      <w:r w:rsidR="00C77941">
        <w:rPr>
          <w:rFonts w:ascii="Segoe UI" w:hAnsi="Segoe UI" w:cs="Segoe UI"/>
        </w:rPr>
        <w:t>,</w:t>
      </w:r>
      <w:r w:rsidRPr="00171410">
        <w:rPr>
          <w:rFonts w:ascii="Segoe UI" w:hAnsi="Segoe UI" w:cs="Segoe UI"/>
        </w:rPr>
        <w:t xml:space="preserve"> as well as calculation methodologies, where necessary and appropriate guidance exists. </w:t>
      </w:r>
      <w:r w:rsidR="00013755">
        <w:rPr>
          <w:rFonts w:ascii="Segoe UI" w:hAnsi="Segoe UI" w:cs="Segoe UI"/>
        </w:rPr>
        <w:t xml:space="preserve"> </w:t>
      </w:r>
      <w:r w:rsidRPr="00171410">
        <w:rPr>
          <w:rFonts w:ascii="Segoe UI" w:hAnsi="Segoe UI" w:cs="Segoe UI"/>
        </w:rPr>
        <w:t xml:space="preserve">For instance, for the </w:t>
      </w:r>
      <w:r w:rsidR="00013755">
        <w:rPr>
          <w:rFonts w:ascii="Segoe UI" w:hAnsi="Segoe UI" w:cs="Segoe UI"/>
        </w:rPr>
        <w:t>Construction</w:t>
      </w:r>
      <w:r w:rsidRPr="00171410">
        <w:rPr>
          <w:rFonts w:ascii="Segoe UI" w:hAnsi="Segoe UI" w:cs="Segoe UI"/>
        </w:rPr>
        <w:t xml:space="preserve"> sector</w:t>
      </w:r>
      <w:r w:rsidR="00013755">
        <w:rPr>
          <w:rFonts w:ascii="Segoe UI" w:hAnsi="Segoe UI" w:cs="Segoe UI"/>
        </w:rPr>
        <w:t xml:space="preserve"> (NAICS Code 23)</w:t>
      </w:r>
      <w:r w:rsidRPr="00171410">
        <w:rPr>
          <w:rFonts w:ascii="Segoe UI" w:hAnsi="Segoe UI" w:cs="Segoe UI"/>
        </w:rPr>
        <w:t xml:space="preserve">, setting a standardized calculation methodology for building lifetime within scope 3 category 11 would drive reporting consistency.  </w:t>
      </w:r>
    </w:p>
    <w:p w14:paraId="29CF41D2" w14:textId="77777777" w:rsidR="002E3C90" w:rsidRPr="00171410" w:rsidRDefault="002E3C90" w:rsidP="002E3C90">
      <w:pPr>
        <w:ind w:left="720"/>
        <w:rPr>
          <w:rFonts w:ascii="Segoe UI" w:hAnsi="Segoe UI" w:cs="Segoe UI"/>
        </w:rPr>
      </w:pPr>
    </w:p>
    <w:p w14:paraId="00751C7F" w14:textId="48D234B3" w:rsidR="00427798" w:rsidRPr="00171410" w:rsidRDefault="002E3C90" w:rsidP="002E3C90">
      <w:pPr>
        <w:ind w:left="720"/>
        <w:rPr>
          <w:rFonts w:ascii="Segoe UI" w:hAnsi="Segoe UI" w:cs="Segoe UI"/>
        </w:rPr>
      </w:pPr>
      <w:r w:rsidRPr="00171410">
        <w:rPr>
          <w:rFonts w:ascii="Segoe UI" w:hAnsi="Segoe UI" w:cs="Segoe UI"/>
        </w:rPr>
        <w:t xml:space="preserve">In providing this standardization, CARB should align with other existing </w:t>
      </w:r>
      <w:r w:rsidR="004653FC">
        <w:rPr>
          <w:rFonts w:ascii="Segoe UI" w:hAnsi="Segoe UI" w:cs="Segoe UI"/>
        </w:rPr>
        <w:t>standards</w:t>
      </w:r>
      <w:r w:rsidRPr="00171410">
        <w:rPr>
          <w:rFonts w:ascii="Segoe UI" w:hAnsi="Segoe UI" w:cs="Segoe UI"/>
        </w:rPr>
        <w:t xml:space="preserve">, such as </w:t>
      </w:r>
      <w:r w:rsidR="00137506">
        <w:rPr>
          <w:rFonts w:ascii="Segoe UI" w:hAnsi="Segoe UI" w:cs="Segoe UI"/>
        </w:rPr>
        <w:t>the Science Based Targets Initiative (</w:t>
      </w:r>
      <w:r w:rsidRPr="00171410">
        <w:rPr>
          <w:rFonts w:ascii="Segoe UI" w:hAnsi="Segoe UI" w:cs="Segoe UI"/>
        </w:rPr>
        <w:t>SBTi</w:t>
      </w:r>
      <w:r w:rsidR="00137506">
        <w:rPr>
          <w:rFonts w:ascii="Segoe UI" w:hAnsi="Segoe UI" w:cs="Segoe UI"/>
        </w:rPr>
        <w:t>)</w:t>
      </w:r>
      <w:r w:rsidRPr="00171410">
        <w:rPr>
          <w:rFonts w:ascii="Segoe UI" w:hAnsi="Segoe UI" w:cs="Segoe UI"/>
        </w:rPr>
        <w:t xml:space="preserve">’s sector-specific guidance, to provide sector-specific scope 3 guidance.  CARB may also default to </w:t>
      </w:r>
      <w:r w:rsidR="00137506">
        <w:rPr>
          <w:rFonts w:ascii="Segoe UI" w:hAnsi="Segoe UI" w:cs="Segoe UI"/>
        </w:rPr>
        <w:t xml:space="preserve">Guidance </w:t>
      </w:r>
      <w:r w:rsidRPr="00171410">
        <w:rPr>
          <w:rFonts w:ascii="Segoe UI" w:hAnsi="Segoe UI" w:cs="Segoe UI"/>
        </w:rPr>
        <w:t>Built on GHG Protocol for calculating specific emission sources.  A</w:t>
      </w:r>
      <w:r w:rsidR="00744AA7" w:rsidRPr="00171410">
        <w:rPr>
          <w:rFonts w:ascii="Segoe UI" w:hAnsi="Segoe UI" w:cs="Segoe UI"/>
        </w:rPr>
        <w:t>ligning with</w:t>
      </w:r>
      <w:r w:rsidRPr="00171410">
        <w:rPr>
          <w:rFonts w:ascii="Segoe UI" w:hAnsi="Segoe UI" w:cs="Segoe UI"/>
        </w:rPr>
        <w:t xml:space="preserve"> existing widely adopted guidance </w:t>
      </w:r>
      <w:r w:rsidR="00744AA7" w:rsidRPr="00171410">
        <w:rPr>
          <w:rFonts w:ascii="Segoe UI" w:hAnsi="Segoe UI" w:cs="Segoe UI"/>
        </w:rPr>
        <w:t>(</w:t>
      </w:r>
      <w:r w:rsidR="004C4F14">
        <w:rPr>
          <w:rFonts w:ascii="Segoe UI" w:hAnsi="Segoe UI" w:cs="Segoe UI"/>
        </w:rPr>
        <w:t>e.g.,</w:t>
      </w:r>
      <w:r w:rsidR="00744AA7" w:rsidRPr="00171410">
        <w:rPr>
          <w:rFonts w:ascii="Segoe UI" w:hAnsi="Segoe UI" w:cs="Segoe UI"/>
        </w:rPr>
        <w:t xml:space="preserve"> SBTi) would minimize </w:t>
      </w:r>
      <w:r w:rsidRPr="00171410">
        <w:rPr>
          <w:rFonts w:ascii="Segoe UI" w:hAnsi="Segoe UI" w:cs="Segoe UI"/>
        </w:rPr>
        <w:t xml:space="preserve">further compliance costs from providing additional scope 3 guidance.  Furthermore, creating standardized scope 3 guidance within sectors will reduce compliance costs as covered entities will avoid wasting resources determining the appropriate </w:t>
      </w:r>
      <w:r w:rsidR="00C77941">
        <w:rPr>
          <w:rFonts w:ascii="Segoe UI" w:hAnsi="Segoe UI" w:cs="Segoe UI"/>
        </w:rPr>
        <w:t xml:space="preserve">carbon accounting </w:t>
      </w:r>
      <w:r w:rsidRPr="00171410">
        <w:rPr>
          <w:rFonts w:ascii="Segoe UI" w:hAnsi="Segoe UI" w:cs="Segoe UI"/>
        </w:rPr>
        <w:t xml:space="preserve">approach for their </w:t>
      </w:r>
      <w:r w:rsidR="00C77941">
        <w:rPr>
          <w:rFonts w:ascii="Segoe UI" w:hAnsi="Segoe UI" w:cs="Segoe UI"/>
        </w:rPr>
        <w:t>entity.</w:t>
      </w:r>
    </w:p>
    <w:p w14:paraId="79C683EF" w14:textId="77777777" w:rsidR="002E3C90" w:rsidRPr="00171410" w:rsidRDefault="002E3C90" w:rsidP="002E3C90">
      <w:pPr>
        <w:ind w:left="720"/>
        <w:rPr>
          <w:rFonts w:ascii="Segoe UI" w:hAnsi="Segoe UI" w:cs="Segoe UI"/>
        </w:rPr>
      </w:pPr>
    </w:p>
    <w:p w14:paraId="2521322C" w14:textId="269DEF0B" w:rsidR="002E3C90" w:rsidRPr="00171410" w:rsidRDefault="002E3C90" w:rsidP="002E3C90">
      <w:pPr>
        <w:ind w:left="720"/>
        <w:rPr>
          <w:rFonts w:ascii="Segoe UI" w:hAnsi="Segoe UI" w:cs="Segoe UI"/>
        </w:rPr>
      </w:pPr>
      <w:r w:rsidRPr="00171410">
        <w:rPr>
          <w:rFonts w:ascii="Segoe UI" w:hAnsi="Segoe UI" w:cs="Segoe UI"/>
        </w:rPr>
        <w:t xml:space="preserve">If CARB does not provide this additional scope 3 guidance, we fear that, </w:t>
      </w:r>
      <w:proofErr w:type="gramStart"/>
      <w:r w:rsidRPr="00171410">
        <w:rPr>
          <w:rFonts w:ascii="Segoe UI" w:hAnsi="Segoe UI" w:cs="Segoe UI"/>
        </w:rPr>
        <w:t>similar to</w:t>
      </w:r>
      <w:proofErr w:type="gramEnd"/>
      <w:r w:rsidRPr="00171410">
        <w:rPr>
          <w:rFonts w:ascii="Segoe UI" w:hAnsi="Segoe UI" w:cs="Segoe UI"/>
        </w:rPr>
        <w:t xml:space="preserve"> the current voluntary reporting landscape, covered entities will differ in their reporting of scope 3 categories – both in number of categories reported and calculation methodologies.  This fragmentation will harm the consistency, comparability, and utility of the data.  Material emission sources may end up excluded, compliance burden may be unfairly distributed across covered entities </w:t>
      </w:r>
      <w:r w:rsidR="00137506">
        <w:rPr>
          <w:rFonts w:ascii="Segoe UI" w:hAnsi="Segoe UI" w:cs="Segoe UI"/>
        </w:rPr>
        <w:t>according to</w:t>
      </w:r>
      <w:r w:rsidRPr="00171410">
        <w:rPr>
          <w:rFonts w:ascii="Segoe UI" w:hAnsi="Segoe UI" w:cs="Segoe UI"/>
        </w:rPr>
        <w:t xml:space="preserve"> the robustness of their scope 3 reporting, and covered entities within the same sector may appear significantly different in their carbon intensity</w:t>
      </w:r>
      <w:r w:rsidR="00137506">
        <w:rPr>
          <w:rFonts w:ascii="Segoe UI" w:hAnsi="Segoe UI" w:cs="Segoe UI"/>
        </w:rPr>
        <w:t xml:space="preserve"> </w:t>
      </w:r>
      <w:r w:rsidRPr="00171410">
        <w:rPr>
          <w:rFonts w:ascii="Segoe UI" w:hAnsi="Segoe UI" w:cs="Segoe UI"/>
        </w:rPr>
        <w:t xml:space="preserve">due to differing scope 3 </w:t>
      </w:r>
      <w:r w:rsidR="007147F5">
        <w:rPr>
          <w:rFonts w:ascii="Segoe UI" w:hAnsi="Segoe UI" w:cs="Segoe UI"/>
        </w:rPr>
        <w:t xml:space="preserve">carbon accounting </w:t>
      </w:r>
      <w:r w:rsidRPr="00171410">
        <w:rPr>
          <w:rFonts w:ascii="Segoe UI" w:hAnsi="Segoe UI" w:cs="Segoe UI"/>
        </w:rPr>
        <w:t>approaches</w:t>
      </w:r>
      <w:r w:rsidR="00137506">
        <w:rPr>
          <w:rFonts w:ascii="Segoe UI" w:hAnsi="Segoe UI" w:cs="Segoe UI"/>
        </w:rPr>
        <w:t xml:space="preserve">, rather than operational </w:t>
      </w:r>
      <w:r w:rsidR="007147F5">
        <w:rPr>
          <w:rFonts w:ascii="Segoe UI" w:hAnsi="Segoe UI" w:cs="Segoe UI"/>
        </w:rPr>
        <w:t>approaches.</w:t>
      </w:r>
    </w:p>
    <w:p w14:paraId="6D97E447" w14:textId="77777777" w:rsidR="002E3C90" w:rsidRPr="00171410" w:rsidRDefault="002E3C90" w:rsidP="002E3C90">
      <w:pPr>
        <w:ind w:left="720"/>
        <w:rPr>
          <w:rFonts w:ascii="Segoe UI" w:hAnsi="Segoe UI" w:cs="Segoe UI"/>
        </w:rPr>
      </w:pPr>
    </w:p>
    <w:p w14:paraId="39F395F1" w14:textId="4C8D28B2" w:rsidR="008B1A23" w:rsidRDefault="007147F5" w:rsidP="002E3C90">
      <w:pPr>
        <w:ind w:left="720"/>
        <w:rPr>
          <w:rFonts w:ascii="Segoe UI" w:hAnsi="Segoe UI" w:cs="Segoe UI"/>
        </w:rPr>
      </w:pPr>
      <w:r>
        <w:rPr>
          <w:rFonts w:ascii="Segoe UI" w:hAnsi="Segoe UI" w:cs="Segoe UI"/>
        </w:rPr>
        <w:t xml:space="preserve">Alternatively, if CARB does not </w:t>
      </w:r>
      <w:r w:rsidR="00DD7B37">
        <w:rPr>
          <w:rFonts w:ascii="Segoe UI" w:hAnsi="Segoe UI" w:cs="Segoe UI"/>
        </w:rPr>
        <w:t xml:space="preserve">believe that providing sector-specific guidance is feasible at this time, CARB could adopt a model </w:t>
      </w:r>
      <w:proofErr w:type="gramStart"/>
      <w:r w:rsidR="00DD7B37">
        <w:rPr>
          <w:rFonts w:ascii="Segoe UI" w:hAnsi="Segoe UI" w:cs="Segoe UI"/>
        </w:rPr>
        <w:t>similar to</w:t>
      </w:r>
      <w:proofErr w:type="gramEnd"/>
      <w:r w:rsidR="00DD7B37">
        <w:rPr>
          <w:rFonts w:ascii="Segoe UI" w:hAnsi="Segoe UI" w:cs="Segoe UI"/>
        </w:rPr>
        <w:t xml:space="preserve"> Colorado HB 25-1119 (introduced)</w:t>
      </w:r>
      <w:r w:rsidR="00E906C4">
        <w:rPr>
          <w:rStyle w:val="FootnoteReference"/>
          <w:rFonts w:ascii="Segoe UI" w:hAnsi="Segoe UI" w:cs="Segoe UI"/>
        </w:rPr>
        <w:footnoteReference w:id="4"/>
      </w:r>
      <w:r w:rsidR="00DD7B37">
        <w:rPr>
          <w:rFonts w:ascii="Segoe UI" w:hAnsi="Segoe UI" w:cs="Segoe UI"/>
        </w:rPr>
        <w:t xml:space="preserve">, which specifies </w:t>
      </w:r>
      <w:r w:rsidR="00E906C4">
        <w:rPr>
          <w:rFonts w:ascii="Segoe UI" w:hAnsi="Segoe UI" w:cs="Segoe UI"/>
        </w:rPr>
        <w:t xml:space="preserve">the scope 3 categories that must be reported during the first year of scope 3 reporting and phases in the remaining scope 3 </w:t>
      </w:r>
      <w:r w:rsidR="00E906C4">
        <w:rPr>
          <w:rFonts w:ascii="Segoe UI" w:hAnsi="Segoe UI" w:cs="Segoe UI"/>
        </w:rPr>
        <w:lastRenderedPageBreak/>
        <w:t xml:space="preserve">categories over the next two years.  This approach progresses toward complete reporting, while also providing covered entities with an opportunity </w:t>
      </w:r>
      <w:r w:rsidR="00C77941">
        <w:rPr>
          <w:rFonts w:ascii="Segoe UI" w:hAnsi="Segoe UI" w:cs="Segoe UI"/>
        </w:rPr>
        <w:t>to implement</w:t>
      </w:r>
      <w:r w:rsidR="00E906C4">
        <w:rPr>
          <w:rFonts w:ascii="Segoe UI" w:hAnsi="Segoe UI" w:cs="Segoe UI"/>
        </w:rPr>
        <w:t xml:space="preserve"> data tracking improvements where necessary. </w:t>
      </w:r>
    </w:p>
    <w:p w14:paraId="4251B4AC" w14:textId="77777777" w:rsidR="008B1A23" w:rsidRDefault="008B1A23" w:rsidP="002E3C90">
      <w:pPr>
        <w:ind w:left="720"/>
        <w:rPr>
          <w:rFonts w:ascii="Segoe UI" w:hAnsi="Segoe UI" w:cs="Segoe UI"/>
        </w:rPr>
      </w:pPr>
    </w:p>
    <w:p w14:paraId="527C6C9F" w14:textId="4B614291" w:rsidR="008B1A23" w:rsidRDefault="008B1A23" w:rsidP="00607B00">
      <w:pPr>
        <w:ind w:left="720"/>
        <w:rPr>
          <w:rFonts w:ascii="Segoe UI" w:hAnsi="Segoe UI" w:cs="Segoe UI"/>
        </w:rPr>
      </w:pPr>
      <w:r>
        <w:rPr>
          <w:rFonts w:ascii="Segoe UI" w:hAnsi="Segoe UI" w:cs="Segoe UI"/>
        </w:rPr>
        <w:t xml:space="preserve">While we did consider </w:t>
      </w:r>
      <w:r w:rsidR="00607B00">
        <w:rPr>
          <w:rFonts w:ascii="Segoe UI" w:hAnsi="Segoe UI" w:cs="Segoe UI"/>
        </w:rPr>
        <w:t xml:space="preserve">the option of </w:t>
      </w:r>
      <w:r w:rsidR="00607B00">
        <w:rPr>
          <w:rFonts w:ascii="Segoe UI" w:hAnsi="Segoe UI" w:cs="Segoe UI"/>
        </w:rPr>
        <w:t xml:space="preserve">setting a blanket scope 3 reporting threshold, such as requiring reporting of </w:t>
      </w:r>
      <w:r w:rsidR="00607B00" w:rsidRPr="00171410">
        <w:rPr>
          <w:rFonts w:ascii="Segoe UI" w:hAnsi="Segoe UI" w:cs="Segoe UI"/>
        </w:rPr>
        <w:t xml:space="preserve">all scope 3 categories that account for greater than </w:t>
      </w:r>
      <w:r w:rsidR="00C77941">
        <w:rPr>
          <w:rFonts w:ascii="Segoe UI" w:hAnsi="Segoe UI" w:cs="Segoe UI"/>
        </w:rPr>
        <w:t xml:space="preserve">two </w:t>
      </w:r>
      <w:r w:rsidR="00607B00">
        <w:rPr>
          <w:rFonts w:ascii="Segoe UI" w:hAnsi="Segoe UI" w:cs="Segoe UI"/>
        </w:rPr>
        <w:t xml:space="preserve">percent </w:t>
      </w:r>
      <w:r w:rsidR="00607B00" w:rsidRPr="00171410">
        <w:rPr>
          <w:rFonts w:ascii="Segoe UI" w:hAnsi="Segoe UI" w:cs="Segoe UI"/>
        </w:rPr>
        <w:t>of total emissions</w:t>
      </w:r>
      <w:r>
        <w:rPr>
          <w:rFonts w:ascii="Segoe UI" w:hAnsi="Segoe UI" w:cs="Segoe UI"/>
        </w:rPr>
        <w:t>, we recommend against</w:t>
      </w:r>
      <w:r w:rsidR="00607B00">
        <w:rPr>
          <w:rFonts w:ascii="Segoe UI" w:hAnsi="Segoe UI" w:cs="Segoe UI"/>
        </w:rPr>
        <w:t xml:space="preserve"> this option</w:t>
      </w:r>
      <w:r>
        <w:rPr>
          <w:rFonts w:ascii="Segoe UI" w:hAnsi="Segoe UI" w:cs="Segoe UI"/>
        </w:rPr>
        <w:t xml:space="preserve">.  </w:t>
      </w:r>
      <w:r w:rsidR="00B446F1">
        <w:rPr>
          <w:rFonts w:ascii="Segoe UI" w:hAnsi="Segoe UI" w:cs="Segoe UI"/>
        </w:rPr>
        <w:t>Consistent with</w:t>
      </w:r>
      <w:r>
        <w:rPr>
          <w:rFonts w:ascii="Segoe UI" w:hAnsi="Segoe UI" w:cs="Segoe UI"/>
        </w:rPr>
        <w:t xml:space="preserve"> our perspective, </w:t>
      </w:r>
      <w:r w:rsidR="00B446F1">
        <w:rPr>
          <w:rFonts w:ascii="Segoe UI" w:hAnsi="Segoe UI" w:cs="Segoe UI"/>
        </w:rPr>
        <w:t>p</w:t>
      </w:r>
      <w:r w:rsidR="00607B00">
        <w:rPr>
          <w:rFonts w:ascii="Segoe UI" w:hAnsi="Segoe UI" w:cs="Segoe UI"/>
        </w:rPr>
        <w:t xml:space="preserve">age 8 of the </w:t>
      </w:r>
      <w:r>
        <w:rPr>
          <w:rFonts w:ascii="Segoe UI" w:hAnsi="Segoe UI" w:cs="Segoe UI"/>
        </w:rPr>
        <w:t>GHG Protocol</w:t>
      </w:r>
      <w:r w:rsidR="00607B00">
        <w:rPr>
          <w:rFonts w:ascii="Segoe UI" w:hAnsi="Segoe UI" w:cs="Segoe UI"/>
        </w:rPr>
        <w:t xml:space="preserve"> Corporate Standard</w:t>
      </w:r>
      <w:r w:rsidR="00607B00">
        <w:rPr>
          <w:rStyle w:val="FootnoteReference"/>
          <w:rFonts w:ascii="Segoe UI" w:hAnsi="Segoe UI" w:cs="Segoe UI"/>
        </w:rPr>
        <w:footnoteReference w:id="5"/>
      </w:r>
      <w:r>
        <w:rPr>
          <w:rFonts w:ascii="Segoe UI" w:hAnsi="Segoe UI" w:cs="Segoe UI"/>
        </w:rPr>
        <w:t xml:space="preserve"> directly recommends against this approach:</w:t>
      </w:r>
    </w:p>
    <w:p w14:paraId="69B6FF0B" w14:textId="0AEB716A" w:rsidR="008B1A23" w:rsidRDefault="00607B00" w:rsidP="00607B00">
      <w:pPr>
        <w:spacing w:before="60"/>
        <w:ind w:left="1440"/>
        <w:rPr>
          <w:rFonts w:ascii="Segoe UI" w:hAnsi="Segoe UI" w:cs="Segoe UI"/>
        </w:rPr>
      </w:pPr>
      <w:r>
        <w:rPr>
          <w:rFonts w:ascii="Segoe UI" w:hAnsi="Segoe UI" w:cs="Segoe UI"/>
        </w:rPr>
        <w:t>“</w:t>
      </w:r>
      <w:r w:rsidR="008B1A23" w:rsidRPr="008B1A23">
        <w:rPr>
          <w:rFonts w:ascii="Segoe UI" w:hAnsi="Segoe UI" w:cs="Segoe UI"/>
        </w:rPr>
        <w:t>Sometimes it is</w:t>
      </w:r>
      <w:r w:rsidR="008B1A23">
        <w:rPr>
          <w:rFonts w:ascii="Segoe UI" w:hAnsi="Segoe UI" w:cs="Segoe UI"/>
        </w:rPr>
        <w:t xml:space="preserve"> </w:t>
      </w:r>
      <w:r w:rsidR="008B1A23" w:rsidRPr="008B1A23">
        <w:rPr>
          <w:rFonts w:ascii="Segoe UI" w:hAnsi="Segoe UI" w:cs="Segoe UI"/>
        </w:rPr>
        <w:t>tempting to define a minimum emissions accounting</w:t>
      </w:r>
      <w:r w:rsidR="008B1A23">
        <w:rPr>
          <w:rFonts w:ascii="Segoe UI" w:hAnsi="Segoe UI" w:cs="Segoe UI"/>
        </w:rPr>
        <w:t xml:space="preserve"> </w:t>
      </w:r>
      <w:r w:rsidR="008B1A23" w:rsidRPr="008B1A23">
        <w:rPr>
          <w:rFonts w:ascii="Segoe UI" w:hAnsi="Segoe UI" w:cs="Segoe UI"/>
        </w:rPr>
        <w:t>threshold (often referred to as a materiality threshold)</w:t>
      </w:r>
      <w:r w:rsidR="008B1A23">
        <w:rPr>
          <w:rFonts w:ascii="Segoe UI" w:hAnsi="Segoe UI" w:cs="Segoe UI"/>
        </w:rPr>
        <w:t xml:space="preserve"> </w:t>
      </w:r>
      <w:r w:rsidR="008B1A23" w:rsidRPr="008B1A23">
        <w:rPr>
          <w:rFonts w:ascii="Segoe UI" w:hAnsi="Segoe UI" w:cs="Segoe UI"/>
        </w:rPr>
        <w:t>stating that a source not exceeding a certain size</w:t>
      </w:r>
      <w:r w:rsidR="008B1A23">
        <w:rPr>
          <w:rFonts w:ascii="Segoe UI" w:hAnsi="Segoe UI" w:cs="Segoe UI"/>
        </w:rPr>
        <w:t xml:space="preserve"> </w:t>
      </w:r>
      <w:r w:rsidR="008B1A23" w:rsidRPr="008B1A23">
        <w:rPr>
          <w:rFonts w:ascii="Segoe UI" w:hAnsi="Segoe UI" w:cs="Segoe UI"/>
        </w:rPr>
        <w:t>can be omitted from the inventory. Technically, such a</w:t>
      </w:r>
      <w:r w:rsidR="008B1A23">
        <w:rPr>
          <w:rFonts w:ascii="Segoe UI" w:hAnsi="Segoe UI" w:cs="Segoe UI"/>
        </w:rPr>
        <w:t xml:space="preserve"> </w:t>
      </w:r>
      <w:r w:rsidR="008B1A23" w:rsidRPr="008B1A23">
        <w:rPr>
          <w:rFonts w:ascii="Segoe UI" w:hAnsi="Segoe UI" w:cs="Segoe UI"/>
        </w:rPr>
        <w:t>threshold is simply a predefined and accepted negativ</w:t>
      </w:r>
      <w:r w:rsidR="008B1A23">
        <w:rPr>
          <w:rFonts w:ascii="Segoe UI" w:hAnsi="Segoe UI" w:cs="Segoe UI"/>
        </w:rPr>
        <w:t xml:space="preserve">e </w:t>
      </w:r>
      <w:r w:rsidR="008B1A23" w:rsidRPr="008B1A23">
        <w:rPr>
          <w:rFonts w:ascii="Segoe UI" w:hAnsi="Segoe UI" w:cs="Segoe UI"/>
        </w:rPr>
        <w:t>bias in estimates (i.e., an underestimate). Although it</w:t>
      </w:r>
      <w:r w:rsidR="008B1A23">
        <w:rPr>
          <w:rFonts w:ascii="Segoe UI" w:hAnsi="Segoe UI" w:cs="Segoe UI"/>
        </w:rPr>
        <w:t xml:space="preserve"> </w:t>
      </w:r>
      <w:r w:rsidR="008B1A23" w:rsidRPr="008B1A23">
        <w:rPr>
          <w:rFonts w:ascii="Segoe UI" w:hAnsi="Segoe UI" w:cs="Segoe UI"/>
        </w:rPr>
        <w:t>appears useful in theory, the practical implementation of</w:t>
      </w:r>
      <w:r w:rsidR="008B1A23">
        <w:rPr>
          <w:rFonts w:ascii="Segoe UI" w:hAnsi="Segoe UI" w:cs="Segoe UI"/>
        </w:rPr>
        <w:t xml:space="preserve"> </w:t>
      </w:r>
      <w:r w:rsidR="008B1A23" w:rsidRPr="008B1A23">
        <w:rPr>
          <w:rFonts w:ascii="Segoe UI" w:hAnsi="Segoe UI" w:cs="Segoe UI"/>
        </w:rPr>
        <w:t>such a threshold is not compatible with the completeness</w:t>
      </w:r>
      <w:r w:rsidR="008B1A23">
        <w:rPr>
          <w:rFonts w:ascii="Segoe UI" w:hAnsi="Segoe UI" w:cs="Segoe UI"/>
        </w:rPr>
        <w:t xml:space="preserve"> </w:t>
      </w:r>
      <w:r w:rsidR="008B1A23" w:rsidRPr="008B1A23">
        <w:rPr>
          <w:rFonts w:ascii="Segoe UI" w:hAnsi="Segoe UI" w:cs="Segoe UI"/>
        </w:rPr>
        <w:t xml:space="preserve">principle of the GHG Protocol Corporate Standard. </w:t>
      </w:r>
      <w:proofErr w:type="gramStart"/>
      <w:r w:rsidR="008B1A23" w:rsidRPr="008B1A23">
        <w:rPr>
          <w:rFonts w:ascii="Segoe UI" w:hAnsi="Segoe UI" w:cs="Segoe UI"/>
        </w:rPr>
        <w:t>In order</w:t>
      </w:r>
      <w:r w:rsidR="008B1A23">
        <w:rPr>
          <w:rFonts w:ascii="Segoe UI" w:hAnsi="Segoe UI" w:cs="Segoe UI"/>
        </w:rPr>
        <w:t xml:space="preserve"> </w:t>
      </w:r>
      <w:r w:rsidR="008B1A23" w:rsidRPr="008B1A23">
        <w:rPr>
          <w:rFonts w:ascii="Segoe UI" w:hAnsi="Segoe UI" w:cs="Segoe UI"/>
        </w:rPr>
        <w:t>to</w:t>
      </w:r>
      <w:proofErr w:type="gramEnd"/>
      <w:r w:rsidR="008B1A23" w:rsidRPr="008B1A23">
        <w:rPr>
          <w:rFonts w:ascii="Segoe UI" w:hAnsi="Segoe UI" w:cs="Segoe UI"/>
        </w:rPr>
        <w:t xml:space="preserve"> utilize a materiality specification, the emissions</w:t>
      </w:r>
      <w:r w:rsidR="008B1A23">
        <w:rPr>
          <w:rFonts w:ascii="Segoe UI" w:hAnsi="Segoe UI" w:cs="Segoe UI"/>
        </w:rPr>
        <w:t xml:space="preserve"> </w:t>
      </w:r>
      <w:r w:rsidR="008B1A23" w:rsidRPr="008B1A23">
        <w:rPr>
          <w:rFonts w:ascii="Segoe UI" w:hAnsi="Segoe UI" w:cs="Segoe UI"/>
        </w:rPr>
        <w:t>from a particular source or activity would have to be</w:t>
      </w:r>
      <w:r w:rsidR="008B1A23">
        <w:rPr>
          <w:rFonts w:ascii="Segoe UI" w:hAnsi="Segoe UI" w:cs="Segoe UI"/>
        </w:rPr>
        <w:t xml:space="preserve"> </w:t>
      </w:r>
      <w:r w:rsidR="008B1A23" w:rsidRPr="008B1A23">
        <w:rPr>
          <w:rFonts w:ascii="Segoe UI" w:hAnsi="Segoe UI" w:cs="Segoe UI"/>
        </w:rPr>
        <w:t>quantified to ensure they were under the threshold.</w:t>
      </w:r>
      <w:r w:rsidR="008B1A23">
        <w:rPr>
          <w:rFonts w:ascii="Segoe UI" w:hAnsi="Segoe UI" w:cs="Segoe UI"/>
        </w:rPr>
        <w:t xml:space="preserve"> </w:t>
      </w:r>
      <w:r w:rsidR="008B1A23" w:rsidRPr="008B1A23">
        <w:rPr>
          <w:rFonts w:ascii="Segoe UI" w:hAnsi="Segoe UI" w:cs="Segoe UI"/>
        </w:rPr>
        <w:t>However, once emissions are quantified, most of the</w:t>
      </w:r>
      <w:r w:rsidR="008B1A23">
        <w:rPr>
          <w:rFonts w:ascii="Segoe UI" w:hAnsi="Segoe UI" w:cs="Segoe UI"/>
        </w:rPr>
        <w:t xml:space="preserve"> </w:t>
      </w:r>
      <w:r w:rsidR="008B1A23" w:rsidRPr="008B1A23">
        <w:rPr>
          <w:rFonts w:ascii="Segoe UI" w:hAnsi="Segoe UI" w:cs="Segoe UI"/>
        </w:rPr>
        <w:t>benefit of having a threshold is lost.</w:t>
      </w:r>
      <w:r>
        <w:rPr>
          <w:rFonts w:ascii="Segoe UI" w:hAnsi="Segoe UI" w:cs="Segoe UI"/>
        </w:rPr>
        <w:t>”</w:t>
      </w:r>
    </w:p>
    <w:p w14:paraId="0647C3D0" w14:textId="1753236E" w:rsidR="00607B00" w:rsidRDefault="00607B00" w:rsidP="00607B00">
      <w:pPr>
        <w:spacing w:before="60"/>
        <w:ind w:left="720"/>
        <w:rPr>
          <w:rFonts w:ascii="Segoe UI" w:hAnsi="Segoe UI" w:cs="Segoe UI"/>
        </w:rPr>
      </w:pPr>
      <w:r>
        <w:rPr>
          <w:rFonts w:ascii="Segoe UI" w:hAnsi="Segoe UI" w:cs="Segoe UI"/>
        </w:rPr>
        <w:t>Therefore, given SB 253, as amended by SB 219, requires conformance with the GHG Protocol, we recommend against setting an emissions accounting threshold, which represents a non-conformant approach.</w:t>
      </w:r>
    </w:p>
    <w:p w14:paraId="0C9A17E9" w14:textId="77777777" w:rsidR="002E3C90" w:rsidRPr="00171410" w:rsidRDefault="002E3C90" w:rsidP="00E906C4">
      <w:pPr>
        <w:rPr>
          <w:rFonts w:ascii="Segoe UI" w:hAnsi="Segoe UI" w:cs="Segoe UI"/>
        </w:rPr>
      </w:pPr>
    </w:p>
    <w:p w14:paraId="5D7E2F4B" w14:textId="1A79FB7F" w:rsidR="002E3C90" w:rsidRDefault="0022782A" w:rsidP="00427798">
      <w:pPr>
        <w:ind w:left="720"/>
        <w:rPr>
          <w:rFonts w:ascii="Segoe UI" w:hAnsi="Segoe UI" w:cs="Segoe UI"/>
        </w:rPr>
      </w:pPr>
      <w:r>
        <w:rPr>
          <w:rFonts w:ascii="Segoe UI" w:hAnsi="Segoe UI" w:cs="Segoe UI"/>
        </w:rPr>
        <w:t>Regarding “control” method for GHG emissions reporting (operational or financial), CARB should defer to the GHG Protocol Corporate Standard’s guidance, retaining the flexibility of reporting in accordance with either method.  CARB should require, however, that covered entities disclose the control method utilized.  As mentioned in our response to question 3 part (c),</w:t>
      </w:r>
      <w:r w:rsidRPr="0022782A">
        <w:rPr>
          <w:rFonts w:ascii="Segoe UI" w:hAnsi="Segoe UI" w:cs="Segoe UI"/>
        </w:rPr>
        <w:t xml:space="preserve"> </w:t>
      </w:r>
      <w:r>
        <w:rPr>
          <w:rFonts w:ascii="Segoe UI" w:hAnsi="Segoe UI" w:cs="Segoe UI"/>
        </w:rPr>
        <w:t>i</w:t>
      </w:r>
      <w:r w:rsidR="00C877BD">
        <w:rPr>
          <w:rFonts w:ascii="Segoe UI" w:hAnsi="Segoe UI" w:cs="Segoe UI"/>
        </w:rPr>
        <w:t>f</w:t>
      </w:r>
      <w:r>
        <w:rPr>
          <w:rFonts w:ascii="Segoe UI" w:hAnsi="Segoe UI" w:cs="Segoe UI"/>
        </w:rPr>
        <w:t xml:space="preserve"> </w:t>
      </w:r>
      <w:r w:rsidRPr="0022782A">
        <w:rPr>
          <w:rFonts w:ascii="Segoe UI" w:hAnsi="Segoe UI" w:cs="Segoe UI"/>
        </w:rPr>
        <w:t xml:space="preserve">covered entities change their reporting method year-over-year, CARB should require covered entities to clearly disclose any reporting method changes and justification for doing so.  This approach ensures transparency and consistency, </w:t>
      </w:r>
      <w:r w:rsidR="00B446F1">
        <w:rPr>
          <w:rFonts w:ascii="Segoe UI" w:eastAsiaTheme="majorEastAsia" w:hAnsi="Segoe UI" w:cs="Segoe UI"/>
        </w:rPr>
        <w:t xml:space="preserve">two </w:t>
      </w:r>
      <w:r w:rsidR="00B446F1" w:rsidRPr="001B6DC5">
        <w:rPr>
          <w:rFonts w:ascii="Segoe UI" w:eastAsiaTheme="majorEastAsia" w:hAnsi="Segoe UI" w:cs="Segoe UI"/>
        </w:rPr>
        <w:t xml:space="preserve">of the </w:t>
      </w:r>
      <w:r w:rsidR="00B446F1">
        <w:rPr>
          <w:rFonts w:ascii="Segoe UI" w:eastAsiaTheme="majorEastAsia" w:hAnsi="Segoe UI" w:cs="Segoe UI"/>
        </w:rPr>
        <w:t>five</w:t>
      </w:r>
      <w:r w:rsidR="00B446F1" w:rsidRPr="001B6DC5">
        <w:rPr>
          <w:rFonts w:ascii="Segoe UI" w:eastAsiaTheme="majorEastAsia" w:hAnsi="Segoe UI" w:cs="Segoe UI"/>
        </w:rPr>
        <w:t xml:space="preserve"> core principles of the GHG Protocol</w:t>
      </w:r>
      <w:r w:rsidR="00B446F1">
        <w:rPr>
          <w:rFonts w:ascii="Segoe UI" w:eastAsiaTheme="majorEastAsia" w:hAnsi="Segoe UI" w:cs="Segoe UI"/>
        </w:rPr>
        <w:t xml:space="preserve"> Corporate Standard</w:t>
      </w:r>
      <w:r w:rsidR="00B446F1">
        <w:rPr>
          <w:rStyle w:val="FootnoteReference"/>
          <w:rFonts w:ascii="Segoe UI" w:eastAsiaTheme="majorEastAsia" w:hAnsi="Segoe UI" w:cs="Segoe UI"/>
        </w:rPr>
        <w:footnoteReference w:id="6"/>
      </w:r>
      <w:r w:rsidR="00B446F1">
        <w:rPr>
          <w:rFonts w:ascii="Segoe UI" w:eastAsiaTheme="majorEastAsia" w:hAnsi="Segoe UI" w:cs="Segoe UI"/>
        </w:rPr>
        <w:t xml:space="preserve">, </w:t>
      </w:r>
      <w:r w:rsidRPr="0022782A">
        <w:rPr>
          <w:rFonts w:ascii="Segoe UI" w:hAnsi="Segoe UI" w:cs="Segoe UI"/>
        </w:rPr>
        <w:t xml:space="preserve">but also allows for methodological improvement and adaption as business models and/or </w:t>
      </w:r>
      <w:r>
        <w:rPr>
          <w:rFonts w:ascii="Segoe UI" w:hAnsi="Segoe UI" w:cs="Segoe UI"/>
        </w:rPr>
        <w:t xml:space="preserve">reporting </w:t>
      </w:r>
      <w:r w:rsidRPr="0022782A">
        <w:rPr>
          <w:rFonts w:ascii="Segoe UI" w:hAnsi="Segoe UI" w:cs="Segoe UI"/>
        </w:rPr>
        <w:t>standards evolve.</w:t>
      </w:r>
    </w:p>
    <w:p w14:paraId="43DF783C" w14:textId="77777777" w:rsidR="00A71D6B" w:rsidRDefault="00A71D6B" w:rsidP="00427798">
      <w:pPr>
        <w:ind w:left="720"/>
        <w:rPr>
          <w:rFonts w:ascii="Segoe UI" w:hAnsi="Segoe UI" w:cs="Segoe UI"/>
        </w:rPr>
      </w:pPr>
    </w:p>
    <w:p w14:paraId="48F006AF" w14:textId="2C38A4DA" w:rsidR="0083062D" w:rsidRPr="00171410" w:rsidRDefault="00A71D6B" w:rsidP="006768B6">
      <w:pPr>
        <w:ind w:left="720"/>
        <w:rPr>
          <w:rFonts w:ascii="Segoe UI" w:hAnsi="Segoe UI" w:cs="Segoe UI"/>
        </w:rPr>
      </w:pPr>
      <w:r>
        <w:rPr>
          <w:rFonts w:ascii="Segoe UI" w:hAnsi="Segoe UI" w:cs="Segoe UI"/>
        </w:rPr>
        <w:lastRenderedPageBreak/>
        <w:t>Lastly, CARB should c</w:t>
      </w:r>
      <w:r w:rsidR="006768B6">
        <w:rPr>
          <w:rFonts w:ascii="Segoe UI" w:hAnsi="Segoe UI" w:cs="Segoe UI"/>
        </w:rPr>
        <w:t>onfirm</w:t>
      </w:r>
      <w:r>
        <w:rPr>
          <w:rFonts w:ascii="Segoe UI" w:hAnsi="Segoe UI" w:cs="Segoe UI"/>
        </w:rPr>
        <w:t xml:space="preserve"> that covered entities are expected to </w:t>
      </w:r>
      <w:r w:rsidRPr="00A71D6B">
        <w:rPr>
          <w:rFonts w:ascii="Segoe UI" w:hAnsi="Segoe UI" w:cs="Segoe UI"/>
        </w:rPr>
        <w:t>measure and report their emissions of greenhouse gases in conformance with the GHG Protocol</w:t>
      </w:r>
      <w:r>
        <w:rPr>
          <w:rFonts w:ascii="Segoe UI" w:hAnsi="Segoe UI" w:cs="Segoe UI"/>
        </w:rPr>
        <w:t xml:space="preserve"> Corporate Standard</w:t>
      </w:r>
      <w:r w:rsidR="006768B6">
        <w:rPr>
          <w:rFonts w:ascii="Segoe UI" w:hAnsi="Segoe UI" w:cs="Segoe UI"/>
        </w:rPr>
        <w:t>, Scope 2 Guidance,</w:t>
      </w:r>
      <w:r>
        <w:rPr>
          <w:rFonts w:ascii="Segoe UI" w:hAnsi="Segoe UI" w:cs="Segoe UI"/>
        </w:rPr>
        <w:t xml:space="preserve"> and Scope 3 Value Chain Standard, including future updates to those </w:t>
      </w:r>
      <w:r w:rsidR="006768B6">
        <w:rPr>
          <w:rFonts w:ascii="Segoe UI" w:hAnsi="Segoe UI" w:cs="Segoe UI"/>
        </w:rPr>
        <w:t>s</w:t>
      </w:r>
      <w:r>
        <w:rPr>
          <w:rFonts w:ascii="Segoe UI" w:hAnsi="Segoe UI" w:cs="Segoe UI"/>
        </w:rPr>
        <w:t>tandards</w:t>
      </w:r>
      <w:r w:rsidR="006768B6">
        <w:rPr>
          <w:rFonts w:ascii="Segoe UI" w:hAnsi="Segoe UI" w:cs="Segoe UI"/>
        </w:rPr>
        <w:t xml:space="preserve"> and guidance</w:t>
      </w:r>
      <w:r>
        <w:rPr>
          <w:rFonts w:ascii="Segoe UI" w:hAnsi="Segoe UI" w:cs="Segoe UI"/>
        </w:rPr>
        <w:t xml:space="preserve"> unless otherwise indicated by the formal review process suggested in our response to question 3 </w:t>
      </w:r>
      <w:proofErr w:type="gramStart"/>
      <w:r>
        <w:rPr>
          <w:rFonts w:ascii="Segoe UI" w:hAnsi="Segoe UI" w:cs="Segoe UI"/>
        </w:rPr>
        <w:t>part</w:t>
      </w:r>
      <w:proofErr w:type="gramEnd"/>
      <w:r>
        <w:rPr>
          <w:rFonts w:ascii="Segoe UI" w:hAnsi="Segoe UI" w:cs="Segoe UI"/>
        </w:rPr>
        <w:t xml:space="preserve"> (a).</w:t>
      </w:r>
      <w:r w:rsidR="006768B6">
        <w:rPr>
          <w:rFonts w:ascii="Segoe UI" w:hAnsi="Segoe UI" w:cs="Segoe UI"/>
        </w:rPr>
        <w:t xml:space="preserve">  This confirmation is particularly important given the GHG Protocol is currently conducting an update of its corporate standards and guidance.</w:t>
      </w:r>
    </w:p>
    <w:p w14:paraId="7D33CCB6" w14:textId="77777777" w:rsidR="00427798" w:rsidRPr="00171410" w:rsidRDefault="00427798" w:rsidP="00427798">
      <w:pPr>
        <w:ind w:left="720"/>
        <w:rPr>
          <w:rFonts w:ascii="Segoe UI" w:hAnsi="Segoe UI" w:cs="Segoe UI"/>
          <w:i/>
          <w:iCs/>
        </w:rPr>
      </w:pPr>
    </w:p>
    <w:p w14:paraId="5EBB6390" w14:textId="083530B9" w:rsidR="00427798" w:rsidRPr="00171410" w:rsidRDefault="00427798" w:rsidP="00B446F1">
      <w:pPr>
        <w:pStyle w:val="ListParagraph"/>
        <w:numPr>
          <w:ilvl w:val="0"/>
          <w:numId w:val="8"/>
        </w:numPr>
        <w:rPr>
          <w:rFonts w:ascii="Segoe UI" w:hAnsi="Segoe UI" w:cs="Segoe UI"/>
          <w:b/>
          <w:bCs/>
        </w:rPr>
      </w:pPr>
      <w:r w:rsidRPr="00171410">
        <w:rPr>
          <w:rFonts w:ascii="Segoe UI" w:hAnsi="Segoe UI" w:cs="Segoe UI"/>
          <w:b/>
          <w:bCs/>
        </w:rPr>
        <w:t xml:space="preserve">SB 253 requires that reporting entities obtain “assurance providers.” An assurance provider is required to be third-party, independent, and have significant experience in measuring, analyzing, reporting, or attesting in accordance with professional standards and applicable legal and regulatory requirements. </w:t>
      </w:r>
    </w:p>
    <w:p w14:paraId="07C2403F" w14:textId="77777777" w:rsidR="00427798" w:rsidRPr="00171410" w:rsidRDefault="00427798" w:rsidP="00427798">
      <w:pPr>
        <w:pStyle w:val="ListParagraph"/>
        <w:numPr>
          <w:ilvl w:val="1"/>
          <w:numId w:val="1"/>
        </w:numPr>
        <w:rPr>
          <w:rFonts w:ascii="Segoe UI" w:hAnsi="Segoe UI" w:cs="Segoe UI"/>
          <w:b/>
          <w:bCs/>
        </w:rPr>
      </w:pPr>
      <w:r w:rsidRPr="00171410">
        <w:rPr>
          <w:rFonts w:ascii="Segoe UI" w:hAnsi="Segoe UI" w:cs="Segoe UI"/>
          <w:b/>
          <w:bCs/>
        </w:rPr>
        <w:t>For entities required to report under SB 253, what options exist for third-party verification or assurance for scope 3 emissions?</w:t>
      </w:r>
    </w:p>
    <w:p w14:paraId="53E1AE12" w14:textId="77777777" w:rsidR="00C77941" w:rsidRDefault="00C77941" w:rsidP="00A0474D">
      <w:pPr>
        <w:ind w:left="1440"/>
        <w:rPr>
          <w:rFonts w:ascii="Segoe UI" w:hAnsi="Segoe UI" w:cs="Segoe UI"/>
        </w:rPr>
      </w:pPr>
    </w:p>
    <w:p w14:paraId="36C61D8B" w14:textId="6D438F69" w:rsidR="00427798" w:rsidRPr="00171410" w:rsidRDefault="00C877BD" w:rsidP="00A0474D">
      <w:pPr>
        <w:ind w:left="1440"/>
        <w:rPr>
          <w:rFonts w:ascii="Segoe UI" w:hAnsi="Segoe UI" w:cs="Segoe UI"/>
        </w:rPr>
      </w:pPr>
      <w:r>
        <w:rPr>
          <w:rFonts w:ascii="Segoe UI" w:hAnsi="Segoe UI" w:cs="Segoe UI"/>
        </w:rPr>
        <w:t>The options for third-party verification or assurance for scope 3 emissions include</w:t>
      </w:r>
      <w:r w:rsidR="00427798" w:rsidRPr="00171410">
        <w:rPr>
          <w:rFonts w:ascii="Segoe UI" w:hAnsi="Segoe UI" w:cs="Segoe UI"/>
        </w:rPr>
        <w:t xml:space="preserve"> </w:t>
      </w:r>
      <w:r>
        <w:rPr>
          <w:rFonts w:ascii="Segoe UI" w:hAnsi="Segoe UI" w:cs="Segoe UI"/>
        </w:rPr>
        <w:t>engineering/</w:t>
      </w:r>
      <w:r w:rsidR="00427798" w:rsidRPr="00171410">
        <w:rPr>
          <w:rFonts w:ascii="Segoe UI" w:hAnsi="Segoe UI" w:cs="Segoe UI"/>
        </w:rPr>
        <w:t xml:space="preserve">environmental consulting firms, sustainability-focused </w:t>
      </w:r>
      <w:r>
        <w:rPr>
          <w:rFonts w:ascii="Segoe UI" w:hAnsi="Segoe UI" w:cs="Segoe UI"/>
        </w:rPr>
        <w:t>consultancies</w:t>
      </w:r>
      <w:r w:rsidR="00427798" w:rsidRPr="00171410">
        <w:rPr>
          <w:rFonts w:ascii="Segoe UI" w:hAnsi="Segoe UI" w:cs="Segoe UI"/>
        </w:rPr>
        <w:t xml:space="preserve">, certification bodies that specialize in GHG emissions, </w:t>
      </w:r>
      <w:r>
        <w:rPr>
          <w:rFonts w:ascii="Segoe UI" w:hAnsi="Segoe UI" w:cs="Segoe UI"/>
        </w:rPr>
        <w:t>and</w:t>
      </w:r>
      <w:r w:rsidR="00427798" w:rsidRPr="00171410">
        <w:rPr>
          <w:rFonts w:ascii="Segoe UI" w:hAnsi="Segoe UI" w:cs="Segoe UI"/>
        </w:rPr>
        <w:t xml:space="preserve"> accounting firms</w:t>
      </w:r>
      <w:r>
        <w:rPr>
          <w:rFonts w:ascii="Segoe UI" w:hAnsi="Segoe UI" w:cs="Segoe UI"/>
        </w:rPr>
        <w:t>.</w:t>
      </w:r>
      <w:r w:rsidR="00427798" w:rsidRPr="00171410">
        <w:rPr>
          <w:rFonts w:ascii="Segoe UI" w:hAnsi="Segoe UI" w:cs="Segoe UI"/>
        </w:rPr>
        <w:t xml:space="preserve"> </w:t>
      </w:r>
    </w:p>
    <w:p w14:paraId="7B0D9814" w14:textId="77777777" w:rsidR="002E3C90" w:rsidRPr="00171410" w:rsidRDefault="002E3C90" w:rsidP="00A0474D">
      <w:pPr>
        <w:ind w:left="1440"/>
        <w:rPr>
          <w:rFonts w:ascii="Segoe UI" w:hAnsi="Segoe UI" w:cs="Segoe UI"/>
        </w:rPr>
      </w:pPr>
    </w:p>
    <w:p w14:paraId="52D801FD" w14:textId="4FA44765" w:rsidR="002E3C90" w:rsidRPr="00171410" w:rsidRDefault="002E3C90" w:rsidP="00A0474D">
      <w:pPr>
        <w:ind w:left="1440"/>
        <w:rPr>
          <w:rFonts w:ascii="Segoe UI" w:hAnsi="Segoe UI" w:cs="Segoe UI"/>
        </w:rPr>
      </w:pPr>
      <w:r w:rsidRPr="00171410">
        <w:rPr>
          <w:rFonts w:ascii="Segoe UI" w:hAnsi="Segoe UI" w:cs="Segoe UI"/>
        </w:rPr>
        <w:t>W</w:t>
      </w:r>
      <w:r w:rsidR="00C877BD">
        <w:rPr>
          <w:rFonts w:ascii="Segoe UI" w:hAnsi="Segoe UI" w:cs="Segoe UI"/>
        </w:rPr>
        <w:t>hen defining an eligible assurance provider,</w:t>
      </w:r>
      <w:r w:rsidRPr="00171410">
        <w:rPr>
          <w:rFonts w:ascii="Segoe UI" w:hAnsi="Segoe UI" w:cs="Segoe UI"/>
        </w:rPr>
        <w:t xml:space="preserve"> </w:t>
      </w:r>
      <w:r w:rsidR="00D73AF5">
        <w:rPr>
          <w:rFonts w:ascii="Segoe UI" w:hAnsi="Segoe UI" w:cs="Segoe UI"/>
        </w:rPr>
        <w:t xml:space="preserve">we </w:t>
      </w:r>
      <w:r w:rsidRPr="00171410">
        <w:rPr>
          <w:rFonts w:ascii="Segoe UI" w:hAnsi="Segoe UI" w:cs="Segoe UI"/>
        </w:rPr>
        <w:t>recommend that CARB defines the term “independen</w:t>
      </w:r>
      <w:r w:rsidR="00C877BD">
        <w:rPr>
          <w:rFonts w:ascii="Segoe UI" w:hAnsi="Segoe UI" w:cs="Segoe UI"/>
        </w:rPr>
        <w:t>t.”</w:t>
      </w:r>
      <w:r w:rsidRPr="00171410">
        <w:rPr>
          <w:rFonts w:ascii="Segoe UI" w:hAnsi="Segoe UI" w:cs="Segoe UI"/>
        </w:rPr>
        <w:t xml:space="preserve">  We recommend that CARB defines an “independent assurance provider” as a person who did not serve as the practitioner of the carbon accounting or otherwise </w:t>
      </w:r>
      <w:r w:rsidR="00D73AF5">
        <w:rPr>
          <w:rFonts w:ascii="Segoe UI" w:hAnsi="Segoe UI" w:cs="Segoe UI"/>
        </w:rPr>
        <w:t>participate in</w:t>
      </w:r>
      <w:r w:rsidRPr="00171410">
        <w:rPr>
          <w:rFonts w:ascii="Segoe UI" w:hAnsi="Segoe UI" w:cs="Segoe UI"/>
        </w:rPr>
        <w:t xml:space="preserve"> the preparation of the GHG inventory.  We recommend that, in interpreting this definition, CARB does not disqualify assurance providers who meet the definition provided </w:t>
      </w:r>
      <w:proofErr w:type="gramStart"/>
      <w:r w:rsidRPr="00171410">
        <w:rPr>
          <w:rFonts w:ascii="Segoe UI" w:hAnsi="Segoe UI" w:cs="Segoe UI"/>
        </w:rPr>
        <w:t>above, but</w:t>
      </w:r>
      <w:proofErr w:type="gramEnd"/>
      <w:r w:rsidRPr="00171410">
        <w:rPr>
          <w:rFonts w:ascii="Segoe UI" w:hAnsi="Segoe UI" w:cs="Segoe UI"/>
        </w:rPr>
        <w:t xml:space="preserve"> may be employees of the same organization that also employed personnel that supported the preparation of the GHG inventory.  </w:t>
      </w:r>
    </w:p>
    <w:p w14:paraId="203133EF" w14:textId="77777777" w:rsidR="002E3C90" w:rsidRPr="00171410" w:rsidRDefault="002E3C90" w:rsidP="00A0474D">
      <w:pPr>
        <w:ind w:left="1440"/>
        <w:rPr>
          <w:rFonts w:ascii="Segoe UI" w:hAnsi="Segoe UI" w:cs="Segoe UI"/>
        </w:rPr>
      </w:pPr>
    </w:p>
    <w:p w14:paraId="0FB37645" w14:textId="77777777" w:rsidR="00885C68" w:rsidRDefault="002E3C90" w:rsidP="00885C68">
      <w:pPr>
        <w:ind w:left="1440"/>
        <w:rPr>
          <w:rFonts w:ascii="Segoe UI" w:hAnsi="Segoe UI" w:cs="Segoe UI"/>
        </w:rPr>
      </w:pPr>
      <w:r w:rsidRPr="00171410">
        <w:rPr>
          <w:rFonts w:ascii="Segoe UI" w:hAnsi="Segoe UI" w:cs="Segoe UI"/>
        </w:rPr>
        <w:t>By adopting this definition and interpretation, CARB expands the available supply of qualified assurance provider services for covered entities, which enables more competition in the assurance provider market, leading to lower compliance costs for covered entities and higher quality disclosures.  The GHG assurance provider market is capacity-constrained and requires significant scaling to meet SB 253 demand, so this definition and interpretation would alleviate some of those market pressures.</w:t>
      </w:r>
      <w:r w:rsidR="00C877BD">
        <w:rPr>
          <w:rFonts w:ascii="Segoe UI" w:hAnsi="Segoe UI" w:cs="Segoe UI"/>
        </w:rPr>
        <w:t xml:space="preserve">  </w:t>
      </w:r>
    </w:p>
    <w:p w14:paraId="3D57A7C2" w14:textId="77777777" w:rsidR="00885C68" w:rsidRDefault="00885C68" w:rsidP="00885C68">
      <w:pPr>
        <w:ind w:left="1440"/>
        <w:rPr>
          <w:rFonts w:ascii="Segoe UI" w:hAnsi="Segoe UI" w:cs="Segoe UI"/>
        </w:rPr>
      </w:pPr>
    </w:p>
    <w:p w14:paraId="285AFA13" w14:textId="1EEB6E50" w:rsidR="005210BE" w:rsidRPr="00171410" w:rsidRDefault="00C877BD" w:rsidP="00885C68">
      <w:pPr>
        <w:ind w:left="1440"/>
        <w:rPr>
          <w:rFonts w:ascii="Segoe UI" w:hAnsi="Segoe UI" w:cs="Segoe UI"/>
        </w:rPr>
      </w:pPr>
      <w:r>
        <w:rPr>
          <w:rFonts w:ascii="Segoe UI" w:hAnsi="Segoe UI" w:cs="Segoe UI"/>
        </w:rPr>
        <w:lastRenderedPageBreak/>
        <w:t>If CARB disqualifies assurance providers who may be employees</w:t>
      </w:r>
      <w:r w:rsidR="00885C68">
        <w:rPr>
          <w:rFonts w:ascii="Segoe UI" w:hAnsi="Segoe UI" w:cs="Segoe UI"/>
        </w:rPr>
        <w:t xml:space="preserve"> of </w:t>
      </w:r>
      <w:r w:rsidR="00885C68" w:rsidRPr="00171410">
        <w:rPr>
          <w:rFonts w:ascii="Segoe UI" w:hAnsi="Segoe UI" w:cs="Segoe UI"/>
        </w:rPr>
        <w:t xml:space="preserve">the same organization </w:t>
      </w:r>
      <w:r w:rsidR="00295B22">
        <w:rPr>
          <w:rFonts w:ascii="Segoe UI" w:hAnsi="Segoe UI" w:cs="Segoe UI"/>
        </w:rPr>
        <w:t>which</w:t>
      </w:r>
      <w:r w:rsidR="00885C68" w:rsidRPr="00171410">
        <w:rPr>
          <w:rFonts w:ascii="Segoe UI" w:hAnsi="Segoe UI" w:cs="Segoe UI"/>
        </w:rPr>
        <w:t xml:space="preserve"> also employed personnel </w:t>
      </w:r>
      <w:r w:rsidR="00295B22">
        <w:rPr>
          <w:rFonts w:ascii="Segoe UI" w:hAnsi="Segoe UI" w:cs="Segoe UI"/>
        </w:rPr>
        <w:t xml:space="preserve">who </w:t>
      </w:r>
      <w:r w:rsidR="00885C68" w:rsidRPr="00171410">
        <w:rPr>
          <w:rFonts w:ascii="Segoe UI" w:hAnsi="Segoe UI" w:cs="Segoe UI"/>
        </w:rPr>
        <w:t>supported the preparation of the GHG inventory</w:t>
      </w:r>
      <w:r w:rsidR="00885C68">
        <w:rPr>
          <w:rFonts w:ascii="Segoe UI" w:hAnsi="Segoe UI" w:cs="Segoe UI"/>
        </w:rPr>
        <w:t>, CARB will be excluding a significant number of individuals who possess</w:t>
      </w:r>
      <w:r>
        <w:rPr>
          <w:rFonts w:ascii="Segoe UI" w:hAnsi="Segoe UI" w:cs="Segoe UI"/>
        </w:rPr>
        <w:t xml:space="preserve"> </w:t>
      </w:r>
      <w:r w:rsidR="00885C68">
        <w:rPr>
          <w:rFonts w:ascii="Segoe UI" w:hAnsi="Segoe UI" w:cs="Segoe UI"/>
        </w:rPr>
        <w:t>“</w:t>
      </w:r>
      <w:r w:rsidR="00885C68" w:rsidRPr="00885C68">
        <w:rPr>
          <w:rFonts w:ascii="Segoe UI" w:hAnsi="Segoe UI" w:cs="Segoe UI"/>
        </w:rPr>
        <w:t>significant experience in measuring, analyzing, reporting, or attesting in accordance with professional standards and applicable legal and regulatory requirements.</w:t>
      </w:r>
      <w:r w:rsidR="00885C68">
        <w:rPr>
          <w:rFonts w:ascii="Segoe UI" w:hAnsi="Segoe UI" w:cs="Segoe UI"/>
        </w:rPr>
        <w:t xml:space="preserve">”  Such </w:t>
      </w:r>
      <w:r w:rsidR="00295B22">
        <w:rPr>
          <w:rFonts w:ascii="Segoe UI" w:hAnsi="Segoe UI" w:cs="Segoe UI"/>
        </w:rPr>
        <w:t xml:space="preserve">an </w:t>
      </w:r>
      <w:r w:rsidR="00885C68">
        <w:rPr>
          <w:rFonts w:ascii="Segoe UI" w:hAnsi="Segoe UI" w:cs="Segoe UI"/>
        </w:rPr>
        <w:t xml:space="preserve">exclusion would increase compliance costs as non-traditional sustainability firms, such as accounting firms, may be forced to significantly increase the cost of assurance engagements to finance the training and development of qualified capacity.  </w:t>
      </w:r>
    </w:p>
    <w:p w14:paraId="1471E732" w14:textId="77777777" w:rsidR="005210BE" w:rsidRPr="00171410" w:rsidRDefault="005210BE" w:rsidP="00A0474D">
      <w:pPr>
        <w:ind w:left="1440"/>
        <w:rPr>
          <w:rFonts w:ascii="Segoe UI" w:hAnsi="Segoe UI" w:cs="Segoe UI"/>
        </w:rPr>
      </w:pPr>
    </w:p>
    <w:p w14:paraId="4505BD1F" w14:textId="275F134C" w:rsidR="00427798" w:rsidRPr="00171410" w:rsidRDefault="00427798" w:rsidP="00427798">
      <w:pPr>
        <w:pStyle w:val="ListParagraph"/>
        <w:numPr>
          <w:ilvl w:val="1"/>
          <w:numId w:val="1"/>
        </w:numPr>
        <w:rPr>
          <w:rFonts w:ascii="Segoe UI" w:hAnsi="Segoe UI" w:cs="Segoe UI"/>
          <w:b/>
          <w:bCs/>
        </w:rPr>
      </w:pPr>
      <w:r w:rsidRPr="00171410">
        <w:rPr>
          <w:rFonts w:ascii="Segoe UI" w:hAnsi="Segoe UI" w:cs="Segoe UI"/>
          <w:b/>
          <w:bCs/>
        </w:rPr>
        <w:t>For purposes of implementing SB 253, what standards should be used to define limited assurance and reasonable level of assurance? Should the existing definition for “reasonable assurance” in MRR be utilized, and if not why?</w:t>
      </w:r>
    </w:p>
    <w:p w14:paraId="4887B3F0" w14:textId="77777777" w:rsidR="00295B22" w:rsidRDefault="00295B22" w:rsidP="002E3C90">
      <w:pPr>
        <w:ind w:left="1440"/>
        <w:rPr>
          <w:rFonts w:ascii="Segoe UI" w:hAnsi="Segoe UI" w:cs="Segoe UI"/>
        </w:rPr>
      </w:pPr>
    </w:p>
    <w:p w14:paraId="6DBA8597" w14:textId="77777777" w:rsidR="007679D3" w:rsidRDefault="00A0474D" w:rsidP="002E3C90">
      <w:pPr>
        <w:ind w:left="1440"/>
        <w:rPr>
          <w:rFonts w:ascii="Segoe UI" w:hAnsi="Segoe UI" w:cs="Segoe UI"/>
        </w:rPr>
      </w:pPr>
      <w:r w:rsidRPr="00171410">
        <w:rPr>
          <w:rFonts w:ascii="Segoe UI" w:hAnsi="Segoe UI" w:cs="Segoe UI"/>
        </w:rPr>
        <w:t xml:space="preserve">ISO 14064-3 should be utilized when defining limited and reasonable levels of assurance </w:t>
      </w:r>
      <w:r w:rsidR="00295B22">
        <w:rPr>
          <w:rFonts w:ascii="Segoe UI" w:hAnsi="Segoe UI" w:cs="Segoe UI"/>
        </w:rPr>
        <w:t>given its GHG</w:t>
      </w:r>
      <w:r w:rsidR="007679D3">
        <w:rPr>
          <w:rFonts w:ascii="Segoe UI" w:hAnsi="Segoe UI" w:cs="Segoe UI"/>
        </w:rPr>
        <w:t>-</w:t>
      </w:r>
      <w:r w:rsidR="00295B22">
        <w:rPr>
          <w:rFonts w:ascii="Segoe UI" w:hAnsi="Segoe UI" w:cs="Segoe UI"/>
        </w:rPr>
        <w:t>specificity</w:t>
      </w:r>
      <w:r w:rsidRPr="00171410">
        <w:rPr>
          <w:rFonts w:ascii="Segoe UI" w:hAnsi="Segoe UI" w:cs="Segoe UI"/>
        </w:rPr>
        <w:t xml:space="preserve">. </w:t>
      </w:r>
      <w:r w:rsidR="00295B22">
        <w:rPr>
          <w:rFonts w:ascii="Segoe UI" w:hAnsi="Segoe UI" w:cs="Segoe UI"/>
        </w:rPr>
        <w:t xml:space="preserve"> </w:t>
      </w:r>
      <w:r w:rsidR="00295B22" w:rsidRPr="00171410">
        <w:rPr>
          <w:rFonts w:ascii="Segoe UI" w:hAnsi="Segoe UI" w:cs="Segoe UI"/>
        </w:rPr>
        <w:t xml:space="preserve">ISO 14064-3 </w:t>
      </w:r>
      <w:r w:rsidRPr="00171410">
        <w:rPr>
          <w:rFonts w:ascii="Segoe UI" w:hAnsi="Segoe UI" w:cs="Segoe UI"/>
        </w:rPr>
        <w:t>defi</w:t>
      </w:r>
      <w:r w:rsidR="00295B22">
        <w:rPr>
          <w:rFonts w:ascii="Segoe UI" w:hAnsi="Segoe UI" w:cs="Segoe UI"/>
        </w:rPr>
        <w:t>nes</w:t>
      </w:r>
      <w:r w:rsidRPr="00171410">
        <w:rPr>
          <w:rFonts w:ascii="Segoe UI" w:hAnsi="Segoe UI" w:cs="Segoe UI"/>
        </w:rPr>
        <w:t xml:space="preserve"> reasonable assurance </w:t>
      </w:r>
      <w:r w:rsidR="00295B22">
        <w:rPr>
          <w:rFonts w:ascii="Segoe UI" w:hAnsi="Segoe UI" w:cs="Segoe UI"/>
        </w:rPr>
        <w:t xml:space="preserve">similarly to </w:t>
      </w:r>
      <w:r w:rsidRPr="00171410">
        <w:rPr>
          <w:rFonts w:ascii="Segoe UI" w:hAnsi="Segoe UI" w:cs="Segoe UI"/>
        </w:rPr>
        <w:t xml:space="preserve">MRR </w:t>
      </w:r>
      <w:r w:rsidR="00B24FDD" w:rsidRPr="00171410">
        <w:rPr>
          <w:rFonts w:ascii="Segoe UI" w:hAnsi="Segoe UI" w:cs="Segoe UI"/>
        </w:rPr>
        <w:t xml:space="preserve">and reads </w:t>
      </w:r>
      <w:r w:rsidRPr="00171410">
        <w:rPr>
          <w:rFonts w:ascii="Segoe UI" w:hAnsi="Segoe UI" w:cs="Segoe UI"/>
        </w:rPr>
        <w:t>“where the nature and extent of verification activities have been designed to provide a high but not absolute level of assurance on historical data and information</w:t>
      </w:r>
      <w:r w:rsidR="007679D3">
        <w:rPr>
          <w:rFonts w:ascii="Segoe UI" w:hAnsi="Segoe UI" w:cs="Segoe UI"/>
        </w:rPr>
        <w:t>.”</w:t>
      </w:r>
    </w:p>
    <w:p w14:paraId="57000167" w14:textId="77777777" w:rsidR="007679D3" w:rsidRDefault="007679D3" w:rsidP="002E3C90">
      <w:pPr>
        <w:ind w:left="1440"/>
        <w:rPr>
          <w:rFonts w:ascii="Segoe UI" w:hAnsi="Segoe UI" w:cs="Segoe UI"/>
        </w:rPr>
      </w:pPr>
    </w:p>
    <w:p w14:paraId="33766845" w14:textId="1729D0B8" w:rsidR="002E3C90" w:rsidRPr="00171410" w:rsidRDefault="007679D3" w:rsidP="002E3C90">
      <w:pPr>
        <w:ind w:left="1440"/>
        <w:rPr>
          <w:rFonts w:ascii="Segoe UI" w:hAnsi="Segoe UI" w:cs="Segoe UI"/>
        </w:rPr>
      </w:pPr>
      <w:r>
        <w:rPr>
          <w:rFonts w:ascii="Segoe UI" w:hAnsi="Segoe UI" w:cs="Segoe UI"/>
        </w:rPr>
        <w:t xml:space="preserve">Additionally, </w:t>
      </w:r>
      <w:r>
        <w:rPr>
          <w:rStyle w:val="normaltextrun"/>
          <w:rFonts w:ascii="Segoe UI" w:eastAsiaTheme="majorEastAsia" w:hAnsi="Segoe UI" w:cs="Segoe UI"/>
        </w:rPr>
        <w:t>o</w:t>
      </w:r>
      <w:r w:rsidR="00295B22" w:rsidRPr="00D73AF5">
        <w:rPr>
          <w:rStyle w:val="normaltextrun"/>
          <w:rFonts w:ascii="Segoe UI" w:eastAsiaTheme="majorEastAsia" w:hAnsi="Segoe UI" w:cs="Segoe UI"/>
        </w:rPr>
        <w:t>n page</w:t>
      </w:r>
      <w:r w:rsidR="00295B22">
        <w:rPr>
          <w:rStyle w:val="normaltextrun"/>
          <w:rFonts w:ascii="Segoe UI" w:eastAsiaTheme="majorEastAsia" w:hAnsi="Segoe UI" w:cs="Segoe UI"/>
        </w:rPr>
        <w:t>s 348 and 349</w:t>
      </w:r>
      <w:r w:rsidR="00295B22" w:rsidRPr="00D73AF5">
        <w:rPr>
          <w:rStyle w:val="normaltextrun"/>
          <w:rFonts w:ascii="Segoe UI" w:eastAsiaTheme="majorEastAsia" w:hAnsi="Segoe UI" w:cs="Segoe UI"/>
        </w:rPr>
        <w:t xml:space="preserve"> of the SEC Climate Rule</w:t>
      </w:r>
      <w:r w:rsidR="00295B22">
        <w:rPr>
          <w:rStyle w:val="FootnoteReference"/>
          <w:rFonts w:ascii="Segoe UI" w:eastAsiaTheme="majorEastAsia" w:hAnsi="Segoe UI" w:cs="Segoe UI"/>
        </w:rPr>
        <w:footnoteReference w:id="7"/>
      </w:r>
      <w:r w:rsidR="00295B22">
        <w:rPr>
          <w:rStyle w:val="normaltextrun"/>
          <w:rFonts w:ascii="Segoe UI" w:eastAsiaTheme="majorEastAsia" w:hAnsi="Segoe UI" w:cs="Segoe UI"/>
        </w:rPr>
        <w:t xml:space="preserve">, the SEC concludes that </w:t>
      </w:r>
      <w:r w:rsidR="00295B22" w:rsidRPr="00171410">
        <w:rPr>
          <w:rFonts w:ascii="Segoe UI" w:hAnsi="Segoe UI" w:cs="Segoe UI"/>
        </w:rPr>
        <w:t>ISO 14064-3</w:t>
      </w:r>
      <w:r w:rsidR="00295B22" w:rsidRPr="00295B22">
        <w:rPr>
          <w:rFonts w:ascii="Segoe UI" w:hAnsi="Segoe UI" w:cs="Segoe UI"/>
        </w:rPr>
        <w:t xml:space="preserve"> </w:t>
      </w:r>
      <w:r w:rsidR="00295B22" w:rsidRPr="00171410">
        <w:rPr>
          <w:rFonts w:ascii="Segoe UI" w:hAnsi="Segoe UI" w:cs="Segoe UI"/>
        </w:rPr>
        <w:t>provides an equivalent level of rigor as compared to financial auditing standards</w:t>
      </w:r>
      <w:r w:rsidR="00295B22">
        <w:rPr>
          <w:rFonts w:ascii="Segoe UI" w:hAnsi="Segoe UI" w:cs="Segoe UI"/>
        </w:rPr>
        <w:t xml:space="preserve">, meets their “due process requirement.”  Page 639 of the </w:t>
      </w:r>
      <w:r w:rsidR="00295B22" w:rsidRPr="00D73AF5">
        <w:rPr>
          <w:rStyle w:val="normaltextrun"/>
          <w:rFonts w:ascii="Segoe UI" w:eastAsiaTheme="majorEastAsia" w:hAnsi="Segoe UI" w:cs="Segoe UI"/>
        </w:rPr>
        <w:t>Rule</w:t>
      </w:r>
      <w:r w:rsidR="00295B22">
        <w:rPr>
          <w:rStyle w:val="FootnoteReference"/>
          <w:rFonts w:ascii="Segoe UI" w:eastAsiaTheme="majorEastAsia" w:hAnsi="Segoe UI" w:cs="Segoe UI"/>
        </w:rPr>
        <w:footnoteReference w:id="8"/>
      </w:r>
      <w:r w:rsidR="00295B22">
        <w:rPr>
          <w:rFonts w:ascii="Segoe UI" w:hAnsi="Segoe UI" w:cs="Segoe UI"/>
        </w:rPr>
        <w:t xml:space="preserve"> also cites a 2023 study </w:t>
      </w:r>
      <w:r w:rsidR="00F57E60">
        <w:rPr>
          <w:rFonts w:ascii="Segoe UI" w:hAnsi="Segoe UI" w:cs="Segoe UI"/>
        </w:rPr>
        <w:t xml:space="preserve">of </w:t>
      </w:r>
      <w:r w:rsidR="00295B22" w:rsidRPr="00295B22">
        <w:rPr>
          <w:rFonts w:ascii="Segoe UI" w:hAnsi="Segoe UI" w:cs="Segoe UI"/>
        </w:rPr>
        <w:t>S&amp;P 500 companies</w:t>
      </w:r>
      <w:r w:rsidR="00295B22">
        <w:rPr>
          <w:rFonts w:ascii="Segoe UI" w:hAnsi="Segoe UI" w:cs="Segoe UI"/>
        </w:rPr>
        <w:t xml:space="preserve">, which concluded that </w:t>
      </w:r>
      <w:r w:rsidR="00295B22" w:rsidRPr="00295B22">
        <w:rPr>
          <w:rFonts w:ascii="Segoe UI" w:hAnsi="Segoe UI" w:cs="Segoe UI"/>
        </w:rPr>
        <w:t>approximately 40 percent of the assurance performed utilizes ISO 14064-3</w:t>
      </w:r>
      <w:r w:rsidR="00295B22">
        <w:rPr>
          <w:rFonts w:ascii="Segoe UI" w:hAnsi="Segoe UI" w:cs="Segoe UI"/>
        </w:rPr>
        <w:t>, making it “</w:t>
      </w:r>
      <w:r w:rsidR="00295B22" w:rsidRPr="00295B22">
        <w:rPr>
          <w:rFonts w:ascii="Segoe UI" w:hAnsi="Segoe UI" w:cs="Segoe UI"/>
        </w:rPr>
        <w:t>the most common form of assurance standard used for GHG emissions</w:t>
      </w:r>
      <w:r w:rsidR="00295B22">
        <w:rPr>
          <w:rFonts w:ascii="Segoe UI" w:hAnsi="Segoe UI" w:cs="Segoe UI"/>
        </w:rPr>
        <w:t>.”</w:t>
      </w:r>
      <w:r>
        <w:rPr>
          <w:rFonts w:ascii="Segoe UI" w:hAnsi="Segoe UI" w:cs="Segoe UI"/>
        </w:rPr>
        <w:t xml:space="preserve">  Given the prevalence of ISO 14064-3, permitting its use would continue to enable</w:t>
      </w:r>
      <w:r w:rsidRPr="007679D3">
        <w:rPr>
          <w:rFonts w:ascii="Segoe UI" w:hAnsi="Segoe UI" w:cs="Segoe UI"/>
        </w:rPr>
        <w:t xml:space="preserve"> efficiencies gained through prior attestation engagements </w:t>
      </w:r>
      <w:r>
        <w:rPr>
          <w:rFonts w:ascii="Segoe UI" w:hAnsi="Segoe UI" w:cs="Segoe UI"/>
        </w:rPr>
        <w:t>and reduce compliance costs.</w:t>
      </w:r>
    </w:p>
    <w:p w14:paraId="70A3C063" w14:textId="77777777" w:rsidR="00A0474D" w:rsidRPr="00171410" w:rsidRDefault="00A0474D" w:rsidP="00A0474D">
      <w:pPr>
        <w:ind w:left="1440"/>
        <w:rPr>
          <w:rFonts w:ascii="Segoe UI" w:hAnsi="Segoe UI" w:cs="Segoe UI"/>
        </w:rPr>
      </w:pPr>
    </w:p>
    <w:p w14:paraId="07CD4427" w14:textId="77777777" w:rsidR="00CE0E4F" w:rsidRDefault="00CE0E4F" w:rsidP="00B446F1">
      <w:pPr>
        <w:pStyle w:val="ListParagraph"/>
        <w:numPr>
          <w:ilvl w:val="0"/>
          <w:numId w:val="8"/>
        </w:numPr>
        <w:rPr>
          <w:rFonts w:ascii="Segoe UI" w:hAnsi="Segoe UI" w:cs="Segoe UI"/>
          <w:b/>
          <w:bCs/>
        </w:rPr>
      </w:pPr>
      <w:r w:rsidRPr="00171410">
        <w:rPr>
          <w:rFonts w:ascii="Segoe UI" w:hAnsi="Segoe UI" w:cs="Segoe UI"/>
          <w:b/>
          <w:bCs/>
        </w:rPr>
        <w:t xml:space="preserve">How should voluntary emissions reporting inform CARB’s approach to implementing SB 253 requirements? </w:t>
      </w:r>
      <w:r w:rsidRPr="007679D3">
        <w:rPr>
          <w:rFonts w:ascii="Segoe UI" w:hAnsi="Segoe UI" w:cs="Segoe UI"/>
          <w:b/>
          <w:bCs/>
        </w:rPr>
        <w:t>For those parties currently reporting scopes 1 and 2 emissions on a voluntary basis:</w:t>
      </w:r>
    </w:p>
    <w:p w14:paraId="1A11ACFF" w14:textId="77777777" w:rsidR="007679D3" w:rsidRDefault="007679D3" w:rsidP="007679D3">
      <w:pPr>
        <w:pStyle w:val="ListParagraph"/>
        <w:rPr>
          <w:rFonts w:ascii="Segoe UI" w:hAnsi="Segoe UI" w:cs="Segoe UI"/>
          <w:b/>
          <w:bCs/>
        </w:rPr>
      </w:pPr>
    </w:p>
    <w:p w14:paraId="446DC356" w14:textId="0B533BD3" w:rsidR="00744AA7" w:rsidRDefault="009F5FD8" w:rsidP="007679D3">
      <w:pPr>
        <w:pStyle w:val="ListParagraph"/>
        <w:rPr>
          <w:rFonts w:ascii="Segoe UI" w:hAnsi="Segoe UI" w:cs="Segoe UI"/>
        </w:rPr>
      </w:pPr>
      <w:r>
        <w:rPr>
          <w:rFonts w:ascii="Segoe UI" w:hAnsi="Segoe UI" w:cs="Segoe UI"/>
        </w:rPr>
        <w:lastRenderedPageBreak/>
        <w:t xml:space="preserve">To use </w:t>
      </w:r>
      <w:r w:rsidRPr="009F5FD8">
        <w:rPr>
          <w:rFonts w:ascii="Segoe UI" w:hAnsi="Segoe UI" w:cs="Segoe UI"/>
        </w:rPr>
        <w:t>voluntary emissions reporting inform CARB’s approach to implementing SB 253 requirements</w:t>
      </w:r>
      <w:r>
        <w:rPr>
          <w:rFonts w:ascii="Segoe UI" w:hAnsi="Segoe UI" w:cs="Segoe UI"/>
        </w:rPr>
        <w:t xml:space="preserve">, </w:t>
      </w:r>
      <w:r w:rsidR="00744AA7" w:rsidRPr="00171410">
        <w:rPr>
          <w:rFonts w:ascii="Segoe UI" w:hAnsi="Segoe UI" w:cs="Segoe UI"/>
        </w:rPr>
        <w:t xml:space="preserve">CARB could </w:t>
      </w:r>
      <w:r w:rsidR="002E3C90" w:rsidRPr="00171410">
        <w:rPr>
          <w:rFonts w:ascii="Segoe UI" w:hAnsi="Segoe UI" w:cs="Segoe UI"/>
        </w:rPr>
        <w:t xml:space="preserve">select </w:t>
      </w:r>
      <w:r>
        <w:rPr>
          <w:rFonts w:ascii="Segoe UI" w:hAnsi="Segoe UI" w:cs="Segoe UI"/>
        </w:rPr>
        <w:t>a</w:t>
      </w:r>
      <w:r w:rsidR="002E3C90" w:rsidRPr="00171410">
        <w:rPr>
          <w:rFonts w:ascii="Segoe UI" w:hAnsi="Segoe UI" w:cs="Segoe UI"/>
        </w:rPr>
        <w:t xml:space="preserve"> sample of </w:t>
      </w:r>
      <w:r w:rsidR="00744AA7" w:rsidRPr="00171410">
        <w:rPr>
          <w:rFonts w:ascii="Segoe UI" w:hAnsi="Segoe UI" w:cs="Segoe UI"/>
        </w:rPr>
        <w:t>voluntar</w:t>
      </w:r>
      <w:r w:rsidR="002E3C90" w:rsidRPr="00171410">
        <w:rPr>
          <w:rFonts w:ascii="Segoe UI" w:hAnsi="Segoe UI" w:cs="Segoe UI"/>
        </w:rPr>
        <w:t>y</w:t>
      </w:r>
      <w:r w:rsidR="00744AA7" w:rsidRPr="00171410">
        <w:rPr>
          <w:rFonts w:ascii="Segoe UI" w:hAnsi="Segoe UI" w:cs="Segoe UI"/>
        </w:rPr>
        <w:t xml:space="preserve"> </w:t>
      </w:r>
      <w:r w:rsidR="002E3C90" w:rsidRPr="00171410">
        <w:rPr>
          <w:rFonts w:ascii="Segoe UI" w:hAnsi="Segoe UI" w:cs="Segoe UI"/>
        </w:rPr>
        <w:t xml:space="preserve">disclosures </w:t>
      </w:r>
      <w:r>
        <w:rPr>
          <w:rFonts w:ascii="Segoe UI" w:hAnsi="Segoe UI" w:cs="Segoe UI"/>
        </w:rPr>
        <w:t xml:space="preserve">from covered entities </w:t>
      </w:r>
      <w:r w:rsidR="002E3C90" w:rsidRPr="00171410">
        <w:rPr>
          <w:rFonts w:ascii="Segoe UI" w:hAnsi="Segoe UI" w:cs="Segoe UI"/>
        </w:rPr>
        <w:t>within each sector</w:t>
      </w:r>
      <w:r>
        <w:rPr>
          <w:rFonts w:ascii="Segoe UI" w:hAnsi="Segoe UI" w:cs="Segoe UI"/>
        </w:rPr>
        <w:t xml:space="preserve"> (two-digit NAICS Code)</w:t>
      </w:r>
      <w:r w:rsidR="002E3C90" w:rsidRPr="00171410">
        <w:rPr>
          <w:rFonts w:ascii="Segoe UI" w:hAnsi="Segoe UI" w:cs="Segoe UI"/>
        </w:rPr>
        <w:t xml:space="preserve"> to</w:t>
      </w:r>
      <w:r w:rsidR="00744AA7" w:rsidRPr="00171410">
        <w:rPr>
          <w:rFonts w:ascii="Segoe UI" w:hAnsi="Segoe UI" w:cs="Segoe UI"/>
        </w:rPr>
        <w:t xml:space="preserve"> review how</w:t>
      </w:r>
      <w:r w:rsidR="00655C70">
        <w:rPr>
          <w:rFonts w:ascii="Segoe UI" w:hAnsi="Segoe UI" w:cs="Segoe UI"/>
        </w:rPr>
        <w:t xml:space="preserve"> </w:t>
      </w:r>
      <w:r w:rsidR="002E3C90" w:rsidRPr="00171410">
        <w:rPr>
          <w:rFonts w:ascii="Segoe UI" w:hAnsi="Segoe UI" w:cs="Segoe UI"/>
        </w:rPr>
        <w:t xml:space="preserve">entities </w:t>
      </w:r>
      <w:r w:rsidR="00744AA7" w:rsidRPr="00171410">
        <w:rPr>
          <w:rFonts w:ascii="Segoe UI" w:hAnsi="Segoe UI" w:cs="Segoe UI"/>
        </w:rPr>
        <w:t xml:space="preserve">are </w:t>
      </w:r>
      <w:r w:rsidR="002E3C90" w:rsidRPr="00171410">
        <w:rPr>
          <w:rFonts w:ascii="Segoe UI" w:hAnsi="Segoe UI" w:cs="Segoe UI"/>
        </w:rPr>
        <w:t>currently reporting</w:t>
      </w:r>
      <w:r w:rsidR="00744AA7" w:rsidRPr="00171410">
        <w:rPr>
          <w:rFonts w:ascii="Segoe UI" w:hAnsi="Segoe UI" w:cs="Segoe UI"/>
        </w:rPr>
        <w:t xml:space="preserve"> scope 1, 2, and 3 emissions (particularly scope 3)</w:t>
      </w:r>
      <w:r w:rsidR="002E3C90" w:rsidRPr="00171410">
        <w:rPr>
          <w:rFonts w:ascii="Segoe UI" w:hAnsi="Segoe UI" w:cs="Segoe UI"/>
        </w:rPr>
        <w:t>.  This review could highlight major inconsistencies within each sector’s reporting</w:t>
      </w:r>
      <w:r w:rsidR="00744AA7" w:rsidRPr="00171410">
        <w:rPr>
          <w:rFonts w:ascii="Segoe UI" w:hAnsi="Segoe UI" w:cs="Segoe UI"/>
        </w:rPr>
        <w:t xml:space="preserve"> and</w:t>
      </w:r>
      <w:r w:rsidR="002E3C90" w:rsidRPr="00171410">
        <w:rPr>
          <w:rFonts w:ascii="Segoe UI" w:hAnsi="Segoe UI" w:cs="Segoe UI"/>
        </w:rPr>
        <w:t xml:space="preserve"> inform the provision of sector-specific standardization</w:t>
      </w:r>
      <w:r w:rsidR="002E3C90" w:rsidRPr="00013755">
        <w:rPr>
          <w:rFonts w:ascii="Segoe UI" w:hAnsi="Segoe UI" w:cs="Segoe UI"/>
        </w:rPr>
        <w:t>, as discussed in question 7.</w:t>
      </w:r>
    </w:p>
    <w:p w14:paraId="67022BD9" w14:textId="77777777" w:rsidR="007679D3" w:rsidRPr="00171410" w:rsidRDefault="007679D3" w:rsidP="007679D3">
      <w:pPr>
        <w:pStyle w:val="ListParagraph"/>
        <w:rPr>
          <w:rFonts w:ascii="Segoe UI" w:hAnsi="Segoe UI" w:cs="Segoe UI"/>
          <w:b/>
          <w:bCs/>
        </w:rPr>
      </w:pPr>
    </w:p>
    <w:p w14:paraId="46DA57B7" w14:textId="77777777" w:rsidR="007679D3" w:rsidRDefault="00A0474D" w:rsidP="00A0474D">
      <w:pPr>
        <w:pStyle w:val="ListParagraph"/>
        <w:numPr>
          <w:ilvl w:val="1"/>
          <w:numId w:val="1"/>
        </w:numPr>
        <w:rPr>
          <w:rFonts w:ascii="Segoe UI" w:hAnsi="Segoe UI" w:cs="Segoe UI"/>
          <w:b/>
          <w:bCs/>
        </w:rPr>
      </w:pPr>
      <w:r w:rsidRPr="00171410">
        <w:rPr>
          <w:rFonts w:ascii="Segoe UI" w:hAnsi="Segoe UI" w:cs="Segoe UI"/>
          <w:b/>
          <w:bCs/>
        </w:rPr>
        <w:t xml:space="preserve">What frequency (annual or other) and </w:t>
      </w:r>
      <w:proofErr w:type="gramStart"/>
      <w:r w:rsidRPr="00171410">
        <w:rPr>
          <w:rFonts w:ascii="Segoe UI" w:hAnsi="Segoe UI" w:cs="Segoe UI"/>
          <w:b/>
          <w:bCs/>
        </w:rPr>
        <w:t>time period</w:t>
      </w:r>
      <w:proofErr w:type="gramEnd"/>
      <w:r w:rsidRPr="00171410">
        <w:rPr>
          <w:rFonts w:ascii="Segoe UI" w:hAnsi="Segoe UI" w:cs="Segoe UI"/>
          <w:b/>
          <w:bCs/>
        </w:rPr>
        <w:t xml:space="preserve"> (1 year or more) are currently used for reporting?</w:t>
      </w:r>
      <w:r w:rsidR="00744AA7" w:rsidRPr="00171410">
        <w:rPr>
          <w:rFonts w:ascii="Segoe UI" w:hAnsi="Segoe UI" w:cs="Segoe UI"/>
          <w:b/>
          <w:bCs/>
        </w:rPr>
        <w:t xml:space="preserve"> </w:t>
      </w:r>
    </w:p>
    <w:p w14:paraId="358B5EBB" w14:textId="77777777" w:rsidR="007679D3" w:rsidRDefault="007679D3" w:rsidP="007679D3">
      <w:pPr>
        <w:pStyle w:val="ListParagraph"/>
        <w:ind w:left="1440"/>
        <w:rPr>
          <w:rFonts w:ascii="Segoe UI" w:hAnsi="Segoe UI" w:cs="Segoe UI"/>
          <w:b/>
          <w:bCs/>
        </w:rPr>
      </w:pPr>
    </w:p>
    <w:p w14:paraId="58D0E99F" w14:textId="5932FCFD" w:rsidR="00A0474D" w:rsidRDefault="00655C70" w:rsidP="007679D3">
      <w:pPr>
        <w:pStyle w:val="ListParagraph"/>
        <w:ind w:left="1440"/>
        <w:rPr>
          <w:rFonts w:ascii="Segoe UI" w:hAnsi="Segoe UI" w:cs="Segoe UI"/>
        </w:rPr>
      </w:pPr>
      <w:r>
        <w:rPr>
          <w:rFonts w:ascii="Segoe UI" w:hAnsi="Segoe UI" w:cs="Segoe UI"/>
        </w:rPr>
        <w:t xml:space="preserve">Covered entities engaged in voluntary GHG emissions reporting typically do so </w:t>
      </w:r>
      <w:r w:rsidR="002E3C90" w:rsidRPr="00171410">
        <w:rPr>
          <w:rFonts w:ascii="Segoe UI" w:hAnsi="Segoe UI" w:cs="Segoe UI"/>
        </w:rPr>
        <w:t>annually</w:t>
      </w:r>
      <w:r w:rsidR="005E3A75" w:rsidRPr="00171410">
        <w:rPr>
          <w:rFonts w:ascii="Segoe UI" w:hAnsi="Segoe UI" w:cs="Segoe UI"/>
        </w:rPr>
        <w:t xml:space="preserve">, consistent with </w:t>
      </w:r>
      <w:r>
        <w:rPr>
          <w:rFonts w:ascii="Segoe UI" w:hAnsi="Segoe UI" w:cs="Segoe UI"/>
        </w:rPr>
        <w:t xml:space="preserve">their </w:t>
      </w:r>
      <w:r w:rsidR="005E3A75" w:rsidRPr="00171410">
        <w:rPr>
          <w:rFonts w:ascii="Segoe UI" w:hAnsi="Segoe UI" w:cs="Segoe UI"/>
        </w:rPr>
        <w:t>financial reporting</w:t>
      </w:r>
      <w:r w:rsidR="00744AA7" w:rsidRPr="00171410">
        <w:rPr>
          <w:rFonts w:ascii="Segoe UI" w:hAnsi="Segoe UI" w:cs="Segoe UI"/>
        </w:rPr>
        <w:t xml:space="preserve">. </w:t>
      </w:r>
      <w:r w:rsidR="002E3C90" w:rsidRPr="00171410">
        <w:rPr>
          <w:rFonts w:ascii="Segoe UI" w:hAnsi="Segoe UI" w:cs="Segoe UI"/>
        </w:rPr>
        <w:t>The reporting</w:t>
      </w:r>
      <w:r w:rsidR="00744AA7" w:rsidRPr="00171410">
        <w:rPr>
          <w:rFonts w:ascii="Segoe UI" w:hAnsi="Segoe UI" w:cs="Segoe UI"/>
        </w:rPr>
        <w:t xml:space="preserve"> </w:t>
      </w:r>
      <w:proofErr w:type="gramStart"/>
      <w:r w:rsidR="00744AA7" w:rsidRPr="00171410">
        <w:rPr>
          <w:rFonts w:ascii="Segoe UI" w:hAnsi="Segoe UI" w:cs="Segoe UI"/>
        </w:rPr>
        <w:t>time period</w:t>
      </w:r>
      <w:proofErr w:type="gramEnd"/>
      <w:r w:rsidR="00744AA7" w:rsidRPr="00171410">
        <w:rPr>
          <w:rFonts w:ascii="Segoe UI" w:hAnsi="Segoe UI" w:cs="Segoe UI"/>
        </w:rPr>
        <w:t xml:space="preserve"> </w:t>
      </w:r>
      <w:r w:rsidR="002E3C90" w:rsidRPr="00171410">
        <w:rPr>
          <w:rFonts w:ascii="Segoe UI" w:hAnsi="Segoe UI" w:cs="Segoe UI"/>
        </w:rPr>
        <w:t xml:space="preserve">is </w:t>
      </w:r>
      <w:r w:rsidR="00744AA7" w:rsidRPr="00171410">
        <w:rPr>
          <w:rFonts w:ascii="Segoe UI" w:hAnsi="Segoe UI" w:cs="Segoe UI"/>
        </w:rPr>
        <w:t>12</w:t>
      </w:r>
      <w:r w:rsidR="005E3A75" w:rsidRPr="00171410">
        <w:rPr>
          <w:rFonts w:ascii="Segoe UI" w:hAnsi="Segoe UI" w:cs="Segoe UI"/>
        </w:rPr>
        <w:t xml:space="preserve"> </w:t>
      </w:r>
      <w:r w:rsidR="00744AA7" w:rsidRPr="00171410">
        <w:rPr>
          <w:rFonts w:ascii="Segoe UI" w:hAnsi="Segoe UI" w:cs="Segoe UI"/>
        </w:rPr>
        <w:t xml:space="preserve">consecutive months, </w:t>
      </w:r>
      <w:r w:rsidR="002E3C90" w:rsidRPr="00171410">
        <w:rPr>
          <w:rFonts w:ascii="Segoe UI" w:hAnsi="Segoe UI" w:cs="Segoe UI"/>
        </w:rPr>
        <w:t>often referred to as a “reporting year</w:t>
      </w:r>
      <w:r>
        <w:rPr>
          <w:rFonts w:ascii="Segoe UI" w:hAnsi="Segoe UI" w:cs="Segoe UI"/>
        </w:rPr>
        <w:t xml:space="preserve">,” </w:t>
      </w:r>
      <w:r w:rsidR="00744AA7" w:rsidRPr="00171410">
        <w:rPr>
          <w:rFonts w:ascii="Segoe UI" w:hAnsi="Segoe UI" w:cs="Segoe UI"/>
        </w:rPr>
        <w:t>and typically aligns with the calendar year</w:t>
      </w:r>
      <w:r w:rsidR="002E3C90" w:rsidRPr="00171410">
        <w:rPr>
          <w:rFonts w:ascii="Segoe UI" w:hAnsi="Segoe UI" w:cs="Segoe UI"/>
        </w:rPr>
        <w:t>.  S</w:t>
      </w:r>
      <w:r w:rsidR="00744AA7" w:rsidRPr="00171410">
        <w:rPr>
          <w:rFonts w:ascii="Segoe UI" w:hAnsi="Segoe UI" w:cs="Segoe UI"/>
        </w:rPr>
        <w:t xml:space="preserve">ome </w:t>
      </w:r>
      <w:r>
        <w:rPr>
          <w:rFonts w:ascii="Segoe UI" w:hAnsi="Segoe UI" w:cs="Segoe UI"/>
        </w:rPr>
        <w:t>entities</w:t>
      </w:r>
      <w:r w:rsidR="002E3C90" w:rsidRPr="00171410">
        <w:rPr>
          <w:rFonts w:ascii="Segoe UI" w:hAnsi="Segoe UI" w:cs="Segoe UI"/>
        </w:rPr>
        <w:t xml:space="preserve">, however, </w:t>
      </w:r>
      <w:r w:rsidR="00744AA7" w:rsidRPr="00171410">
        <w:rPr>
          <w:rFonts w:ascii="Segoe UI" w:hAnsi="Segoe UI" w:cs="Segoe UI"/>
        </w:rPr>
        <w:t>prefer to align their reporting year with</w:t>
      </w:r>
      <w:r w:rsidR="002E3C90" w:rsidRPr="00171410">
        <w:rPr>
          <w:rFonts w:ascii="Segoe UI" w:hAnsi="Segoe UI" w:cs="Segoe UI"/>
        </w:rPr>
        <w:t xml:space="preserve"> their</w:t>
      </w:r>
      <w:r w:rsidR="00744AA7" w:rsidRPr="00171410">
        <w:rPr>
          <w:rFonts w:ascii="Segoe UI" w:hAnsi="Segoe UI" w:cs="Segoe UI"/>
        </w:rPr>
        <w:t xml:space="preserve"> fiscal year</w:t>
      </w:r>
      <w:r>
        <w:rPr>
          <w:rFonts w:ascii="Segoe UI" w:hAnsi="Segoe UI" w:cs="Segoe UI"/>
        </w:rPr>
        <w:t xml:space="preserve">, </w:t>
      </w:r>
      <w:r w:rsidR="005E3A75" w:rsidRPr="00171410">
        <w:rPr>
          <w:rFonts w:ascii="Segoe UI" w:hAnsi="Segoe UI" w:cs="Segoe UI"/>
        </w:rPr>
        <w:t xml:space="preserve">where </w:t>
      </w:r>
      <w:r w:rsidR="0088711F" w:rsidRPr="00171410">
        <w:rPr>
          <w:rFonts w:ascii="Segoe UI" w:hAnsi="Segoe UI" w:cs="Segoe UI"/>
        </w:rPr>
        <w:t>the</w:t>
      </w:r>
      <w:r w:rsidR="002E3C90" w:rsidRPr="00171410">
        <w:rPr>
          <w:rFonts w:ascii="Segoe UI" w:hAnsi="Segoe UI" w:cs="Segoe UI"/>
        </w:rPr>
        <w:t>ir</w:t>
      </w:r>
      <w:r w:rsidR="005E3A75" w:rsidRPr="00171410">
        <w:rPr>
          <w:rFonts w:ascii="Segoe UI" w:hAnsi="Segoe UI" w:cs="Segoe UI"/>
        </w:rPr>
        <w:t xml:space="preserve"> fiscal year</w:t>
      </w:r>
      <w:r w:rsidR="002E3C90" w:rsidRPr="00171410">
        <w:rPr>
          <w:rFonts w:ascii="Segoe UI" w:hAnsi="Segoe UI" w:cs="Segoe UI"/>
        </w:rPr>
        <w:t xml:space="preserve"> differs from the </w:t>
      </w:r>
      <w:r w:rsidR="005E3A75" w:rsidRPr="00171410">
        <w:rPr>
          <w:rFonts w:ascii="Segoe UI" w:hAnsi="Segoe UI" w:cs="Segoe UI"/>
        </w:rPr>
        <w:t>calendar year.</w:t>
      </w:r>
    </w:p>
    <w:p w14:paraId="4699B164" w14:textId="77777777" w:rsidR="007679D3" w:rsidRPr="00171410" w:rsidRDefault="007679D3" w:rsidP="007679D3">
      <w:pPr>
        <w:pStyle w:val="ListParagraph"/>
        <w:ind w:left="1440"/>
        <w:rPr>
          <w:rFonts w:ascii="Segoe UI" w:hAnsi="Segoe UI" w:cs="Segoe UI"/>
          <w:b/>
          <w:bCs/>
        </w:rPr>
      </w:pPr>
    </w:p>
    <w:p w14:paraId="32227F05" w14:textId="77777777" w:rsidR="00655C70" w:rsidRDefault="00A0474D" w:rsidP="00A0474D">
      <w:pPr>
        <w:pStyle w:val="ListParagraph"/>
        <w:numPr>
          <w:ilvl w:val="1"/>
          <w:numId w:val="1"/>
        </w:numPr>
        <w:rPr>
          <w:rFonts w:ascii="Segoe UI" w:hAnsi="Segoe UI" w:cs="Segoe UI"/>
          <w:b/>
          <w:bCs/>
        </w:rPr>
      </w:pPr>
      <w:r w:rsidRPr="00171410">
        <w:rPr>
          <w:rFonts w:ascii="Segoe UI" w:hAnsi="Segoe UI" w:cs="Segoe UI"/>
          <w:b/>
          <w:bCs/>
        </w:rPr>
        <w:t>When are data available from the prior year to support reporting?</w:t>
      </w:r>
      <w:r w:rsidR="00462443" w:rsidRPr="00171410">
        <w:rPr>
          <w:rFonts w:ascii="Segoe UI" w:hAnsi="Segoe UI" w:cs="Segoe UI"/>
          <w:b/>
          <w:bCs/>
        </w:rPr>
        <w:t xml:space="preserve"> </w:t>
      </w:r>
    </w:p>
    <w:p w14:paraId="07B12136" w14:textId="77777777" w:rsidR="00655C70" w:rsidRDefault="00655C70" w:rsidP="00655C70">
      <w:pPr>
        <w:pStyle w:val="ListParagraph"/>
        <w:ind w:left="1440"/>
        <w:rPr>
          <w:rFonts w:ascii="Segoe UI" w:hAnsi="Segoe UI" w:cs="Segoe UI"/>
          <w:b/>
          <w:bCs/>
        </w:rPr>
      </w:pPr>
    </w:p>
    <w:p w14:paraId="13AFE015" w14:textId="2B23CEB0" w:rsidR="00A0474D" w:rsidRPr="00CE0E4F" w:rsidRDefault="00A73BEB" w:rsidP="00CE0E4F">
      <w:pPr>
        <w:pStyle w:val="ListParagraph"/>
        <w:ind w:left="1440"/>
        <w:rPr>
          <w:rFonts w:ascii="Segoe UI" w:hAnsi="Segoe UI" w:cs="Segoe UI"/>
        </w:rPr>
      </w:pPr>
      <w:r>
        <w:rPr>
          <w:rFonts w:ascii="Segoe UI" w:hAnsi="Segoe UI" w:cs="Segoe UI"/>
        </w:rPr>
        <w:t>Data to support GHG emissions reporting typically becomes available within six</w:t>
      </w:r>
      <w:r w:rsidRPr="00A73BEB">
        <w:rPr>
          <w:rFonts w:ascii="Segoe UI" w:hAnsi="Segoe UI" w:cs="Segoe UI"/>
        </w:rPr>
        <w:t xml:space="preserve"> weeks </w:t>
      </w:r>
      <w:r>
        <w:rPr>
          <w:rFonts w:ascii="Segoe UI" w:hAnsi="Segoe UI" w:cs="Segoe UI"/>
        </w:rPr>
        <w:t xml:space="preserve">of </w:t>
      </w:r>
      <w:r w:rsidRPr="00A73BEB">
        <w:rPr>
          <w:rFonts w:ascii="Segoe UI" w:hAnsi="Segoe UI" w:cs="Segoe UI"/>
        </w:rPr>
        <w:t>the conclusion of the reporting year</w:t>
      </w:r>
      <w:r>
        <w:rPr>
          <w:rFonts w:ascii="Segoe UI" w:hAnsi="Segoe UI" w:cs="Segoe UI"/>
        </w:rPr>
        <w:t xml:space="preserve"> (“prior year”).</w:t>
      </w:r>
      <w:r w:rsidR="00F57E60">
        <w:rPr>
          <w:rFonts w:ascii="Segoe UI" w:hAnsi="Segoe UI" w:cs="Segoe UI"/>
        </w:rPr>
        <w:t xml:space="preserve">  </w:t>
      </w:r>
      <w:r>
        <w:rPr>
          <w:rFonts w:ascii="Segoe UI" w:hAnsi="Segoe UI" w:cs="Segoe UI"/>
        </w:rPr>
        <w:t xml:space="preserve">At this point, all data collection for the GHG emissions reporting process can begin.  After the </w:t>
      </w:r>
      <w:r w:rsidR="00CE0E4F">
        <w:rPr>
          <w:rFonts w:ascii="Segoe UI" w:hAnsi="Segoe UI" w:cs="Segoe UI"/>
        </w:rPr>
        <w:t xml:space="preserve">completion of </w:t>
      </w:r>
      <w:r>
        <w:rPr>
          <w:rFonts w:ascii="Segoe UI" w:hAnsi="Segoe UI" w:cs="Segoe UI"/>
        </w:rPr>
        <w:t xml:space="preserve">data collection and </w:t>
      </w:r>
      <w:r w:rsidR="00CE0E4F">
        <w:rPr>
          <w:rFonts w:ascii="Segoe UI" w:hAnsi="Segoe UI" w:cs="Segoe UI"/>
        </w:rPr>
        <w:t xml:space="preserve">the subsequent </w:t>
      </w:r>
      <w:r>
        <w:rPr>
          <w:rFonts w:ascii="Segoe UI" w:hAnsi="Segoe UI" w:cs="Segoe UI"/>
        </w:rPr>
        <w:t xml:space="preserve">process to </w:t>
      </w:r>
      <w:r w:rsidR="00CE0E4F">
        <w:rPr>
          <w:rFonts w:ascii="Segoe UI" w:hAnsi="Segoe UI" w:cs="Segoe UI"/>
        </w:rPr>
        <w:t>develop</w:t>
      </w:r>
      <w:r>
        <w:rPr>
          <w:rFonts w:ascii="Segoe UI" w:hAnsi="Segoe UI" w:cs="Segoe UI"/>
        </w:rPr>
        <w:t xml:space="preserve"> results, s</w:t>
      </w:r>
      <w:r w:rsidR="00744AA7" w:rsidRPr="00171410">
        <w:rPr>
          <w:rFonts w:ascii="Segoe UI" w:hAnsi="Segoe UI" w:cs="Segoe UI"/>
        </w:rPr>
        <w:t xml:space="preserve">cope 1 and 2 </w:t>
      </w:r>
      <w:r>
        <w:rPr>
          <w:rFonts w:ascii="Segoe UI" w:hAnsi="Segoe UI" w:cs="Segoe UI"/>
        </w:rPr>
        <w:t>results</w:t>
      </w:r>
      <w:r w:rsidR="00744AA7" w:rsidRPr="00171410">
        <w:rPr>
          <w:rFonts w:ascii="Segoe UI" w:hAnsi="Segoe UI" w:cs="Segoe UI"/>
        </w:rPr>
        <w:t xml:space="preserve"> tend to be</w:t>
      </w:r>
      <w:r w:rsidR="0088711F" w:rsidRPr="00171410">
        <w:rPr>
          <w:rFonts w:ascii="Segoe UI" w:hAnsi="Segoe UI" w:cs="Segoe UI"/>
        </w:rPr>
        <w:t>come</w:t>
      </w:r>
      <w:r w:rsidR="00744AA7" w:rsidRPr="00171410">
        <w:rPr>
          <w:rFonts w:ascii="Segoe UI" w:hAnsi="Segoe UI" w:cs="Segoe UI"/>
        </w:rPr>
        <w:t xml:space="preserve"> available </w:t>
      </w:r>
      <w:r w:rsidR="00CE0E4F">
        <w:rPr>
          <w:rFonts w:ascii="Segoe UI" w:hAnsi="Segoe UI" w:cs="Segoe UI"/>
        </w:rPr>
        <w:t>to support reporting within three to four</w:t>
      </w:r>
      <w:r w:rsidR="00CE0E4F" w:rsidRPr="00171410">
        <w:rPr>
          <w:rFonts w:ascii="Segoe UI" w:hAnsi="Segoe UI" w:cs="Segoe UI"/>
        </w:rPr>
        <w:t xml:space="preserve"> months</w:t>
      </w:r>
      <w:r w:rsidR="00CE0E4F">
        <w:rPr>
          <w:rFonts w:ascii="Segoe UI" w:hAnsi="Segoe UI" w:cs="Segoe UI"/>
        </w:rPr>
        <w:t xml:space="preserve">, and </w:t>
      </w:r>
      <w:r w:rsidR="00CE0E4F" w:rsidRPr="00171410">
        <w:rPr>
          <w:rFonts w:ascii="Segoe UI" w:hAnsi="Segoe UI" w:cs="Segoe UI"/>
        </w:rPr>
        <w:t xml:space="preserve">scope 3 </w:t>
      </w:r>
      <w:r w:rsidR="00CE0E4F">
        <w:rPr>
          <w:rFonts w:ascii="Segoe UI" w:hAnsi="Segoe UI" w:cs="Segoe UI"/>
        </w:rPr>
        <w:t>results</w:t>
      </w:r>
      <w:r w:rsidR="00CE0E4F" w:rsidRPr="00171410">
        <w:rPr>
          <w:rFonts w:ascii="Segoe UI" w:hAnsi="Segoe UI" w:cs="Segoe UI"/>
        </w:rPr>
        <w:t xml:space="preserve"> </w:t>
      </w:r>
      <w:r w:rsidR="00CE0E4F">
        <w:rPr>
          <w:rFonts w:ascii="Segoe UI" w:hAnsi="Segoe UI" w:cs="Segoe UI"/>
        </w:rPr>
        <w:t>within</w:t>
      </w:r>
      <w:r w:rsidR="00CE0E4F" w:rsidRPr="00171410">
        <w:rPr>
          <w:rFonts w:ascii="Segoe UI" w:hAnsi="Segoe UI" w:cs="Segoe UI"/>
        </w:rPr>
        <w:t xml:space="preserve"> </w:t>
      </w:r>
      <w:r w:rsidR="00CE0E4F">
        <w:rPr>
          <w:rFonts w:ascii="Segoe UI" w:hAnsi="Segoe UI" w:cs="Segoe UI"/>
        </w:rPr>
        <w:t>four to six</w:t>
      </w:r>
      <w:r w:rsidR="00CE0E4F" w:rsidRPr="00171410">
        <w:rPr>
          <w:rFonts w:ascii="Segoe UI" w:hAnsi="Segoe UI" w:cs="Segoe UI"/>
        </w:rPr>
        <w:t xml:space="preserve"> months</w:t>
      </w:r>
      <w:r w:rsidR="00CE0E4F">
        <w:rPr>
          <w:rFonts w:ascii="Segoe UI" w:hAnsi="Segoe UI" w:cs="Segoe UI"/>
        </w:rPr>
        <w:t xml:space="preserve">, </w:t>
      </w:r>
      <w:r w:rsidR="00CE0E4F" w:rsidRPr="00171410">
        <w:rPr>
          <w:rFonts w:ascii="Segoe UI" w:hAnsi="Segoe UI" w:cs="Segoe UI"/>
        </w:rPr>
        <w:t xml:space="preserve">following the completion of the reporting year </w:t>
      </w:r>
      <w:r w:rsidR="00CE0E4F">
        <w:rPr>
          <w:rFonts w:ascii="Segoe UI" w:hAnsi="Segoe UI" w:cs="Segoe UI"/>
        </w:rPr>
        <w:t xml:space="preserve">(“prior year”).  </w:t>
      </w:r>
      <w:r w:rsidR="00CE0E4F" w:rsidRPr="00CE0E4F">
        <w:rPr>
          <w:rFonts w:ascii="Segoe UI" w:hAnsi="Segoe UI" w:cs="Segoe UI"/>
        </w:rPr>
        <w:t xml:space="preserve">Due </w:t>
      </w:r>
      <w:r w:rsidR="00744AA7" w:rsidRPr="00CE0E4F">
        <w:rPr>
          <w:rFonts w:ascii="Segoe UI" w:hAnsi="Segoe UI" w:cs="Segoe UI"/>
        </w:rPr>
        <w:t>to the complex nature of value chain</w:t>
      </w:r>
      <w:r w:rsidR="0088711F" w:rsidRPr="00CE0E4F">
        <w:rPr>
          <w:rFonts w:ascii="Segoe UI" w:hAnsi="Segoe UI" w:cs="Segoe UI"/>
        </w:rPr>
        <w:t>s</w:t>
      </w:r>
      <w:r w:rsidR="00CE0E4F" w:rsidRPr="00CE0E4F">
        <w:rPr>
          <w:rFonts w:ascii="Segoe UI" w:hAnsi="Segoe UI" w:cs="Segoe UI"/>
        </w:rPr>
        <w:t>, scope 3 data collection, and therefore development of results, tends to take longer than scope 1 and 2</w:t>
      </w:r>
      <w:r w:rsidR="00744AA7" w:rsidRPr="00CE0E4F">
        <w:rPr>
          <w:rFonts w:ascii="Segoe UI" w:hAnsi="Segoe UI" w:cs="Segoe UI"/>
        </w:rPr>
        <w:t xml:space="preserve">. </w:t>
      </w:r>
      <w:r w:rsidR="00CE0E4F">
        <w:rPr>
          <w:rFonts w:ascii="Segoe UI" w:hAnsi="Segoe UI" w:cs="Segoe UI"/>
        </w:rPr>
        <w:t xml:space="preserve"> Time for data availability, data collection, and development of results varies</w:t>
      </w:r>
      <w:r w:rsidR="00221365" w:rsidRPr="00CE0E4F">
        <w:rPr>
          <w:rFonts w:ascii="Segoe UI" w:hAnsi="Segoe UI" w:cs="Segoe UI"/>
        </w:rPr>
        <w:t xml:space="preserve"> </w:t>
      </w:r>
      <w:r w:rsidR="00626581" w:rsidRPr="00CE0E4F">
        <w:rPr>
          <w:rFonts w:ascii="Segoe UI" w:hAnsi="Segoe UI" w:cs="Segoe UI"/>
        </w:rPr>
        <w:t xml:space="preserve">across </w:t>
      </w:r>
      <w:r w:rsidR="00CE0E4F">
        <w:rPr>
          <w:rFonts w:ascii="Segoe UI" w:hAnsi="Segoe UI" w:cs="Segoe UI"/>
        </w:rPr>
        <w:t>entities</w:t>
      </w:r>
      <w:r w:rsidR="00221365" w:rsidRPr="00CE0E4F">
        <w:rPr>
          <w:rFonts w:ascii="Segoe UI" w:hAnsi="Segoe UI" w:cs="Segoe UI"/>
        </w:rPr>
        <w:t xml:space="preserve"> </w:t>
      </w:r>
      <w:r w:rsidR="00744AA7" w:rsidRPr="00CE0E4F">
        <w:rPr>
          <w:rFonts w:ascii="Segoe UI" w:hAnsi="Segoe UI" w:cs="Segoe UI"/>
        </w:rPr>
        <w:t xml:space="preserve">depending </w:t>
      </w:r>
      <w:r w:rsidR="00CE0E4F">
        <w:rPr>
          <w:rFonts w:ascii="Segoe UI" w:hAnsi="Segoe UI" w:cs="Segoe UI"/>
        </w:rPr>
        <w:t>on entity</w:t>
      </w:r>
      <w:r w:rsidR="00744AA7" w:rsidRPr="00CE0E4F">
        <w:rPr>
          <w:rFonts w:ascii="Segoe UI" w:hAnsi="Segoe UI" w:cs="Segoe UI"/>
        </w:rPr>
        <w:t xml:space="preserve"> size</w:t>
      </w:r>
      <w:r w:rsidR="00221365" w:rsidRPr="00CE0E4F">
        <w:rPr>
          <w:rFonts w:ascii="Segoe UI" w:hAnsi="Segoe UI" w:cs="Segoe UI"/>
        </w:rPr>
        <w:t>,</w:t>
      </w:r>
      <w:r w:rsidR="00744AA7" w:rsidRPr="00CE0E4F">
        <w:rPr>
          <w:rFonts w:ascii="Segoe UI" w:hAnsi="Segoe UI" w:cs="Segoe UI"/>
        </w:rPr>
        <w:t xml:space="preserve"> </w:t>
      </w:r>
      <w:r w:rsidR="00CE0E4F">
        <w:rPr>
          <w:rFonts w:ascii="Segoe UI" w:hAnsi="Segoe UI" w:cs="Segoe UI"/>
        </w:rPr>
        <w:t>sector, complexity of operations, and structure of data systems (centralized vs. decentralized)</w:t>
      </w:r>
      <w:r w:rsidR="00221365" w:rsidRPr="00CE0E4F">
        <w:rPr>
          <w:rFonts w:ascii="Segoe UI" w:hAnsi="Segoe UI" w:cs="Segoe UI"/>
        </w:rPr>
        <w:t xml:space="preserve">, amongst other factors. </w:t>
      </w:r>
    </w:p>
    <w:p w14:paraId="17E96E94" w14:textId="77777777" w:rsidR="00655C70" w:rsidRPr="00655C70" w:rsidRDefault="00655C70" w:rsidP="00655C70">
      <w:pPr>
        <w:rPr>
          <w:rFonts w:ascii="Segoe UI" w:hAnsi="Segoe UI" w:cs="Segoe UI"/>
          <w:b/>
          <w:bCs/>
        </w:rPr>
      </w:pPr>
    </w:p>
    <w:p w14:paraId="78F02DE2" w14:textId="77777777" w:rsidR="00A73BEB" w:rsidRDefault="00A0474D" w:rsidP="00A0474D">
      <w:pPr>
        <w:pStyle w:val="ListParagraph"/>
        <w:numPr>
          <w:ilvl w:val="1"/>
          <w:numId w:val="1"/>
        </w:numPr>
        <w:rPr>
          <w:rFonts w:ascii="Segoe UI" w:hAnsi="Segoe UI" w:cs="Segoe UI"/>
          <w:b/>
          <w:bCs/>
        </w:rPr>
      </w:pPr>
      <w:r w:rsidRPr="00171410">
        <w:rPr>
          <w:rFonts w:ascii="Segoe UI" w:hAnsi="Segoe UI" w:cs="Segoe UI"/>
          <w:b/>
          <w:bCs/>
        </w:rPr>
        <w:t>What software systems are commonly used for voluntary reporting?</w:t>
      </w:r>
      <w:r w:rsidR="00221365" w:rsidRPr="00171410">
        <w:rPr>
          <w:rFonts w:ascii="Segoe UI" w:hAnsi="Segoe UI" w:cs="Segoe UI"/>
          <w:b/>
          <w:bCs/>
        </w:rPr>
        <w:t xml:space="preserve"> </w:t>
      </w:r>
    </w:p>
    <w:p w14:paraId="30113D6D" w14:textId="77777777" w:rsidR="00A73BEB" w:rsidRDefault="00A73BEB" w:rsidP="00A73BEB">
      <w:pPr>
        <w:pStyle w:val="ListParagraph"/>
        <w:ind w:left="1440"/>
        <w:rPr>
          <w:rFonts w:ascii="Segoe UI" w:hAnsi="Segoe UI" w:cs="Segoe UI"/>
          <w:b/>
          <w:bCs/>
        </w:rPr>
      </w:pPr>
    </w:p>
    <w:p w14:paraId="21C6A7B0" w14:textId="53A9F17F" w:rsidR="006E092D" w:rsidRDefault="00A73BEB" w:rsidP="00CE0E4F">
      <w:pPr>
        <w:pStyle w:val="ListParagraph"/>
        <w:ind w:left="1440"/>
        <w:rPr>
          <w:rFonts w:ascii="Segoe UI" w:hAnsi="Segoe UI" w:cs="Segoe UI"/>
          <w:b/>
          <w:bCs/>
        </w:rPr>
      </w:pPr>
      <w:r w:rsidRPr="00A73BEB">
        <w:rPr>
          <w:rFonts w:ascii="Segoe UI" w:hAnsi="Segoe UI" w:cs="Segoe UI"/>
        </w:rPr>
        <w:t>Voluntary</w:t>
      </w:r>
      <w:r>
        <w:rPr>
          <w:rFonts w:ascii="Segoe UI" w:hAnsi="Segoe UI" w:cs="Segoe UI"/>
        </w:rPr>
        <w:t xml:space="preserve"> reporting is </w:t>
      </w:r>
      <w:r w:rsidR="004C4F14">
        <w:rPr>
          <w:rFonts w:ascii="Segoe UI" w:hAnsi="Segoe UI" w:cs="Segoe UI"/>
        </w:rPr>
        <w:t xml:space="preserve">most </w:t>
      </w:r>
      <w:r>
        <w:rPr>
          <w:rFonts w:ascii="Segoe UI" w:hAnsi="Segoe UI" w:cs="Segoe UI"/>
        </w:rPr>
        <w:t xml:space="preserve">often conducted through CDP, an international environmental disclosure platform.  </w:t>
      </w:r>
      <w:r w:rsidR="00AB198D">
        <w:rPr>
          <w:rFonts w:ascii="Segoe UI" w:hAnsi="Segoe UI" w:cs="Segoe UI"/>
        </w:rPr>
        <w:t xml:space="preserve">In 2024, CDP disclosers represented </w:t>
      </w:r>
      <w:r w:rsidR="00AB198D" w:rsidRPr="00AB198D">
        <w:rPr>
          <w:rFonts w:ascii="Segoe UI" w:hAnsi="Segoe UI" w:cs="Segoe UI"/>
        </w:rPr>
        <w:t>two-thirds of global market capitalization, including 85</w:t>
      </w:r>
      <w:r w:rsidR="00AB198D">
        <w:rPr>
          <w:rFonts w:ascii="Segoe UI" w:hAnsi="Segoe UI" w:cs="Segoe UI"/>
        </w:rPr>
        <w:t xml:space="preserve"> percent</w:t>
      </w:r>
      <w:r w:rsidR="00AB198D" w:rsidRPr="00AB198D">
        <w:rPr>
          <w:rFonts w:ascii="Segoe UI" w:hAnsi="Segoe UI" w:cs="Segoe UI"/>
        </w:rPr>
        <w:t xml:space="preserve"> of the S&amp;P</w:t>
      </w:r>
      <w:r w:rsidR="00AB198D">
        <w:rPr>
          <w:rFonts w:ascii="Segoe UI" w:hAnsi="Segoe UI" w:cs="Segoe UI"/>
        </w:rPr>
        <w:t xml:space="preserve"> </w:t>
      </w:r>
      <w:r w:rsidR="00AB198D" w:rsidRPr="00AB198D">
        <w:rPr>
          <w:rFonts w:ascii="Segoe UI" w:hAnsi="Segoe UI" w:cs="Segoe UI"/>
        </w:rPr>
        <w:t>500 and 93</w:t>
      </w:r>
      <w:r w:rsidR="00AB198D">
        <w:rPr>
          <w:rFonts w:ascii="Segoe UI" w:hAnsi="Segoe UI" w:cs="Segoe UI"/>
        </w:rPr>
        <w:t xml:space="preserve"> percent</w:t>
      </w:r>
      <w:r w:rsidR="00AB198D" w:rsidRPr="00AB198D">
        <w:rPr>
          <w:rFonts w:ascii="Segoe UI" w:hAnsi="Segoe UI" w:cs="Segoe UI"/>
        </w:rPr>
        <w:t xml:space="preserve"> of the FTSE 100</w:t>
      </w:r>
      <w:r w:rsidR="00AB198D">
        <w:rPr>
          <w:rFonts w:ascii="Segoe UI" w:hAnsi="Segoe UI" w:cs="Segoe UI"/>
        </w:rPr>
        <w:t xml:space="preserve">, and totaled </w:t>
      </w:r>
      <w:r w:rsidR="00AB198D" w:rsidRPr="00AB198D">
        <w:rPr>
          <w:rFonts w:ascii="Segoe UI" w:hAnsi="Segoe UI" w:cs="Segoe UI"/>
        </w:rPr>
        <w:t xml:space="preserve">more than 22,000 </w:t>
      </w:r>
      <w:r w:rsidR="00AB198D" w:rsidRPr="00AB198D">
        <w:rPr>
          <w:rFonts w:ascii="Segoe UI" w:hAnsi="Segoe UI" w:cs="Segoe UI"/>
        </w:rPr>
        <w:lastRenderedPageBreak/>
        <w:t>corporates</w:t>
      </w:r>
      <w:r w:rsidR="00AB198D">
        <w:rPr>
          <w:rFonts w:ascii="Segoe UI" w:hAnsi="Segoe UI" w:cs="Segoe UI"/>
        </w:rPr>
        <w:t xml:space="preserve"> scored by CDP</w:t>
      </w:r>
      <w:r w:rsidR="00AB198D">
        <w:rPr>
          <w:rStyle w:val="FootnoteReference"/>
          <w:rFonts w:ascii="Segoe UI" w:hAnsi="Segoe UI" w:cs="Segoe UI"/>
        </w:rPr>
        <w:footnoteReference w:id="9"/>
      </w:r>
      <w:r w:rsidR="00AB198D">
        <w:rPr>
          <w:rFonts w:ascii="Segoe UI" w:hAnsi="Segoe UI" w:cs="Segoe UI"/>
        </w:rPr>
        <w:t xml:space="preserve">. </w:t>
      </w:r>
      <w:r w:rsidRPr="00A73BEB">
        <w:rPr>
          <w:rFonts w:ascii="Segoe UI" w:hAnsi="Segoe UI" w:cs="Segoe UI"/>
        </w:rPr>
        <w:t xml:space="preserve">Carbon accounting software, such as </w:t>
      </w:r>
      <w:proofErr w:type="spellStart"/>
      <w:r w:rsidR="00221365" w:rsidRPr="00A73BEB">
        <w:rPr>
          <w:rFonts w:ascii="Segoe UI" w:hAnsi="Segoe UI" w:cs="Segoe UI"/>
        </w:rPr>
        <w:t>Persefoni</w:t>
      </w:r>
      <w:proofErr w:type="spellEnd"/>
      <w:r w:rsidRPr="00A73BEB">
        <w:rPr>
          <w:rFonts w:ascii="Segoe UI" w:hAnsi="Segoe UI" w:cs="Segoe UI"/>
        </w:rPr>
        <w:t xml:space="preserve"> and </w:t>
      </w:r>
      <w:proofErr w:type="spellStart"/>
      <w:r w:rsidRPr="00A73BEB">
        <w:rPr>
          <w:rFonts w:ascii="Segoe UI" w:hAnsi="Segoe UI" w:cs="Segoe UI"/>
        </w:rPr>
        <w:t>Enistic</w:t>
      </w:r>
      <w:proofErr w:type="spellEnd"/>
      <w:r w:rsidRPr="00A73BEB">
        <w:rPr>
          <w:rFonts w:ascii="Segoe UI" w:hAnsi="Segoe UI" w:cs="Segoe UI"/>
        </w:rPr>
        <w:t>, a</w:t>
      </w:r>
      <w:r>
        <w:rPr>
          <w:rFonts w:ascii="Segoe UI" w:hAnsi="Segoe UI" w:cs="Segoe UI"/>
        </w:rPr>
        <w:t xml:space="preserve">re commonly </w:t>
      </w:r>
      <w:r w:rsidRPr="00A73BEB">
        <w:rPr>
          <w:rFonts w:ascii="Segoe UI" w:hAnsi="Segoe UI" w:cs="Segoe UI"/>
        </w:rPr>
        <w:t xml:space="preserve">used to support the voluntary reporting process.  </w:t>
      </w:r>
    </w:p>
    <w:p w14:paraId="22C425B0" w14:textId="663D8E22" w:rsidR="006E092D" w:rsidRPr="006E092D" w:rsidRDefault="006E092D" w:rsidP="006E092D">
      <w:pPr>
        <w:rPr>
          <w:rFonts w:ascii="Segoe UI" w:hAnsi="Segoe UI" w:cs="Segoe UI"/>
          <w:b/>
          <w:bCs/>
        </w:rPr>
      </w:pPr>
    </w:p>
    <w:p w14:paraId="013BFDE8" w14:textId="5FBEDF0A" w:rsidR="00CE0E4F" w:rsidRDefault="00CE0E4F" w:rsidP="00CE0E4F">
      <w:pPr>
        <w:pStyle w:val="ListParagraph"/>
        <w:rPr>
          <w:rFonts w:ascii="Segoe UI" w:hAnsi="Segoe UI" w:cs="Segoe UI"/>
          <w:b/>
          <w:bCs/>
        </w:rPr>
      </w:pPr>
      <w:r>
        <w:rPr>
          <w:rFonts w:ascii="Segoe UI" w:hAnsi="Segoe UI" w:cs="Segoe UI"/>
          <w:b/>
          <w:bCs/>
        </w:rPr>
        <w:t>December 5</w:t>
      </w:r>
      <w:r w:rsidRPr="00CE0E4F">
        <w:rPr>
          <w:rFonts w:ascii="Segoe UI" w:hAnsi="Segoe UI" w:cs="Segoe UI"/>
          <w:b/>
          <w:bCs/>
          <w:vertAlign w:val="superscript"/>
        </w:rPr>
        <w:t>th</w:t>
      </w:r>
      <w:r>
        <w:rPr>
          <w:rFonts w:ascii="Segoe UI" w:hAnsi="Segoe UI" w:cs="Segoe UI"/>
          <w:b/>
          <w:bCs/>
        </w:rPr>
        <w:t xml:space="preserve">, </w:t>
      </w:r>
      <w:proofErr w:type="gramStart"/>
      <w:r>
        <w:rPr>
          <w:rFonts w:ascii="Segoe UI" w:hAnsi="Segoe UI" w:cs="Segoe UI"/>
          <w:b/>
          <w:bCs/>
        </w:rPr>
        <w:t>2024</w:t>
      </w:r>
      <w:proofErr w:type="gramEnd"/>
      <w:r>
        <w:rPr>
          <w:rFonts w:ascii="Segoe UI" w:hAnsi="Segoe UI" w:cs="Segoe UI"/>
          <w:b/>
          <w:bCs/>
        </w:rPr>
        <w:t xml:space="preserve"> Enforcement Notice</w:t>
      </w:r>
      <w:r w:rsidR="00622E24">
        <w:rPr>
          <w:rFonts w:ascii="Segoe UI" w:hAnsi="Segoe UI" w:cs="Segoe UI"/>
          <w:b/>
          <w:bCs/>
        </w:rPr>
        <w:t xml:space="preserve"> Feedback</w:t>
      </w:r>
      <w:r>
        <w:rPr>
          <w:rFonts w:ascii="Segoe UI" w:hAnsi="Segoe UI" w:cs="Segoe UI"/>
          <w:b/>
          <w:bCs/>
        </w:rPr>
        <w:t>:</w:t>
      </w:r>
    </w:p>
    <w:p w14:paraId="57606465" w14:textId="7DB491E0" w:rsidR="00CE0E4F" w:rsidRDefault="00CE0E4F" w:rsidP="00CE0E4F">
      <w:pPr>
        <w:pStyle w:val="ListParagraph"/>
        <w:rPr>
          <w:rFonts w:ascii="Segoe UI" w:hAnsi="Segoe UI" w:cs="Segoe UI"/>
          <w:b/>
          <w:bCs/>
        </w:rPr>
      </w:pPr>
    </w:p>
    <w:p w14:paraId="6419F5A6" w14:textId="77777777" w:rsidR="001E7812" w:rsidRDefault="00CE0E4F" w:rsidP="002929A9">
      <w:pPr>
        <w:pStyle w:val="ListParagraph"/>
        <w:rPr>
          <w:rFonts w:ascii="Segoe UI" w:hAnsi="Segoe UI" w:cs="Segoe UI"/>
        </w:rPr>
      </w:pPr>
      <w:r w:rsidRPr="002929A9">
        <w:rPr>
          <w:rFonts w:ascii="Segoe UI" w:hAnsi="Segoe UI" w:cs="Segoe UI"/>
        </w:rPr>
        <w:t xml:space="preserve">In addition to answering the questions above, we also would like to provide feedback </w:t>
      </w:r>
      <w:r w:rsidR="002929A9">
        <w:rPr>
          <w:rFonts w:ascii="Segoe UI" w:hAnsi="Segoe UI" w:cs="Segoe UI"/>
        </w:rPr>
        <w:t xml:space="preserve">and request additional clarification </w:t>
      </w:r>
      <w:r w:rsidR="002929A9" w:rsidRPr="002929A9">
        <w:rPr>
          <w:rFonts w:ascii="Segoe UI" w:hAnsi="Segoe UI" w:cs="Segoe UI"/>
        </w:rPr>
        <w:t>on</w:t>
      </w:r>
      <w:r w:rsidRPr="002929A9">
        <w:rPr>
          <w:rFonts w:ascii="Segoe UI" w:hAnsi="Segoe UI" w:cs="Segoe UI"/>
        </w:rPr>
        <w:t xml:space="preserve"> the December 5</w:t>
      </w:r>
      <w:r w:rsidRPr="002929A9">
        <w:rPr>
          <w:rFonts w:ascii="Segoe UI" w:hAnsi="Segoe UI" w:cs="Segoe UI"/>
          <w:vertAlign w:val="superscript"/>
        </w:rPr>
        <w:t>th</w:t>
      </w:r>
      <w:r w:rsidRPr="002929A9">
        <w:rPr>
          <w:rFonts w:ascii="Segoe UI" w:hAnsi="Segoe UI" w:cs="Segoe UI"/>
        </w:rPr>
        <w:t xml:space="preserve">, </w:t>
      </w:r>
      <w:proofErr w:type="gramStart"/>
      <w:r w:rsidRPr="002929A9">
        <w:rPr>
          <w:rFonts w:ascii="Segoe UI" w:hAnsi="Segoe UI" w:cs="Segoe UI"/>
        </w:rPr>
        <w:t>2024</w:t>
      </w:r>
      <w:proofErr w:type="gramEnd"/>
      <w:r w:rsidRPr="002929A9">
        <w:rPr>
          <w:rFonts w:ascii="Segoe UI" w:hAnsi="Segoe UI" w:cs="Segoe UI"/>
        </w:rPr>
        <w:t xml:space="preserve"> Enforcement Notice </w:t>
      </w:r>
      <w:r w:rsidR="002929A9" w:rsidRPr="002929A9">
        <w:rPr>
          <w:rFonts w:ascii="Segoe UI" w:hAnsi="Segoe UI" w:cs="Segoe UI"/>
        </w:rPr>
        <w:t>regarding</w:t>
      </w:r>
      <w:r w:rsidRPr="002929A9">
        <w:rPr>
          <w:rFonts w:ascii="Segoe UI" w:hAnsi="Segoe UI" w:cs="Segoe UI"/>
        </w:rPr>
        <w:t xml:space="preserve"> SB 253.</w:t>
      </w:r>
      <w:r w:rsidR="002929A9">
        <w:rPr>
          <w:rFonts w:ascii="Segoe UI" w:hAnsi="Segoe UI" w:cs="Segoe UI"/>
        </w:rPr>
        <w:t xml:space="preserve">  </w:t>
      </w:r>
      <w:r w:rsidR="002929A9" w:rsidRPr="002929A9">
        <w:rPr>
          <w:rFonts w:ascii="Segoe UI" w:hAnsi="Segoe UI" w:cs="Segoe UI"/>
        </w:rPr>
        <w:t xml:space="preserve">The phrase “For the first reporting cycle, CARB will not take enforcement action for incomplete reporting against entities…” creates potential misalignment with SB 253, as written and amended by SB 219, given that SB 253 states “That a reporting entity obtains an assurance engagement…for scope 1 emissions and scope 2 emissions [which] shall be performed at a limited assurance level beginning in 2026.”  </w:t>
      </w:r>
    </w:p>
    <w:p w14:paraId="23EC4F55" w14:textId="77777777" w:rsidR="001E7812" w:rsidRDefault="001E7812" w:rsidP="002929A9">
      <w:pPr>
        <w:pStyle w:val="ListParagraph"/>
        <w:rPr>
          <w:rFonts w:ascii="Segoe UI" w:hAnsi="Segoe UI" w:cs="Segoe UI"/>
        </w:rPr>
      </w:pPr>
    </w:p>
    <w:p w14:paraId="13AEB93A" w14:textId="52F1DE5C" w:rsidR="00CE0E4F" w:rsidRDefault="002929A9" w:rsidP="002929A9">
      <w:pPr>
        <w:pStyle w:val="ListParagraph"/>
        <w:rPr>
          <w:rFonts w:ascii="Segoe UI" w:hAnsi="Segoe UI" w:cs="Segoe UI"/>
        </w:rPr>
      </w:pPr>
      <w:r>
        <w:rPr>
          <w:rFonts w:ascii="Segoe UI" w:hAnsi="Segoe UI" w:cs="Segoe UI"/>
        </w:rPr>
        <w:t>This potential misalignment arises from the question – how could a reporting entity obtain limited assurance for their scope 1 and 2 public disclosures, as required by SB 253, with “incomplete reporting</w:t>
      </w:r>
      <w:r w:rsidR="001E7812">
        <w:rPr>
          <w:rFonts w:ascii="Segoe UI" w:hAnsi="Segoe UI" w:cs="Segoe UI"/>
        </w:rPr>
        <w:t>” of their scope 1 and 2 emissions,</w:t>
      </w:r>
      <w:r>
        <w:rPr>
          <w:rFonts w:ascii="Segoe UI" w:hAnsi="Segoe UI" w:cs="Segoe UI"/>
        </w:rPr>
        <w:t xml:space="preserve"> as stated in the </w:t>
      </w:r>
      <w:r w:rsidRPr="002929A9">
        <w:rPr>
          <w:rFonts w:ascii="Segoe UI" w:hAnsi="Segoe UI" w:cs="Segoe UI"/>
        </w:rPr>
        <w:t>Enforcement Notice</w:t>
      </w:r>
      <w:r>
        <w:rPr>
          <w:rFonts w:ascii="Segoe UI" w:hAnsi="Segoe UI" w:cs="Segoe UI"/>
        </w:rPr>
        <w:t>?</w:t>
      </w:r>
    </w:p>
    <w:p w14:paraId="54247B2A" w14:textId="77777777" w:rsidR="001E7812" w:rsidRDefault="001E7812" w:rsidP="002929A9">
      <w:pPr>
        <w:pStyle w:val="ListParagraph"/>
        <w:rPr>
          <w:rFonts w:ascii="Segoe UI" w:hAnsi="Segoe UI" w:cs="Segoe UI"/>
        </w:rPr>
      </w:pPr>
    </w:p>
    <w:p w14:paraId="439C6621" w14:textId="548D6B3F" w:rsidR="00A0474D" w:rsidRDefault="001E7812" w:rsidP="001E7812">
      <w:pPr>
        <w:pStyle w:val="ListParagraph"/>
        <w:rPr>
          <w:rFonts w:ascii="Segoe UI" w:hAnsi="Segoe UI" w:cs="Segoe UI"/>
        </w:rPr>
      </w:pPr>
      <w:r>
        <w:rPr>
          <w:rFonts w:ascii="Segoe UI" w:hAnsi="Segoe UI" w:cs="Segoe UI"/>
        </w:rPr>
        <w:t xml:space="preserve">We are asking that CARB please clarify the definition of “incomplete reporting” in the Enforcement notice.  We recommend that CARB defines “incomplete reporting,” as stated in the Enforcement Notice, as “The reporting entity made a good faith effort to report accurate and complete scope 1 and 2 emissions disclosures and obtain limited assurance for their disclosures.  The reporting entity, however, was unable to obtain limited assurance of their disclosures based upon the opinion of the assurance provider.  Although the reporting entity did not complete the reporting requirements of SB 253, the reporting entity must still provide a </w:t>
      </w:r>
      <w:r w:rsidRPr="001E7812">
        <w:rPr>
          <w:rFonts w:ascii="Segoe UI" w:hAnsi="Segoe UI" w:cs="Segoe UI"/>
        </w:rPr>
        <w:t>copy of the assurance provider’s report on the greenhouse gas emissions inventory</w:t>
      </w:r>
      <w:r>
        <w:rPr>
          <w:rFonts w:ascii="Segoe UI" w:hAnsi="Segoe UI" w:cs="Segoe UI"/>
        </w:rPr>
        <w:t>, as denoted in SB 253.”</w:t>
      </w:r>
    </w:p>
    <w:p w14:paraId="1065C2B9" w14:textId="77777777" w:rsidR="00AB198D" w:rsidRDefault="00AB198D" w:rsidP="001E7812">
      <w:pPr>
        <w:pStyle w:val="ListParagraph"/>
        <w:rPr>
          <w:rFonts w:ascii="Segoe UI" w:hAnsi="Segoe UI" w:cs="Segoe UI"/>
        </w:rPr>
      </w:pPr>
    </w:p>
    <w:p w14:paraId="0CE09F76" w14:textId="77777777" w:rsidR="00AB198D" w:rsidRDefault="00AB198D" w:rsidP="00AB198D">
      <w:pPr>
        <w:rPr>
          <w:rFonts w:ascii="Segoe UI" w:hAnsi="Segoe UI" w:cs="Segoe UI"/>
          <w:u w:val="single"/>
        </w:rPr>
      </w:pPr>
      <w:r w:rsidRPr="00171410">
        <w:rPr>
          <w:rFonts w:ascii="Segoe UI" w:hAnsi="Segoe UI" w:cs="Segoe UI"/>
          <w:u w:val="single"/>
        </w:rPr>
        <w:t>SB 261: Climate Related Financial Risk Disclosure</w:t>
      </w:r>
    </w:p>
    <w:p w14:paraId="2052183C" w14:textId="77777777" w:rsidR="00AB198D" w:rsidRPr="00171410" w:rsidRDefault="00AB198D" w:rsidP="00AB198D">
      <w:pPr>
        <w:rPr>
          <w:rFonts w:ascii="Segoe UI" w:hAnsi="Segoe UI" w:cs="Segoe UI"/>
          <w:u w:val="single"/>
        </w:rPr>
      </w:pPr>
    </w:p>
    <w:p w14:paraId="08786947" w14:textId="77777777" w:rsidR="00AB198D" w:rsidRDefault="00AB198D" w:rsidP="00B446F1">
      <w:pPr>
        <w:pStyle w:val="ListParagraph"/>
        <w:numPr>
          <w:ilvl w:val="0"/>
          <w:numId w:val="8"/>
        </w:numPr>
        <w:rPr>
          <w:rFonts w:ascii="Segoe UI" w:hAnsi="Segoe UI" w:cs="Segoe UI"/>
          <w:b/>
          <w:bCs/>
        </w:rPr>
      </w:pPr>
      <w:r w:rsidRPr="00171410">
        <w:rPr>
          <w:rFonts w:ascii="Segoe UI" w:hAnsi="Segoe UI" w:cs="Segoe UI"/>
          <w:b/>
          <w:bCs/>
        </w:rPr>
        <w:t xml:space="preserve">For SB 261, if the data needed to develop each biennial report are the prior year’s data, what is the appropriate timeframe within a reporting year to ensure data are available, reporting is complete, and the necessary assurance review is completed? </w:t>
      </w:r>
    </w:p>
    <w:p w14:paraId="0E6B741B" w14:textId="77777777" w:rsidR="00AB198D" w:rsidRDefault="00AB198D" w:rsidP="00AB198D">
      <w:pPr>
        <w:pStyle w:val="ListParagraph"/>
        <w:rPr>
          <w:rFonts w:ascii="Segoe UI" w:hAnsi="Segoe UI" w:cs="Segoe UI"/>
        </w:rPr>
      </w:pPr>
    </w:p>
    <w:p w14:paraId="4B51E2D6" w14:textId="7802FAC7" w:rsidR="00AB198D" w:rsidRDefault="00AB198D" w:rsidP="00AB198D">
      <w:pPr>
        <w:pStyle w:val="ListParagraph"/>
        <w:rPr>
          <w:rFonts w:ascii="Segoe UI" w:hAnsi="Segoe UI" w:cs="Segoe UI"/>
        </w:rPr>
      </w:pPr>
      <w:r>
        <w:rPr>
          <w:rFonts w:ascii="Segoe UI" w:hAnsi="Segoe UI" w:cs="Segoe UI"/>
        </w:rPr>
        <w:lastRenderedPageBreak/>
        <w:t>To clarify and set the basis for our response, “reporting year”</w:t>
      </w:r>
      <w:r>
        <w:rPr>
          <w:rStyle w:val="FootnoteReference"/>
          <w:rFonts w:ascii="Segoe UI" w:hAnsi="Segoe UI" w:cs="Segoe UI"/>
        </w:rPr>
        <w:footnoteReference w:id="10"/>
      </w:r>
      <w:r>
        <w:rPr>
          <w:rFonts w:ascii="Segoe UI" w:hAnsi="Segoe UI" w:cs="Segoe UI"/>
        </w:rPr>
        <w:t xml:space="preserve"> or “reporting period”</w:t>
      </w:r>
      <w:r>
        <w:rPr>
          <w:rStyle w:val="FootnoteReference"/>
          <w:rFonts w:ascii="Segoe UI" w:hAnsi="Segoe UI" w:cs="Segoe UI"/>
        </w:rPr>
        <w:footnoteReference w:id="11"/>
      </w:r>
      <w:r>
        <w:rPr>
          <w:rStyle w:val="FootnoteReference"/>
          <w:rFonts w:ascii="Segoe UI" w:hAnsi="Segoe UI" w:cs="Segoe UI"/>
        </w:rPr>
        <w:footnoteReference w:id="12"/>
      </w:r>
      <w:r>
        <w:rPr>
          <w:rFonts w:ascii="Segoe UI" w:hAnsi="Segoe UI" w:cs="Segoe UI"/>
        </w:rPr>
        <w:t xml:space="preserve"> in sustainability reporting typically refers to the year of company operations represented by the sustainability disclosures, not the year in which the data is reported, which is what this question seems to suggest.  The data that underlies climate risk disclosures typically becomes available within three months of the conclusion of the reporting year (</w:t>
      </w:r>
      <w:r w:rsidR="00F57E60">
        <w:rPr>
          <w:rFonts w:ascii="Segoe UI" w:hAnsi="Segoe UI" w:cs="Segoe UI"/>
        </w:rPr>
        <w:t>“</w:t>
      </w:r>
      <w:r>
        <w:rPr>
          <w:rFonts w:ascii="Segoe UI" w:hAnsi="Segoe UI" w:cs="Segoe UI"/>
        </w:rPr>
        <w:t>prior year</w:t>
      </w:r>
      <w:r w:rsidR="00F57E60">
        <w:rPr>
          <w:rFonts w:ascii="Segoe UI" w:hAnsi="Segoe UI" w:cs="Segoe UI"/>
        </w:rPr>
        <w:t>”</w:t>
      </w:r>
      <w:r>
        <w:rPr>
          <w:rFonts w:ascii="Segoe UI" w:hAnsi="Segoe UI" w:cs="Segoe UI"/>
        </w:rPr>
        <w:t>), i.e., within the first quarter of the following year.  The process of developing and reporting of climate risk disclosures is complete for most companies within nine months of the conclusion of the reporting year (</w:t>
      </w:r>
      <w:r w:rsidR="00F57E60">
        <w:rPr>
          <w:rFonts w:ascii="Segoe UI" w:hAnsi="Segoe UI" w:cs="Segoe UI"/>
        </w:rPr>
        <w:t>“</w:t>
      </w:r>
      <w:r>
        <w:rPr>
          <w:rFonts w:ascii="Segoe UI" w:hAnsi="Segoe UI" w:cs="Segoe UI"/>
        </w:rPr>
        <w:t>prior year</w:t>
      </w:r>
      <w:r w:rsidR="00F57E60">
        <w:rPr>
          <w:rFonts w:ascii="Segoe UI" w:hAnsi="Segoe UI" w:cs="Segoe UI"/>
        </w:rPr>
        <w:t>”</w:t>
      </w:r>
      <w:r>
        <w:rPr>
          <w:rFonts w:ascii="Segoe UI" w:hAnsi="Segoe UI" w:cs="Segoe UI"/>
        </w:rPr>
        <w:t>).  This aligns with the voluntary reporting cycle through CDP that many companies already perform.</w:t>
      </w:r>
    </w:p>
    <w:p w14:paraId="1F77F9F8" w14:textId="77777777" w:rsidR="00AB198D" w:rsidRDefault="00AB198D" w:rsidP="00AB198D">
      <w:pPr>
        <w:pStyle w:val="ListParagraph"/>
        <w:rPr>
          <w:rFonts w:ascii="Segoe UI" w:hAnsi="Segoe UI" w:cs="Segoe UI"/>
        </w:rPr>
      </w:pPr>
    </w:p>
    <w:p w14:paraId="58BD6AD8" w14:textId="6DB071E6" w:rsidR="00AB198D" w:rsidRDefault="00AB198D" w:rsidP="00AB198D">
      <w:pPr>
        <w:pStyle w:val="ListParagraph"/>
        <w:rPr>
          <w:rFonts w:ascii="Segoe UI" w:hAnsi="Segoe UI" w:cs="Segoe UI"/>
          <w:b/>
          <w:bCs/>
        </w:rPr>
      </w:pPr>
      <w:r>
        <w:rPr>
          <w:rFonts w:ascii="Segoe UI" w:hAnsi="Segoe UI" w:cs="Segoe UI"/>
        </w:rPr>
        <w:t>SB 261 does not require an assurance review for climate-related financial risk disclosures per the bill text, so we do not anticipate time allocated to an assurance review during the reporting process.  If the climate-related financial risk disclosures rely on audited (“assured”) prior-year financials as a data source, those audited prior-year financials typically become available within three months of the conclusion of the reporting year (</w:t>
      </w:r>
      <w:r w:rsidR="00F57E60">
        <w:rPr>
          <w:rFonts w:ascii="Segoe UI" w:hAnsi="Segoe UI" w:cs="Segoe UI"/>
        </w:rPr>
        <w:t>“</w:t>
      </w:r>
      <w:r>
        <w:rPr>
          <w:rFonts w:ascii="Segoe UI" w:hAnsi="Segoe UI" w:cs="Segoe UI"/>
        </w:rPr>
        <w:t>prior year</w:t>
      </w:r>
      <w:r w:rsidR="00F57E60">
        <w:rPr>
          <w:rFonts w:ascii="Segoe UI" w:hAnsi="Segoe UI" w:cs="Segoe UI"/>
        </w:rPr>
        <w:t>”</w:t>
      </w:r>
      <w:r>
        <w:rPr>
          <w:rFonts w:ascii="Segoe UI" w:hAnsi="Segoe UI" w:cs="Segoe UI"/>
        </w:rPr>
        <w:t xml:space="preserve">).  </w:t>
      </w:r>
    </w:p>
    <w:p w14:paraId="75B8D2CE" w14:textId="77777777" w:rsidR="00AB198D" w:rsidRPr="00697BAF" w:rsidRDefault="00AB198D" w:rsidP="00AB198D">
      <w:pPr>
        <w:pStyle w:val="ListParagraph"/>
        <w:rPr>
          <w:rFonts w:ascii="Segoe UI" w:hAnsi="Segoe UI" w:cs="Segoe UI"/>
          <w:b/>
          <w:bCs/>
        </w:rPr>
      </w:pPr>
    </w:p>
    <w:p w14:paraId="4E7C3015" w14:textId="77777777" w:rsidR="00AB198D" w:rsidRDefault="00AB198D" w:rsidP="00B446F1">
      <w:pPr>
        <w:pStyle w:val="ListParagraph"/>
        <w:numPr>
          <w:ilvl w:val="0"/>
          <w:numId w:val="8"/>
        </w:numPr>
        <w:rPr>
          <w:rFonts w:ascii="Segoe UI" w:hAnsi="Segoe UI" w:cs="Segoe UI"/>
          <w:b/>
          <w:bCs/>
        </w:rPr>
      </w:pPr>
      <w:r w:rsidRPr="00171410">
        <w:rPr>
          <w:rFonts w:ascii="Segoe UI" w:hAnsi="Segoe UI" w:cs="Segoe UI"/>
          <w:b/>
          <w:bCs/>
        </w:rPr>
        <w:t>Should CARB require a standardized reporting year (i.e., 2027, 2029, 2031, etc.), or allow for reporting any time in a two-year period (2026-2027, 2028-2029, etc.)?</w:t>
      </w:r>
      <w:r>
        <w:rPr>
          <w:rFonts w:ascii="Segoe UI" w:hAnsi="Segoe UI" w:cs="Segoe UI"/>
          <w:b/>
          <w:bCs/>
        </w:rPr>
        <w:t xml:space="preserve"> </w:t>
      </w:r>
    </w:p>
    <w:p w14:paraId="0D4D6A3A" w14:textId="77777777" w:rsidR="00AB198D" w:rsidRDefault="00AB198D" w:rsidP="00AB198D">
      <w:pPr>
        <w:pStyle w:val="ListParagraph"/>
        <w:rPr>
          <w:rFonts w:ascii="Segoe UI" w:hAnsi="Segoe UI" w:cs="Segoe UI"/>
          <w:b/>
          <w:bCs/>
        </w:rPr>
      </w:pPr>
    </w:p>
    <w:p w14:paraId="6DF0E951" w14:textId="77777777" w:rsidR="00AB198D" w:rsidRPr="003D4285" w:rsidRDefault="00AB198D" w:rsidP="00AB198D">
      <w:pPr>
        <w:pStyle w:val="ListParagraph"/>
        <w:rPr>
          <w:rFonts w:ascii="Segoe UI" w:hAnsi="Segoe UI" w:cs="Segoe UI"/>
          <w:b/>
          <w:bCs/>
        </w:rPr>
      </w:pPr>
      <w:r>
        <w:rPr>
          <w:rFonts w:ascii="Segoe UI" w:hAnsi="Segoe UI" w:cs="Segoe UI"/>
        </w:rPr>
        <w:t>To clarify and set the basis for our response, “reporting year”</w:t>
      </w:r>
      <w:r>
        <w:rPr>
          <w:rStyle w:val="FootnoteReference"/>
          <w:rFonts w:ascii="Segoe UI" w:hAnsi="Segoe UI" w:cs="Segoe UI"/>
        </w:rPr>
        <w:footnoteReference w:id="13"/>
      </w:r>
      <w:r>
        <w:rPr>
          <w:rFonts w:ascii="Segoe UI" w:hAnsi="Segoe UI" w:cs="Segoe UI"/>
        </w:rPr>
        <w:t xml:space="preserve"> or “reporting period”</w:t>
      </w:r>
      <w:r>
        <w:rPr>
          <w:rStyle w:val="FootnoteReference"/>
          <w:rFonts w:ascii="Segoe UI" w:hAnsi="Segoe UI" w:cs="Segoe UI"/>
        </w:rPr>
        <w:footnoteReference w:id="14"/>
      </w:r>
      <w:r>
        <w:rPr>
          <w:rStyle w:val="FootnoteReference"/>
          <w:rFonts w:ascii="Segoe UI" w:hAnsi="Segoe UI" w:cs="Segoe UI"/>
        </w:rPr>
        <w:footnoteReference w:id="15"/>
      </w:r>
      <w:r>
        <w:rPr>
          <w:rFonts w:ascii="Segoe UI" w:hAnsi="Segoe UI" w:cs="Segoe UI"/>
        </w:rPr>
        <w:t xml:space="preserve"> in sustainability reporting typically refers to the year of company operations represented by the sustainability disclosures.  For instance, most entities will publish reporting year 2024 sustainability disclosures in calendar year 2025, but some may not publish 2024 reporting year disclosures until calendar year 2026.  Both are reporting sustainability disclosures associated with 2024 operations, and thus “reporting year 2024,” regardless of when the actual reporting (publication) occurred.</w:t>
      </w:r>
    </w:p>
    <w:p w14:paraId="4E33B5BF" w14:textId="77777777" w:rsidR="00AB198D" w:rsidRDefault="00AB198D" w:rsidP="00AB198D">
      <w:pPr>
        <w:pStyle w:val="ListParagraph"/>
        <w:rPr>
          <w:rFonts w:ascii="Segoe UI" w:hAnsi="Segoe UI" w:cs="Segoe UI"/>
          <w:b/>
          <w:bCs/>
        </w:rPr>
      </w:pPr>
    </w:p>
    <w:p w14:paraId="30D03AD4" w14:textId="77777777" w:rsidR="00AB198D" w:rsidRDefault="00AB198D" w:rsidP="00AB198D">
      <w:pPr>
        <w:pStyle w:val="ListParagraph"/>
        <w:rPr>
          <w:rFonts w:ascii="Segoe UI" w:hAnsi="Segoe UI" w:cs="Segoe UI"/>
        </w:rPr>
      </w:pPr>
      <w:r w:rsidRPr="003D4285">
        <w:rPr>
          <w:rFonts w:ascii="Segoe UI" w:hAnsi="Segoe UI" w:cs="Segoe UI"/>
        </w:rPr>
        <w:t xml:space="preserve">CARB should </w:t>
      </w:r>
      <w:r>
        <w:rPr>
          <w:rFonts w:ascii="Segoe UI" w:hAnsi="Segoe UI" w:cs="Segoe UI"/>
        </w:rPr>
        <w:t xml:space="preserve">require a standardized reporting year to ensure the temporal relevancy and comparability of the reported climate financial risk disclosures.  The standardized reporting year should require that the disclosures reported are reflective of covered entity operations as of the fiscal year ending during the </w:t>
      </w:r>
      <w:r>
        <w:rPr>
          <w:rFonts w:ascii="Segoe UI" w:hAnsi="Segoe UI" w:cs="Segoe UI"/>
        </w:rPr>
        <w:lastRenderedPageBreak/>
        <w:t>required reporting year (e.g., 6/31/24, 12/31/24, etc. for a required reporting year of fiscal year ending 2024 with disclosures published by January 1</w:t>
      </w:r>
      <w:r w:rsidRPr="00FC3D0B">
        <w:rPr>
          <w:rFonts w:ascii="Segoe UI" w:hAnsi="Segoe UI" w:cs="Segoe UI"/>
          <w:vertAlign w:val="superscript"/>
        </w:rPr>
        <w:t>st</w:t>
      </w:r>
      <w:r>
        <w:rPr>
          <w:rFonts w:ascii="Segoe UI" w:hAnsi="Segoe UI" w:cs="Segoe UI"/>
        </w:rPr>
        <w:t xml:space="preserve">, 2026).  This approach would likely help reduce compliance costs as some covered entities do not have a fiscal year that aligns with the calendar year.  </w:t>
      </w:r>
    </w:p>
    <w:p w14:paraId="3F6D93B5" w14:textId="77777777" w:rsidR="00AB198D" w:rsidRDefault="00AB198D" w:rsidP="00AB198D">
      <w:pPr>
        <w:pStyle w:val="ListParagraph"/>
        <w:rPr>
          <w:rFonts w:ascii="Segoe UI" w:hAnsi="Segoe UI" w:cs="Segoe UI"/>
        </w:rPr>
      </w:pPr>
    </w:p>
    <w:p w14:paraId="69C86589" w14:textId="77777777" w:rsidR="00AB198D" w:rsidRDefault="00AB198D" w:rsidP="00AB198D">
      <w:pPr>
        <w:pStyle w:val="ListParagraph"/>
        <w:rPr>
          <w:rFonts w:ascii="Segoe UI" w:hAnsi="Segoe UI" w:cs="Segoe UI"/>
        </w:rPr>
      </w:pPr>
      <w:r>
        <w:rPr>
          <w:rFonts w:ascii="Segoe UI" w:hAnsi="Segoe UI" w:cs="Segoe UI"/>
        </w:rPr>
        <w:t>If CARB maintains January 1</w:t>
      </w:r>
      <w:r w:rsidRPr="003658D8">
        <w:rPr>
          <w:rFonts w:ascii="Segoe UI" w:hAnsi="Segoe UI" w:cs="Segoe UI"/>
          <w:vertAlign w:val="superscript"/>
        </w:rPr>
        <w:t>st</w:t>
      </w:r>
      <w:r>
        <w:rPr>
          <w:rFonts w:ascii="Segoe UI" w:hAnsi="Segoe UI" w:cs="Segoe UI"/>
        </w:rPr>
        <w:t xml:space="preserve"> deadlines for reporting, the required reporting year should be the covered entity’s fiscal year ending two years prior, which for the initial deadline would yield a required reporting year of fiscal year ending 2024.  For example, a January 1</w:t>
      </w:r>
      <w:r w:rsidRPr="00171410">
        <w:rPr>
          <w:rFonts w:ascii="Segoe UI" w:hAnsi="Segoe UI" w:cs="Segoe UI"/>
          <w:vertAlign w:val="superscript"/>
        </w:rPr>
        <w:t>st</w:t>
      </w:r>
      <w:r>
        <w:rPr>
          <w:rFonts w:ascii="Segoe UI" w:hAnsi="Segoe UI" w:cs="Segoe UI"/>
        </w:rPr>
        <w:t xml:space="preserve">, </w:t>
      </w:r>
      <w:proofErr w:type="gramStart"/>
      <w:r>
        <w:rPr>
          <w:rFonts w:ascii="Segoe UI" w:hAnsi="Segoe UI" w:cs="Segoe UI"/>
        </w:rPr>
        <w:t>2028</w:t>
      </w:r>
      <w:proofErr w:type="gramEnd"/>
      <w:r>
        <w:rPr>
          <w:rFonts w:ascii="Segoe UI" w:hAnsi="Segoe UI" w:cs="Segoe UI"/>
        </w:rPr>
        <w:t xml:space="preserve"> deadline would yield a required reporting year of fiscal year ending 2026.  </w:t>
      </w:r>
    </w:p>
    <w:p w14:paraId="47EC305B" w14:textId="77777777" w:rsidR="00AB198D" w:rsidRDefault="00AB198D" w:rsidP="00AB198D">
      <w:pPr>
        <w:pStyle w:val="ListParagraph"/>
        <w:rPr>
          <w:rFonts w:ascii="Segoe UI" w:hAnsi="Segoe UI" w:cs="Segoe UI"/>
        </w:rPr>
      </w:pPr>
    </w:p>
    <w:p w14:paraId="4B07E900" w14:textId="77777777" w:rsidR="00AB198D" w:rsidRPr="003D4285" w:rsidRDefault="00AB198D" w:rsidP="00AB198D">
      <w:pPr>
        <w:pStyle w:val="ListParagraph"/>
        <w:rPr>
          <w:rFonts w:ascii="Segoe UI" w:hAnsi="Segoe UI" w:cs="Segoe UI"/>
        </w:rPr>
      </w:pPr>
      <w:r>
        <w:rPr>
          <w:rFonts w:ascii="Segoe UI" w:hAnsi="Segoe UI" w:cs="Segoe UI"/>
        </w:rPr>
        <w:t>This approach provides covered entities with a calendar year or more following the conclusion of their fiscal year to prepare the required climate financial risk disclosures and provides covered entities with the flexibility to provide the reporting year data when it is most convenient.  This will synergize SB 261 reporting with existing voluntary and mandated reporting for covered entities and reduce compliance costs associated with SB 261.</w:t>
      </w:r>
    </w:p>
    <w:p w14:paraId="09828BF5" w14:textId="77777777" w:rsidR="00AB198D" w:rsidRPr="003D4285" w:rsidRDefault="00AB198D" w:rsidP="00AB198D">
      <w:pPr>
        <w:pStyle w:val="ListParagraph"/>
        <w:rPr>
          <w:rFonts w:ascii="Segoe UI" w:hAnsi="Segoe UI" w:cs="Segoe UI"/>
          <w:b/>
          <w:bCs/>
        </w:rPr>
      </w:pPr>
    </w:p>
    <w:p w14:paraId="703FD925" w14:textId="77777777" w:rsidR="00AB198D" w:rsidRDefault="00AB198D" w:rsidP="00AB198D">
      <w:pPr>
        <w:pStyle w:val="ListParagraph"/>
        <w:rPr>
          <w:rFonts w:ascii="Segoe UI" w:hAnsi="Segoe UI" w:cs="Segoe UI"/>
        </w:rPr>
      </w:pPr>
      <w:r>
        <w:rPr>
          <w:rFonts w:ascii="Segoe UI" w:hAnsi="Segoe UI" w:cs="Segoe UI"/>
        </w:rPr>
        <w:t>We do not believe CARB should dictate a window when reporting should occur, merely a reporting year to ensure temporal relevancy and comparability of the underlying data.  C</w:t>
      </w:r>
      <w:r w:rsidRPr="00171410">
        <w:rPr>
          <w:rFonts w:ascii="Segoe UI" w:hAnsi="Segoe UI" w:cs="Segoe UI"/>
        </w:rPr>
        <w:t xml:space="preserve">ARB should </w:t>
      </w:r>
      <w:r>
        <w:rPr>
          <w:rFonts w:ascii="Segoe UI" w:hAnsi="Segoe UI" w:cs="Segoe UI"/>
        </w:rPr>
        <w:t>clarify, however, the required deadline for completion of reporting during each two-year reporting window, as set by the precedent of the January 1</w:t>
      </w:r>
      <w:r w:rsidRPr="00171410">
        <w:rPr>
          <w:rFonts w:ascii="Segoe UI" w:hAnsi="Segoe UI" w:cs="Segoe UI"/>
          <w:vertAlign w:val="superscript"/>
        </w:rPr>
        <w:t>st</w:t>
      </w:r>
      <w:r>
        <w:rPr>
          <w:rFonts w:ascii="Segoe UI" w:hAnsi="Segoe UI" w:cs="Segoe UI"/>
        </w:rPr>
        <w:t xml:space="preserve">, </w:t>
      </w:r>
      <w:proofErr w:type="gramStart"/>
      <w:r>
        <w:rPr>
          <w:rFonts w:ascii="Segoe UI" w:hAnsi="Segoe UI" w:cs="Segoe UI"/>
        </w:rPr>
        <w:t>2026</w:t>
      </w:r>
      <w:proofErr w:type="gramEnd"/>
      <w:r>
        <w:rPr>
          <w:rFonts w:ascii="Segoe UI" w:hAnsi="Segoe UI" w:cs="Segoe UI"/>
        </w:rPr>
        <w:t xml:space="preserve"> deadline in SB 261.  For instance, CARB should confirm that the next planned reporting deadline is January 1</w:t>
      </w:r>
      <w:r w:rsidRPr="00171410">
        <w:rPr>
          <w:rFonts w:ascii="Segoe UI" w:hAnsi="Segoe UI" w:cs="Segoe UI"/>
          <w:vertAlign w:val="superscript"/>
        </w:rPr>
        <w:t>st</w:t>
      </w:r>
      <w:r>
        <w:rPr>
          <w:rFonts w:ascii="Segoe UI" w:hAnsi="Segoe UI" w:cs="Segoe UI"/>
        </w:rPr>
        <w:t xml:space="preserve">, 2028.  </w:t>
      </w:r>
    </w:p>
    <w:p w14:paraId="5C7A418C" w14:textId="77777777" w:rsidR="00AB198D" w:rsidRPr="00171410" w:rsidRDefault="00AB198D" w:rsidP="00AB198D">
      <w:pPr>
        <w:pStyle w:val="ListParagraph"/>
        <w:rPr>
          <w:rFonts w:ascii="Segoe UI" w:hAnsi="Segoe UI" w:cs="Segoe UI"/>
          <w:b/>
          <w:bCs/>
        </w:rPr>
      </w:pPr>
    </w:p>
    <w:p w14:paraId="59318148" w14:textId="77777777" w:rsidR="00AB198D" w:rsidRDefault="00AB198D" w:rsidP="00B446F1">
      <w:pPr>
        <w:pStyle w:val="ListParagraph"/>
        <w:numPr>
          <w:ilvl w:val="0"/>
          <w:numId w:val="8"/>
        </w:numPr>
        <w:rPr>
          <w:rFonts w:ascii="Segoe UI" w:hAnsi="Segoe UI" w:cs="Segoe UI"/>
          <w:b/>
          <w:bCs/>
        </w:rPr>
      </w:pPr>
      <w:r w:rsidRPr="00171410">
        <w:rPr>
          <w:rFonts w:ascii="Segoe UI" w:hAnsi="Segoe UI" w:cs="Segoe UI"/>
          <w:b/>
          <w:bCs/>
        </w:rPr>
        <w:t>SB 261 requires entities to prepare a climate-related financial risk report biennially. What, if any, disclosures should be required by an entity that qualifies as a reporting entity (because it exceeds the revenue threshold) for the first time during the two years before a reporting year?</w:t>
      </w:r>
    </w:p>
    <w:p w14:paraId="5B3996CC" w14:textId="77777777" w:rsidR="00AB198D" w:rsidRDefault="00AB198D" w:rsidP="00AB198D">
      <w:pPr>
        <w:pStyle w:val="ListParagraph"/>
        <w:rPr>
          <w:rFonts w:ascii="Segoe UI" w:hAnsi="Segoe UI" w:cs="Segoe UI"/>
        </w:rPr>
      </w:pPr>
    </w:p>
    <w:p w14:paraId="4B5B02AD" w14:textId="77777777" w:rsidR="00AB198D" w:rsidRDefault="00AB198D" w:rsidP="00AB198D">
      <w:pPr>
        <w:pStyle w:val="ListParagraph"/>
        <w:rPr>
          <w:rFonts w:ascii="Segoe UI" w:hAnsi="Segoe UI" w:cs="Segoe UI"/>
        </w:rPr>
      </w:pPr>
      <w:r>
        <w:rPr>
          <w:rFonts w:ascii="Segoe UI" w:hAnsi="Segoe UI" w:cs="Segoe UI"/>
        </w:rPr>
        <w:t>To clarify and set the basis for our response, “reporting year”</w:t>
      </w:r>
      <w:r>
        <w:rPr>
          <w:rStyle w:val="FootnoteReference"/>
          <w:rFonts w:ascii="Segoe UI" w:hAnsi="Segoe UI" w:cs="Segoe UI"/>
        </w:rPr>
        <w:footnoteReference w:id="16"/>
      </w:r>
      <w:r>
        <w:rPr>
          <w:rFonts w:ascii="Segoe UI" w:hAnsi="Segoe UI" w:cs="Segoe UI"/>
        </w:rPr>
        <w:t xml:space="preserve"> or “reporting period”</w:t>
      </w:r>
      <w:r>
        <w:rPr>
          <w:rStyle w:val="FootnoteReference"/>
          <w:rFonts w:ascii="Segoe UI" w:hAnsi="Segoe UI" w:cs="Segoe UI"/>
        </w:rPr>
        <w:footnoteReference w:id="17"/>
      </w:r>
      <w:r>
        <w:rPr>
          <w:rStyle w:val="FootnoteReference"/>
          <w:rFonts w:ascii="Segoe UI" w:hAnsi="Segoe UI" w:cs="Segoe UI"/>
        </w:rPr>
        <w:footnoteReference w:id="18"/>
      </w:r>
      <w:r>
        <w:rPr>
          <w:rFonts w:ascii="Segoe UI" w:hAnsi="Segoe UI" w:cs="Segoe UI"/>
        </w:rPr>
        <w:t xml:space="preserve"> in sustainability reporting typically refers to the year of company operations represented by the sustainability disclosures, not the year in which the data is reported, which is what this question seems to suggest.  </w:t>
      </w:r>
    </w:p>
    <w:p w14:paraId="7D827645" w14:textId="77777777" w:rsidR="00AB198D" w:rsidRDefault="00AB198D" w:rsidP="00AB198D">
      <w:pPr>
        <w:pStyle w:val="ListParagraph"/>
        <w:rPr>
          <w:rFonts w:ascii="Segoe UI" w:hAnsi="Segoe UI" w:cs="Segoe UI"/>
        </w:rPr>
      </w:pPr>
    </w:p>
    <w:p w14:paraId="11002397" w14:textId="77777777" w:rsidR="00AB198D" w:rsidRDefault="00AB198D" w:rsidP="00AB198D">
      <w:pPr>
        <w:pStyle w:val="ListParagraph"/>
        <w:rPr>
          <w:rFonts w:ascii="Segoe UI" w:hAnsi="Segoe UI" w:cs="Segoe UI"/>
        </w:rPr>
      </w:pPr>
      <w:r>
        <w:rPr>
          <w:rFonts w:ascii="Segoe UI" w:hAnsi="Segoe UI" w:cs="Segoe UI"/>
        </w:rPr>
        <w:t xml:space="preserve">If an entity becomes a “covered entity” by exceeding the revenue threshold during the reporting year, following the standardized reporting year guidance </w:t>
      </w:r>
      <w:r>
        <w:rPr>
          <w:rFonts w:ascii="Segoe UI" w:hAnsi="Segoe UI" w:cs="Segoe UI"/>
        </w:rPr>
        <w:lastRenderedPageBreak/>
        <w:t xml:space="preserve">above, then the entity should be required to </w:t>
      </w:r>
      <w:r w:rsidRPr="00602D29">
        <w:rPr>
          <w:rFonts w:ascii="Segoe UI" w:hAnsi="Segoe UI" w:cs="Segoe UI"/>
        </w:rPr>
        <w:t>prepare a climate-related financial risk report</w:t>
      </w:r>
      <w:r>
        <w:rPr>
          <w:rFonts w:ascii="Segoe UI" w:hAnsi="Segoe UI" w:cs="Segoe UI"/>
        </w:rPr>
        <w:t xml:space="preserve"> by the next reporting deadline.  </w:t>
      </w:r>
      <w:r w:rsidRPr="00602D29">
        <w:rPr>
          <w:rFonts w:ascii="Segoe UI" w:hAnsi="Segoe UI" w:cs="Segoe UI"/>
        </w:rPr>
        <w:t xml:space="preserve">For instance, if CARB set a required reporting year of fiscal year ending </w:t>
      </w:r>
      <w:r>
        <w:rPr>
          <w:rFonts w:ascii="Segoe UI" w:hAnsi="Segoe UI" w:cs="Segoe UI"/>
        </w:rPr>
        <w:t xml:space="preserve">in </w:t>
      </w:r>
      <w:r w:rsidRPr="00602D29">
        <w:rPr>
          <w:rFonts w:ascii="Segoe UI" w:hAnsi="Segoe UI" w:cs="Segoe UI"/>
        </w:rPr>
        <w:t>2026 for the January 1</w:t>
      </w:r>
      <w:r w:rsidRPr="00602D29">
        <w:rPr>
          <w:rFonts w:ascii="Segoe UI" w:hAnsi="Segoe UI" w:cs="Segoe UI"/>
          <w:vertAlign w:val="superscript"/>
        </w:rPr>
        <w:t>st</w:t>
      </w:r>
      <w:r w:rsidRPr="00602D29">
        <w:rPr>
          <w:rFonts w:ascii="Segoe UI" w:hAnsi="Segoe UI" w:cs="Segoe UI"/>
        </w:rPr>
        <w:t xml:space="preserve">, </w:t>
      </w:r>
      <w:proofErr w:type="gramStart"/>
      <w:r w:rsidRPr="00602D29">
        <w:rPr>
          <w:rFonts w:ascii="Segoe UI" w:hAnsi="Segoe UI" w:cs="Segoe UI"/>
        </w:rPr>
        <w:t>2028</w:t>
      </w:r>
      <w:proofErr w:type="gramEnd"/>
      <w:r w:rsidRPr="00602D29">
        <w:rPr>
          <w:rFonts w:ascii="Segoe UI" w:hAnsi="Segoe UI" w:cs="Segoe UI"/>
        </w:rPr>
        <w:t xml:space="preserve"> deadline, entities with revenues exceeding the revenue threshold during their fiscal year ending in 2026 would have to prepare a climate-related financial risk report by January 1</w:t>
      </w:r>
      <w:r w:rsidRPr="00602D29">
        <w:rPr>
          <w:rFonts w:ascii="Segoe UI" w:hAnsi="Segoe UI" w:cs="Segoe UI"/>
          <w:vertAlign w:val="superscript"/>
        </w:rPr>
        <w:t>st</w:t>
      </w:r>
      <w:r w:rsidRPr="00602D29">
        <w:rPr>
          <w:rFonts w:ascii="Segoe UI" w:hAnsi="Segoe UI" w:cs="Segoe UI"/>
        </w:rPr>
        <w:t xml:space="preserve">, 2028. </w:t>
      </w:r>
    </w:p>
    <w:p w14:paraId="4D620855" w14:textId="77777777" w:rsidR="00AB198D" w:rsidRDefault="00AB198D" w:rsidP="00AB198D">
      <w:pPr>
        <w:pStyle w:val="ListParagraph"/>
        <w:rPr>
          <w:rFonts w:ascii="Segoe UI" w:hAnsi="Segoe UI" w:cs="Segoe UI"/>
        </w:rPr>
      </w:pPr>
    </w:p>
    <w:p w14:paraId="44E692B9" w14:textId="77777777" w:rsidR="00AB198D" w:rsidRPr="00602D29" w:rsidRDefault="00AB198D" w:rsidP="00AB198D">
      <w:pPr>
        <w:pStyle w:val="ListParagraph"/>
        <w:rPr>
          <w:rFonts w:ascii="Segoe UI" w:hAnsi="Segoe UI" w:cs="Segoe UI"/>
        </w:rPr>
      </w:pPr>
      <w:r w:rsidRPr="00602D29">
        <w:rPr>
          <w:rFonts w:ascii="Segoe UI" w:hAnsi="Segoe UI" w:cs="Segoe UI"/>
        </w:rPr>
        <w:t xml:space="preserve">If </w:t>
      </w:r>
      <w:r>
        <w:rPr>
          <w:rFonts w:ascii="Segoe UI" w:hAnsi="Segoe UI" w:cs="Segoe UI"/>
        </w:rPr>
        <w:t>an</w:t>
      </w:r>
      <w:r w:rsidRPr="00602D29">
        <w:rPr>
          <w:rFonts w:ascii="Segoe UI" w:hAnsi="Segoe UI" w:cs="Segoe UI"/>
        </w:rPr>
        <w:t xml:space="preserve"> entity does not exceed the revenue threshold during the required reporting year (fiscal year ending 2026), but exceeds the revenue threshold in the following year (fiscal year ending 2027), the entity does not need to prepare a climate-related financial risk report for that deadline, but may be required to report in the future if the entity </w:t>
      </w:r>
      <w:r>
        <w:rPr>
          <w:rFonts w:ascii="Segoe UI" w:hAnsi="Segoe UI" w:cs="Segoe UI"/>
        </w:rPr>
        <w:t xml:space="preserve">continues to </w:t>
      </w:r>
      <w:r w:rsidRPr="00602D29">
        <w:rPr>
          <w:rFonts w:ascii="Segoe UI" w:hAnsi="Segoe UI" w:cs="Segoe UI"/>
        </w:rPr>
        <w:t>exceed the revenue threshold in future reporting years (e.g., fiscal year ending 2028).</w:t>
      </w:r>
    </w:p>
    <w:p w14:paraId="5C97A7FC" w14:textId="77777777" w:rsidR="00AB198D" w:rsidRDefault="00AB198D" w:rsidP="00AB198D">
      <w:pPr>
        <w:pStyle w:val="ListParagraph"/>
        <w:rPr>
          <w:rFonts w:ascii="Segoe UI" w:hAnsi="Segoe UI" w:cs="Segoe UI"/>
        </w:rPr>
      </w:pPr>
    </w:p>
    <w:p w14:paraId="41145426" w14:textId="77777777" w:rsidR="00AB198D" w:rsidRPr="00602D29" w:rsidRDefault="00AB198D" w:rsidP="00AB198D">
      <w:pPr>
        <w:pStyle w:val="ListParagraph"/>
        <w:rPr>
          <w:rFonts w:ascii="Segoe UI" w:hAnsi="Segoe UI" w:cs="Segoe UI"/>
        </w:rPr>
      </w:pPr>
      <w:r>
        <w:rPr>
          <w:rFonts w:ascii="Segoe UI" w:hAnsi="Segoe UI" w:cs="Segoe UI"/>
        </w:rPr>
        <w:t>First-time reporting entities should not have any additional disclosures in their first report under SB 261. This goes against the general trends in mandatory disclosures, in particular, the European Union’s Corporate Sustainability Reporting Directive (CSRD), which allows certain reporting exemptions for first-time reporting entities.</w:t>
      </w:r>
      <w:r>
        <w:rPr>
          <w:rStyle w:val="FootnoteReference"/>
          <w:rFonts w:ascii="Segoe UI" w:hAnsi="Segoe UI" w:cs="Segoe UI"/>
        </w:rPr>
        <w:footnoteReference w:id="19"/>
      </w:r>
      <w:r>
        <w:rPr>
          <w:rFonts w:ascii="Segoe UI" w:hAnsi="Segoe UI" w:cs="Segoe UI"/>
        </w:rPr>
        <w:t xml:space="preserve"> </w:t>
      </w:r>
    </w:p>
    <w:p w14:paraId="43ED1B55" w14:textId="77777777" w:rsidR="00AB198D" w:rsidRPr="00602D29" w:rsidRDefault="00AB198D" w:rsidP="00AB198D">
      <w:pPr>
        <w:rPr>
          <w:rFonts w:ascii="Segoe UI" w:hAnsi="Segoe UI" w:cs="Segoe UI"/>
        </w:rPr>
      </w:pPr>
    </w:p>
    <w:p w14:paraId="7A3E6A6F" w14:textId="77777777" w:rsidR="00AB198D" w:rsidRPr="00171410" w:rsidRDefault="00AB198D" w:rsidP="00B446F1">
      <w:pPr>
        <w:pStyle w:val="ListParagraph"/>
        <w:numPr>
          <w:ilvl w:val="0"/>
          <w:numId w:val="8"/>
        </w:numPr>
        <w:rPr>
          <w:rFonts w:ascii="Segoe UI" w:hAnsi="Segoe UI" w:cs="Segoe UI"/>
          <w:b/>
          <w:bCs/>
        </w:rPr>
      </w:pPr>
      <w:r w:rsidRPr="00171410">
        <w:rPr>
          <w:rFonts w:ascii="Segoe UI" w:hAnsi="Segoe UI" w:cs="Segoe UI"/>
          <w:b/>
          <w:bCs/>
        </w:rPr>
        <w:t>Many entities that are potentially subject to reporting requirements under SB 261 are already providing other types of climate financial risk disclosures.</w:t>
      </w:r>
    </w:p>
    <w:p w14:paraId="47862D5E" w14:textId="77777777" w:rsidR="00AB198D" w:rsidRDefault="00AB198D" w:rsidP="00AB198D">
      <w:pPr>
        <w:pStyle w:val="ListParagraph"/>
        <w:numPr>
          <w:ilvl w:val="1"/>
          <w:numId w:val="13"/>
        </w:numPr>
        <w:rPr>
          <w:rFonts w:ascii="Segoe UI" w:hAnsi="Segoe UI" w:cs="Segoe UI"/>
          <w:b/>
          <w:bCs/>
        </w:rPr>
      </w:pPr>
      <w:r w:rsidRPr="00171410">
        <w:rPr>
          <w:rFonts w:ascii="Segoe UI" w:hAnsi="Segoe UI" w:cs="Segoe UI"/>
          <w:b/>
          <w:bCs/>
        </w:rPr>
        <w:t>What other types of existing climate financial risk disclosures are entities already preparing?</w:t>
      </w:r>
    </w:p>
    <w:p w14:paraId="01875189" w14:textId="77777777" w:rsidR="00AB198D" w:rsidRDefault="00AB198D" w:rsidP="00AB198D">
      <w:pPr>
        <w:pStyle w:val="ListParagraph"/>
        <w:ind w:left="1440"/>
        <w:rPr>
          <w:rFonts w:ascii="Segoe UI" w:hAnsi="Segoe UI" w:cs="Segoe UI"/>
        </w:rPr>
      </w:pPr>
    </w:p>
    <w:p w14:paraId="3F4F94D7" w14:textId="77777777" w:rsidR="00AB198D" w:rsidRDefault="00AB198D" w:rsidP="00AB198D">
      <w:pPr>
        <w:pStyle w:val="ListParagraph"/>
        <w:ind w:left="1440"/>
        <w:rPr>
          <w:rFonts w:ascii="Segoe UI" w:hAnsi="Segoe UI" w:cs="Segoe UI"/>
        </w:rPr>
      </w:pPr>
      <w:r>
        <w:rPr>
          <w:rFonts w:ascii="Segoe UI" w:hAnsi="Segoe UI" w:cs="Segoe UI"/>
        </w:rPr>
        <w:t xml:space="preserve">Entities are already preparing climate financial risk disclosures for both voluntary and regulatory disclosure purposes.  Voluntary disclosures include CDP responses, sustainability/ESG reports, and TCFD reports. Regulatory disclosures include Form 10-K in the U.S., the Corporate Sustainability Reporting Directive (CSRD) in the EU, </w:t>
      </w:r>
      <w:r w:rsidRPr="000658C0">
        <w:rPr>
          <w:rFonts w:ascii="Segoe UI" w:hAnsi="Segoe UI" w:cs="Segoe UI"/>
        </w:rPr>
        <w:t>Climate-Related Financial Disclosure (CFD)</w:t>
      </w:r>
      <w:r>
        <w:rPr>
          <w:rFonts w:ascii="Segoe UI" w:hAnsi="Segoe UI" w:cs="Segoe UI"/>
        </w:rPr>
        <w:t xml:space="preserve"> in the UK, and national requirements in Canada, Australia, Switzerland, and other countries.</w:t>
      </w:r>
    </w:p>
    <w:p w14:paraId="6B0DCC0E" w14:textId="77777777" w:rsidR="00AB198D" w:rsidRDefault="00AB198D" w:rsidP="00AB198D">
      <w:pPr>
        <w:pStyle w:val="ListParagraph"/>
        <w:ind w:left="1440"/>
        <w:rPr>
          <w:rFonts w:ascii="Segoe UI" w:hAnsi="Segoe UI" w:cs="Segoe UI"/>
        </w:rPr>
      </w:pPr>
    </w:p>
    <w:p w14:paraId="0B5A1320" w14:textId="77777777" w:rsidR="00AB198D" w:rsidRDefault="00AB198D" w:rsidP="00AB198D">
      <w:pPr>
        <w:pStyle w:val="ListParagraph"/>
        <w:ind w:left="1440"/>
        <w:rPr>
          <w:rFonts w:ascii="Segoe UI" w:hAnsi="Segoe UI" w:cs="Segoe UI"/>
        </w:rPr>
      </w:pPr>
      <w:r>
        <w:rPr>
          <w:rFonts w:ascii="Segoe UI" w:hAnsi="Segoe UI" w:cs="Segoe UI"/>
        </w:rPr>
        <w:t xml:space="preserve">For CDP responses, some entities are quantifying climate-related financial risks and opportunities as well as the costs to mitigate or realize those risks/opportunities, in addition to other forms of climate financial risks.  </w:t>
      </w:r>
    </w:p>
    <w:p w14:paraId="199C649B" w14:textId="77777777" w:rsidR="00AB198D" w:rsidRDefault="00AB198D" w:rsidP="00AB198D">
      <w:pPr>
        <w:pStyle w:val="ListParagraph"/>
        <w:ind w:left="1440"/>
        <w:rPr>
          <w:rFonts w:ascii="Segoe UI" w:hAnsi="Segoe UI" w:cs="Segoe UI"/>
        </w:rPr>
      </w:pPr>
    </w:p>
    <w:p w14:paraId="1FCC47B5" w14:textId="77777777" w:rsidR="00AB198D" w:rsidRPr="004D6F4F" w:rsidRDefault="00AB198D" w:rsidP="00AB198D">
      <w:pPr>
        <w:pStyle w:val="ListParagraph"/>
        <w:ind w:left="1440"/>
        <w:rPr>
          <w:rFonts w:ascii="Segoe UI" w:hAnsi="Segoe UI" w:cs="Segoe UI"/>
        </w:rPr>
      </w:pPr>
      <w:r>
        <w:rPr>
          <w:rFonts w:ascii="Segoe UI" w:hAnsi="Segoe UI" w:cs="Segoe UI"/>
        </w:rPr>
        <w:lastRenderedPageBreak/>
        <w:t xml:space="preserve">In sustainability/ESG (or equivalent) reports, entities are preparing climate financial risk disclosures in varying alignment with the </w:t>
      </w:r>
      <w:r w:rsidRPr="004D6F4F">
        <w:rPr>
          <w:rFonts w:ascii="Segoe UI" w:hAnsi="Segoe UI" w:cs="Segoe UI"/>
        </w:rPr>
        <w:t>Recommendations of the Task Force on Climate</w:t>
      </w:r>
      <w:r>
        <w:rPr>
          <w:rFonts w:ascii="Segoe UI" w:hAnsi="Segoe UI" w:cs="Segoe UI"/>
        </w:rPr>
        <w:t>-</w:t>
      </w:r>
      <w:r w:rsidRPr="004D6F4F">
        <w:rPr>
          <w:rFonts w:ascii="Segoe UI" w:hAnsi="Segoe UI" w:cs="Segoe UI"/>
        </w:rPr>
        <w:t xml:space="preserve">related Financial Disclosures </w:t>
      </w:r>
      <w:r>
        <w:rPr>
          <w:rFonts w:ascii="Segoe UI" w:hAnsi="Segoe UI" w:cs="Segoe UI"/>
        </w:rPr>
        <w:t>(TCFD).  Some entities are performing more robust analyses including risk quantification, whereas others are performing a mostly qualitative review.  Rather than combining these disclosures with their sustainability reporting, some entities opt to publish standalone TCFD reports.</w:t>
      </w:r>
    </w:p>
    <w:p w14:paraId="7AE7A379" w14:textId="77777777" w:rsidR="00AB198D" w:rsidRDefault="00AB198D" w:rsidP="00AB198D">
      <w:pPr>
        <w:pStyle w:val="ListParagraph"/>
        <w:ind w:left="1440"/>
        <w:rPr>
          <w:rFonts w:ascii="Segoe UI" w:hAnsi="Segoe UI" w:cs="Segoe UI"/>
        </w:rPr>
      </w:pPr>
    </w:p>
    <w:p w14:paraId="2377460E" w14:textId="77777777" w:rsidR="00AB198D" w:rsidRDefault="00AB198D" w:rsidP="00AB198D">
      <w:pPr>
        <w:pStyle w:val="ListParagraph"/>
        <w:ind w:left="1440"/>
        <w:rPr>
          <w:rFonts w:ascii="Segoe UI" w:hAnsi="Segoe UI" w:cs="Segoe UI"/>
        </w:rPr>
      </w:pPr>
      <w:r>
        <w:rPr>
          <w:rFonts w:ascii="Segoe UI" w:hAnsi="Segoe UI" w:cs="Segoe UI"/>
        </w:rPr>
        <w:t xml:space="preserve">Many U.S. publicly listed entities are also disclosing some climate financial risk information in their Form 10-K under Item 1 – Business and Item 1A – Risk Factors.  These disclosures tend to be qualitative in </w:t>
      </w:r>
      <w:proofErr w:type="gramStart"/>
      <w:r>
        <w:rPr>
          <w:rFonts w:ascii="Segoe UI" w:hAnsi="Segoe UI" w:cs="Segoe UI"/>
        </w:rPr>
        <w:t>nature, but</w:t>
      </w:r>
      <w:proofErr w:type="gramEnd"/>
      <w:r>
        <w:rPr>
          <w:rFonts w:ascii="Segoe UI" w:hAnsi="Segoe UI" w:cs="Segoe UI"/>
        </w:rPr>
        <w:t xml:space="preserve"> may be supported by underlying quantitative risk analyses.  </w:t>
      </w:r>
    </w:p>
    <w:p w14:paraId="31C74C8C" w14:textId="77777777" w:rsidR="00AB198D" w:rsidRDefault="00AB198D" w:rsidP="00AB198D">
      <w:pPr>
        <w:pStyle w:val="ListParagraph"/>
        <w:ind w:left="1440"/>
        <w:rPr>
          <w:rFonts w:ascii="Segoe UI" w:hAnsi="Segoe UI" w:cs="Segoe UI"/>
        </w:rPr>
      </w:pPr>
    </w:p>
    <w:p w14:paraId="45D058F2" w14:textId="77777777" w:rsidR="00AB198D" w:rsidRPr="009D6258" w:rsidRDefault="00AB198D" w:rsidP="00AB198D">
      <w:pPr>
        <w:pStyle w:val="ListParagraph"/>
        <w:ind w:left="1440"/>
        <w:rPr>
          <w:rFonts w:ascii="Segoe UI" w:hAnsi="Segoe UI" w:cs="Segoe UI"/>
        </w:rPr>
      </w:pPr>
      <w:r>
        <w:rPr>
          <w:rFonts w:ascii="Segoe UI" w:hAnsi="Segoe UI" w:cs="Segoe UI"/>
        </w:rPr>
        <w:t xml:space="preserve">Multi-national entities may also be subject to existing foreign legislation that requires the disclosure of climate risk information.  </w:t>
      </w:r>
      <w:proofErr w:type="gramStart"/>
      <w:r>
        <w:rPr>
          <w:rFonts w:ascii="Segoe UI" w:hAnsi="Segoe UI" w:cs="Segoe UI"/>
        </w:rPr>
        <w:t>In particular, many</w:t>
      </w:r>
      <w:proofErr w:type="gramEnd"/>
      <w:r>
        <w:rPr>
          <w:rFonts w:ascii="Segoe UI" w:hAnsi="Segoe UI" w:cs="Segoe UI"/>
        </w:rPr>
        <w:t xml:space="preserve"> entities are preparing climate risk information to comply with CSRD.  Under CSRD, c</w:t>
      </w:r>
      <w:r w:rsidRPr="00504B50">
        <w:rPr>
          <w:rFonts w:ascii="Segoe UI" w:hAnsi="Segoe UI" w:cs="Segoe UI"/>
        </w:rPr>
        <w:t>limate risks are identified and scored by internal experts based on Likelihood and Financial Magnitude, helping determine material risks</w:t>
      </w:r>
      <w:r>
        <w:rPr>
          <w:rFonts w:ascii="Segoe UI" w:hAnsi="Segoe UI" w:cs="Segoe UI"/>
        </w:rPr>
        <w:t xml:space="preserve">.  Materiality is then confirmed or refined through stakeholder engagement.  </w:t>
      </w:r>
      <w:r w:rsidRPr="00504B50">
        <w:rPr>
          <w:rFonts w:ascii="Segoe UI" w:hAnsi="Segoe UI" w:cs="Segoe UI"/>
        </w:rPr>
        <w:t xml:space="preserve">In the first year, CSRD disclosures are </w:t>
      </w:r>
      <w:r>
        <w:rPr>
          <w:rFonts w:ascii="Segoe UI" w:hAnsi="Segoe UI" w:cs="Segoe UI"/>
        </w:rPr>
        <w:t>qualitative</w:t>
      </w:r>
      <w:r w:rsidRPr="00504B50">
        <w:rPr>
          <w:rFonts w:ascii="Segoe UI" w:hAnsi="Segoe UI" w:cs="Segoe UI"/>
        </w:rPr>
        <w:t>, covering risk descriptions and identification processes</w:t>
      </w:r>
      <w:r>
        <w:rPr>
          <w:rFonts w:ascii="Segoe UI" w:hAnsi="Segoe UI" w:cs="Segoe UI"/>
        </w:rPr>
        <w:t xml:space="preserve"> (</w:t>
      </w:r>
      <w:r w:rsidRPr="00504B50">
        <w:rPr>
          <w:rFonts w:ascii="Segoe UI" w:hAnsi="Segoe UI" w:cs="Segoe UI"/>
        </w:rPr>
        <w:t>including scenario analysis</w:t>
      </w:r>
      <w:r>
        <w:rPr>
          <w:rFonts w:ascii="Segoe UI" w:hAnsi="Segoe UI" w:cs="Segoe UI"/>
        </w:rPr>
        <w:t>)</w:t>
      </w:r>
      <w:r w:rsidRPr="00504B50">
        <w:rPr>
          <w:rFonts w:ascii="Segoe UI" w:hAnsi="Segoe UI" w:cs="Segoe UI"/>
        </w:rPr>
        <w:t xml:space="preserve">. </w:t>
      </w:r>
      <w:r>
        <w:rPr>
          <w:rFonts w:ascii="Segoe UI" w:hAnsi="Segoe UI" w:cs="Segoe UI"/>
        </w:rPr>
        <w:t xml:space="preserve"> In subsequent years, additional disclosures will be phased-in, requiring monetary and quantitative data related to the potential financial impacts of climate risks.</w:t>
      </w:r>
    </w:p>
    <w:p w14:paraId="64F11DB2" w14:textId="77777777" w:rsidR="00AB198D" w:rsidRPr="00EE090C" w:rsidRDefault="00AB198D" w:rsidP="00AB198D">
      <w:pPr>
        <w:pStyle w:val="ListParagraph"/>
        <w:ind w:left="1440"/>
        <w:rPr>
          <w:rFonts w:ascii="Segoe UI" w:hAnsi="Segoe UI" w:cs="Segoe UI"/>
        </w:rPr>
      </w:pPr>
    </w:p>
    <w:p w14:paraId="110D1114" w14:textId="77777777" w:rsidR="00AB198D" w:rsidRPr="009D6258" w:rsidRDefault="00AB198D" w:rsidP="00AB198D">
      <w:pPr>
        <w:pStyle w:val="ListParagraph"/>
        <w:numPr>
          <w:ilvl w:val="1"/>
          <w:numId w:val="13"/>
        </w:numPr>
        <w:rPr>
          <w:rFonts w:ascii="Segoe UI" w:hAnsi="Segoe UI" w:cs="Segoe UI"/>
          <w:b/>
          <w:bCs/>
        </w:rPr>
      </w:pPr>
      <w:r w:rsidRPr="00171410">
        <w:rPr>
          <w:rFonts w:ascii="Segoe UI" w:hAnsi="Segoe UI" w:cs="Segoe UI"/>
          <w:b/>
          <w:bCs/>
        </w:rPr>
        <w:t xml:space="preserve">For covered entities that already report climate related financial risk, what approaches do entities use? </w:t>
      </w:r>
    </w:p>
    <w:p w14:paraId="3D54F6D2" w14:textId="77777777" w:rsidR="00AB198D" w:rsidRDefault="00AB198D" w:rsidP="00AB198D">
      <w:pPr>
        <w:pStyle w:val="ListParagraph"/>
        <w:ind w:left="1440"/>
        <w:rPr>
          <w:rFonts w:ascii="Segoe UI" w:hAnsi="Segoe UI" w:cs="Segoe UI"/>
        </w:rPr>
      </w:pPr>
    </w:p>
    <w:p w14:paraId="7F8DA5DC" w14:textId="77777777" w:rsidR="00AB198D" w:rsidRDefault="00AB198D" w:rsidP="00AB198D">
      <w:pPr>
        <w:pStyle w:val="ListParagraph"/>
        <w:ind w:left="1440"/>
        <w:rPr>
          <w:rFonts w:ascii="Segoe UI" w:hAnsi="Segoe UI" w:cs="Segoe UI"/>
        </w:rPr>
      </w:pPr>
      <w:r>
        <w:rPr>
          <w:rFonts w:ascii="Segoe UI" w:hAnsi="Segoe UI" w:cs="Segoe UI"/>
        </w:rPr>
        <w:t xml:space="preserve">Covered entities use many approaches; however, the most common disclosures are aligned with </w:t>
      </w:r>
      <w:r w:rsidRPr="008B0D87">
        <w:rPr>
          <w:rFonts w:ascii="Segoe UI" w:hAnsi="Segoe UI" w:cs="Segoe UI"/>
        </w:rPr>
        <w:t xml:space="preserve">TCFD, CDP, </w:t>
      </w:r>
      <w:r>
        <w:rPr>
          <w:rFonts w:ascii="Segoe UI" w:hAnsi="Segoe UI" w:cs="Segoe UI"/>
        </w:rPr>
        <w:t>CSRD/ESRS</w:t>
      </w:r>
      <w:r w:rsidRPr="008B0D87">
        <w:rPr>
          <w:rFonts w:ascii="Segoe UI" w:hAnsi="Segoe UI" w:cs="Segoe UI"/>
        </w:rPr>
        <w:t>,</w:t>
      </w:r>
      <w:r>
        <w:rPr>
          <w:rFonts w:ascii="Segoe UI" w:hAnsi="Segoe UI" w:cs="Segoe UI"/>
        </w:rPr>
        <w:t xml:space="preserve"> and/or the</w:t>
      </w:r>
      <w:r w:rsidRPr="008B0D87">
        <w:rPr>
          <w:rFonts w:ascii="Segoe UI" w:hAnsi="Segoe UI" w:cs="Segoe UI"/>
        </w:rPr>
        <w:t xml:space="preserve"> IFRS Sustainability </w:t>
      </w:r>
      <w:r>
        <w:rPr>
          <w:rFonts w:ascii="Segoe UI" w:hAnsi="Segoe UI" w:cs="Segoe UI"/>
        </w:rPr>
        <w:t xml:space="preserve">Disclosure </w:t>
      </w:r>
      <w:r w:rsidRPr="008B0D87">
        <w:rPr>
          <w:rFonts w:ascii="Segoe UI" w:hAnsi="Segoe UI" w:cs="Segoe UI"/>
        </w:rPr>
        <w:t>Standards</w:t>
      </w:r>
      <w:r>
        <w:rPr>
          <w:rFonts w:ascii="Segoe UI" w:hAnsi="Segoe UI" w:cs="Segoe UI"/>
        </w:rPr>
        <w:t xml:space="preserve"> (IFRS S2).</w:t>
      </w:r>
    </w:p>
    <w:p w14:paraId="7820E560" w14:textId="77777777" w:rsidR="00AB198D" w:rsidRDefault="00AB198D" w:rsidP="00AB198D">
      <w:pPr>
        <w:pStyle w:val="ListParagraph"/>
        <w:ind w:left="1440"/>
        <w:rPr>
          <w:rFonts w:ascii="Segoe UI" w:hAnsi="Segoe UI" w:cs="Segoe UI"/>
        </w:rPr>
      </w:pPr>
    </w:p>
    <w:p w14:paraId="210C88D7" w14:textId="77777777" w:rsidR="00AB198D" w:rsidRDefault="00AB198D" w:rsidP="00AB198D">
      <w:pPr>
        <w:pStyle w:val="ListParagraph"/>
        <w:ind w:left="1440"/>
        <w:rPr>
          <w:rFonts w:ascii="Segoe UI" w:hAnsi="Segoe UI" w:cs="Segoe UI"/>
        </w:rPr>
      </w:pPr>
      <w:r>
        <w:rPr>
          <w:rFonts w:ascii="Segoe UI" w:hAnsi="Segoe UI" w:cs="Segoe UI"/>
        </w:rPr>
        <w:t xml:space="preserve">Entities reporting climate-related financial risks often refer to the primary financial impacts from CDP, which is aligned with TCFD, and then quantify these financial impacts via estimates that combine company-specific and publicly available data.  Entities who are leaders in climate risk </w:t>
      </w:r>
      <w:proofErr w:type="gramStart"/>
      <w:r>
        <w:rPr>
          <w:rFonts w:ascii="Segoe UI" w:hAnsi="Segoe UI" w:cs="Segoe UI"/>
        </w:rPr>
        <w:t>reporting, or</w:t>
      </w:r>
      <w:proofErr w:type="gramEnd"/>
      <w:r>
        <w:rPr>
          <w:rFonts w:ascii="Segoe UI" w:hAnsi="Segoe UI" w:cs="Segoe UI"/>
        </w:rPr>
        <w:t xml:space="preserve"> are required to by law in some foreign jurisdictions, may use IFRS S2 to guide their climate-related financial risk disclosures.</w:t>
      </w:r>
    </w:p>
    <w:p w14:paraId="78EA6868" w14:textId="77777777" w:rsidR="00AB198D" w:rsidRDefault="00AB198D" w:rsidP="00AB198D">
      <w:pPr>
        <w:pStyle w:val="ListParagraph"/>
        <w:ind w:left="1440"/>
        <w:rPr>
          <w:rFonts w:ascii="Segoe UI" w:hAnsi="Segoe UI" w:cs="Segoe UI"/>
        </w:rPr>
      </w:pPr>
    </w:p>
    <w:p w14:paraId="53B468D9" w14:textId="77777777" w:rsidR="00AB198D" w:rsidRDefault="00AB198D" w:rsidP="00AB198D">
      <w:pPr>
        <w:pStyle w:val="ListParagraph"/>
        <w:ind w:left="1440"/>
        <w:rPr>
          <w:rFonts w:ascii="Segoe UI" w:hAnsi="Segoe UI" w:cs="Segoe UI"/>
        </w:rPr>
      </w:pPr>
      <w:r>
        <w:rPr>
          <w:rFonts w:ascii="Segoe UI" w:hAnsi="Segoe UI" w:cs="Segoe UI"/>
        </w:rPr>
        <w:lastRenderedPageBreak/>
        <w:t>Some entities use their Enterprise Risk Management (ERM) processes to integrate climate risks, but financial impact quantifications of climate-related risks within these processes are usually highly estimated or subject matter expert (SME)-informed.</w:t>
      </w:r>
    </w:p>
    <w:p w14:paraId="4B272B77" w14:textId="77777777" w:rsidR="00AB198D" w:rsidRPr="00504B50" w:rsidRDefault="00AB198D" w:rsidP="00AB198D">
      <w:pPr>
        <w:rPr>
          <w:rFonts w:ascii="Segoe UI" w:hAnsi="Segoe UI" w:cs="Segoe UI"/>
        </w:rPr>
      </w:pPr>
    </w:p>
    <w:p w14:paraId="38BB5DE1" w14:textId="77777777" w:rsidR="00AB198D" w:rsidRDefault="00AB198D" w:rsidP="00AB198D">
      <w:pPr>
        <w:pStyle w:val="ListParagraph"/>
        <w:numPr>
          <w:ilvl w:val="1"/>
          <w:numId w:val="13"/>
        </w:numPr>
        <w:rPr>
          <w:rFonts w:ascii="Segoe UI" w:hAnsi="Segoe UI" w:cs="Segoe UI"/>
          <w:b/>
          <w:bCs/>
        </w:rPr>
      </w:pPr>
      <w:r w:rsidRPr="00171410">
        <w:rPr>
          <w:rFonts w:ascii="Segoe UI" w:hAnsi="Segoe UI" w:cs="Segoe UI"/>
          <w:b/>
          <w:bCs/>
        </w:rPr>
        <w:t xml:space="preserve">In what areas, if any, is current reporting typically different than the guidance provided by the Final Report of Recommendations of the Task Force on Climate related Financial Disclosures? </w:t>
      </w:r>
    </w:p>
    <w:p w14:paraId="070D5EED" w14:textId="77777777" w:rsidR="00AB198D" w:rsidRDefault="00AB198D" w:rsidP="00AB198D">
      <w:pPr>
        <w:pStyle w:val="ListParagraph"/>
        <w:ind w:left="1440"/>
        <w:rPr>
          <w:rFonts w:ascii="Segoe UI" w:hAnsi="Segoe UI" w:cs="Segoe UI"/>
        </w:rPr>
      </w:pPr>
    </w:p>
    <w:p w14:paraId="6F2BD73C" w14:textId="7597A03B" w:rsidR="008079C2" w:rsidRDefault="00AB198D" w:rsidP="00AB198D">
      <w:pPr>
        <w:pStyle w:val="ListParagraph"/>
        <w:ind w:left="1440"/>
        <w:rPr>
          <w:rFonts w:ascii="Segoe UI" w:hAnsi="Segoe UI" w:cs="Segoe UI"/>
        </w:rPr>
      </w:pPr>
      <w:r>
        <w:rPr>
          <w:rFonts w:ascii="Segoe UI" w:hAnsi="Segoe UI" w:cs="Segoe UI"/>
        </w:rPr>
        <w:t xml:space="preserve">The current use of scenario analysis is immature.  </w:t>
      </w:r>
      <w:r w:rsidRPr="002E6E06">
        <w:rPr>
          <w:rFonts w:ascii="Segoe UI" w:hAnsi="Segoe UI" w:cs="Segoe UI"/>
        </w:rPr>
        <w:t xml:space="preserve">Covered entities are working toward </w:t>
      </w:r>
      <w:r>
        <w:rPr>
          <w:rFonts w:ascii="Segoe UI" w:hAnsi="Segoe UI" w:cs="Segoe UI"/>
        </w:rPr>
        <w:t>nascent</w:t>
      </w:r>
      <w:r w:rsidRPr="002E6E06">
        <w:rPr>
          <w:rFonts w:ascii="Segoe UI" w:hAnsi="Segoe UI" w:cs="Segoe UI"/>
        </w:rPr>
        <w:t xml:space="preserve"> climate-related financial risk</w:t>
      </w:r>
      <w:r>
        <w:rPr>
          <w:rFonts w:ascii="Segoe UI" w:hAnsi="Segoe UI" w:cs="Segoe UI"/>
        </w:rPr>
        <w:t xml:space="preserve"> quantification,</w:t>
      </w:r>
      <w:r w:rsidRPr="002E6E06">
        <w:rPr>
          <w:rFonts w:ascii="Segoe UI" w:hAnsi="Segoe UI" w:cs="Segoe UI"/>
        </w:rPr>
        <w:t xml:space="preserve"> but typically don't use scenarios to determine risk ranges or stress test </w:t>
      </w:r>
      <w:r>
        <w:rPr>
          <w:rFonts w:ascii="Segoe UI" w:hAnsi="Segoe UI" w:cs="Segoe UI"/>
        </w:rPr>
        <w:t xml:space="preserve">risk impacts to </w:t>
      </w:r>
      <w:r w:rsidRPr="002E6E06">
        <w:rPr>
          <w:rFonts w:ascii="Segoe UI" w:hAnsi="Segoe UI" w:cs="Segoe UI"/>
        </w:rPr>
        <w:t>their business.</w:t>
      </w:r>
      <w:r>
        <w:rPr>
          <w:rFonts w:ascii="Segoe UI" w:hAnsi="Segoe UI" w:cs="Segoe UI"/>
        </w:rPr>
        <w:t xml:space="preserve">  In addition, target setting and reporting of metrics </w:t>
      </w:r>
      <w:r w:rsidR="00B446F1" w:rsidRPr="00B446F1">
        <w:rPr>
          <w:rFonts w:ascii="Segoe UI" w:hAnsi="Segoe UI" w:cs="Segoe UI"/>
        </w:rPr>
        <w:t xml:space="preserve">used to assess </w:t>
      </w:r>
      <w:r w:rsidR="00B446F1">
        <w:rPr>
          <w:rFonts w:ascii="Segoe UI" w:hAnsi="Segoe UI" w:cs="Segoe UI"/>
        </w:rPr>
        <w:t>climate-r</w:t>
      </w:r>
      <w:r w:rsidR="00B446F1" w:rsidRPr="00B446F1">
        <w:rPr>
          <w:rFonts w:ascii="Segoe UI" w:hAnsi="Segoe UI" w:cs="Segoe UI"/>
        </w:rPr>
        <w:t>elated risks and opportunities</w:t>
      </w:r>
      <w:r w:rsidR="00B446F1">
        <w:rPr>
          <w:rFonts w:ascii="Segoe UI" w:hAnsi="Segoe UI" w:cs="Segoe UI"/>
        </w:rPr>
        <w:t xml:space="preserve"> </w:t>
      </w:r>
      <w:r>
        <w:rPr>
          <w:rFonts w:ascii="Segoe UI" w:hAnsi="Segoe UI" w:cs="Segoe UI"/>
        </w:rPr>
        <w:t xml:space="preserve">by covered entities are limited.  </w:t>
      </w:r>
      <w:r w:rsidR="00B446F1">
        <w:rPr>
          <w:rFonts w:ascii="Segoe UI" w:hAnsi="Segoe UI" w:cs="Segoe UI"/>
        </w:rPr>
        <w:t>While TCFD’s Fundamental Principles state “D</w:t>
      </w:r>
      <w:r w:rsidR="00B446F1" w:rsidRPr="00B446F1">
        <w:rPr>
          <w:rFonts w:ascii="Segoe UI" w:hAnsi="Segoe UI" w:cs="Segoe UI"/>
        </w:rPr>
        <w:t>isclosures should show an appropriate balance between qualitative and quantitative information</w:t>
      </w:r>
      <w:r w:rsidR="00B446F1">
        <w:rPr>
          <w:rFonts w:ascii="Segoe UI" w:hAnsi="Segoe UI" w:cs="Segoe UI"/>
        </w:rPr>
        <w:t>,”</w:t>
      </w:r>
      <w:r w:rsidR="008079C2">
        <w:rPr>
          <w:rStyle w:val="FootnoteReference"/>
          <w:rFonts w:ascii="Segoe UI" w:hAnsi="Segoe UI" w:cs="Segoe UI"/>
        </w:rPr>
        <w:footnoteReference w:id="20"/>
      </w:r>
      <w:r w:rsidR="00B446F1">
        <w:rPr>
          <w:rFonts w:ascii="Segoe UI" w:hAnsi="Segoe UI" w:cs="Segoe UI"/>
        </w:rPr>
        <w:t xml:space="preserve"> we typically </w:t>
      </w:r>
      <w:r w:rsidR="008079C2">
        <w:rPr>
          <w:rFonts w:ascii="Segoe UI" w:hAnsi="Segoe UI" w:cs="Segoe UI"/>
        </w:rPr>
        <w:t xml:space="preserve">see covered entities reporting comparatively more qualitative information.  Given this discrepancy, we recommend that CARB provides guidance on the expected level of quantitative disclosure, particularly relating to disclosure of </w:t>
      </w:r>
      <w:r w:rsidR="008079C2">
        <w:rPr>
          <w:rFonts w:ascii="Segoe UI" w:hAnsi="Segoe UI" w:cs="Segoe UI"/>
        </w:rPr>
        <w:t xml:space="preserve">metrics </w:t>
      </w:r>
      <w:r w:rsidR="008079C2" w:rsidRPr="00B446F1">
        <w:rPr>
          <w:rFonts w:ascii="Segoe UI" w:hAnsi="Segoe UI" w:cs="Segoe UI"/>
        </w:rPr>
        <w:t xml:space="preserve">used to assess </w:t>
      </w:r>
      <w:r w:rsidR="008079C2">
        <w:rPr>
          <w:rFonts w:ascii="Segoe UI" w:hAnsi="Segoe UI" w:cs="Segoe UI"/>
        </w:rPr>
        <w:t>climate-r</w:t>
      </w:r>
      <w:r w:rsidR="008079C2" w:rsidRPr="00B446F1">
        <w:rPr>
          <w:rFonts w:ascii="Segoe UI" w:hAnsi="Segoe UI" w:cs="Segoe UI"/>
        </w:rPr>
        <w:t>elated risks and opportunities</w:t>
      </w:r>
      <w:r w:rsidR="008079C2">
        <w:rPr>
          <w:rFonts w:ascii="Segoe UI" w:hAnsi="Segoe UI" w:cs="Segoe UI"/>
        </w:rPr>
        <w:t>.</w:t>
      </w:r>
    </w:p>
    <w:p w14:paraId="41E87495" w14:textId="77777777" w:rsidR="008079C2" w:rsidRDefault="008079C2" w:rsidP="00AB198D">
      <w:pPr>
        <w:pStyle w:val="ListParagraph"/>
        <w:ind w:left="1440"/>
        <w:rPr>
          <w:rFonts w:ascii="Segoe UI" w:hAnsi="Segoe UI" w:cs="Segoe UI"/>
        </w:rPr>
      </w:pPr>
    </w:p>
    <w:p w14:paraId="26FF69F0" w14:textId="7FECFE65" w:rsidR="00AB198D" w:rsidRPr="00FF5FF8" w:rsidRDefault="00AB198D" w:rsidP="00AB198D">
      <w:pPr>
        <w:pStyle w:val="ListParagraph"/>
        <w:ind w:left="1440"/>
        <w:rPr>
          <w:rFonts w:ascii="Segoe UI" w:hAnsi="Segoe UI" w:cs="Segoe UI"/>
        </w:rPr>
      </w:pPr>
      <w:r>
        <w:rPr>
          <w:rFonts w:ascii="Segoe UI" w:hAnsi="Segoe UI" w:cs="Segoe UI"/>
        </w:rPr>
        <w:t>Finally, covered entity management of climate-related risks and integration of climate-related risks into financial planning remains under-developed.</w:t>
      </w:r>
    </w:p>
    <w:p w14:paraId="2F8FECBD" w14:textId="77777777" w:rsidR="00AB198D" w:rsidRPr="00CC1980" w:rsidRDefault="00AB198D" w:rsidP="00AB198D">
      <w:pPr>
        <w:pStyle w:val="ListParagraph"/>
        <w:ind w:left="1440"/>
        <w:rPr>
          <w:rFonts w:ascii="Segoe UI" w:hAnsi="Segoe UI" w:cs="Segoe UI"/>
        </w:rPr>
      </w:pPr>
    </w:p>
    <w:p w14:paraId="3F79CC40" w14:textId="77777777" w:rsidR="00AB198D" w:rsidRDefault="00AB198D" w:rsidP="00AB198D">
      <w:pPr>
        <w:pStyle w:val="ListParagraph"/>
        <w:numPr>
          <w:ilvl w:val="1"/>
          <w:numId w:val="13"/>
        </w:numPr>
        <w:rPr>
          <w:rFonts w:ascii="Segoe UI" w:hAnsi="Segoe UI" w:cs="Segoe UI"/>
          <w:b/>
          <w:bCs/>
        </w:rPr>
      </w:pPr>
      <w:r w:rsidRPr="00171410">
        <w:rPr>
          <w:rFonts w:ascii="Segoe UI" w:hAnsi="Segoe UI" w:cs="Segoe UI"/>
          <w:b/>
          <w:bCs/>
        </w:rPr>
        <w:t>If not consistent with the Final Report of Recommendations of the Task Force on Climate-related Financial Disclosures, are there other laws, regulations, or listing requirements issued by any regulated exchange, national government, or other governmental entity that is guiding the development of these reports?</w:t>
      </w:r>
    </w:p>
    <w:p w14:paraId="3E9D98EE" w14:textId="77777777" w:rsidR="00AB198D" w:rsidRDefault="00AB198D" w:rsidP="00AB198D">
      <w:pPr>
        <w:pStyle w:val="ListParagraph"/>
        <w:ind w:left="1440"/>
        <w:rPr>
          <w:rFonts w:ascii="Segoe UI" w:hAnsi="Segoe UI" w:cs="Segoe UI"/>
        </w:rPr>
      </w:pPr>
    </w:p>
    <w:p w14:paraId="3F00A898" w14:textId="77777777" w:rsidR="00AB198D" w:rsidRPr="00FF5FF8" w:rsidRDefault="00AB198D" w:rsidP="00AB198D">
      <w:pPr>
        <w:pStyle w:val="ListParagraph"/>
        <w:ind w:left="1440"/>
        <w:rPr>
          <w:rFonts w:ascii="Segoe UI" w:hAnsi="Segoe UI" w:cs="Segoe UI"/>
        </w:rPr>
      </w:pPr>
      <w:r>
        <w:rPr>
          <w:rFonts w:ascii="Segoe UI" w:hAnsi="Segoe UI" w:cs="Segoe UI"/>
        </w:rPr>
        <w:t xml:space="preserve">Yes, in addition to TCFD, the </w:t>
      </w:r>
      <w:r w:rsidRPr="008B0D87">
        <w:rPr>
          <w:rFonts w:ascii="Segoe UI" w:hAnsi="Segoe UI" w:cs="Segoe UI"/>
        </w:rPr>
        <w:t xml:space="preserve">IFRS Sustainability </w:t>
      </w:r>
      <w:r>
        <w:rPr>
          <w:rFonts w:ascii="Segoe UI" w:hAnsi="Segoe UI" w:cs="Segoe UI"/>
        </w:rPr>
        <w:t xml:space="preserve">Disclosure </w:t>
      </w:r>
      <w:r w:rsidRPr="008B0D87">
        <w:rPr>
          <w:rFonts w:ascii="Segoe UI" w:hAnsi="Segoe UI" w:cs="Segoe UI"/>
        </w:rPr>
        <w:t>Standard</w:t>
      </w:r>
      <w:r>
        <w:rPr>
          <w:rFonts w:ascii="Segoe UI" w:hAnsi="Segoe UI" w:cs="Segoe UI"/>
        </w:rPr>
        <w:t>s</w:t>
      </w:r>
      <w:r w:rsidRPr="00FF5FF8">
        <w:rPr>
          <w:rFonts w:ascii="Segoe UI" w:hAnsi="Segoe UI" w:cs="Segoe UI"/>
        </w:rPr>
        <w:t xml:space="preserve"> </w:t>
      </w:r>
      <w:r>
        <w:rPr>
          <w:rFonts w:ascii="Segoe UI" w:hAnsi="Segoe UI" w:cs="Segoe UI"/>
        </w:rPr>
        <w:t>are</w:t>
      </w:r>
      <w:r w:rsidRPr="00FF5FF8">
        <w:rPr>
          <w:rFonts w:ascii="Segoe UI" w:hAnsi="Segoe UI" w:cs="Segoe UI"/>
        </w:rPr>
        <w:t xml:space="preserve"> driving the development of these reports. </w:t>
      </w:r>
      <w:r>
        <w:rPr>
          <w:rFonts w:ascii="Segoe UI" w:hAnsi="Segoe UI" w:cs="Segoe UI"/>
        </w:rPr>
        <w:t xml:space="preserve">The </w:t>
      </w:r>
      <w:r w:rsidRPr="008B0D87">
        <w:rPr>
          <w:rFonts w:ascii="Segoe UI" w:hAnsi="Segoe UI" w:cs="Segoe UI"/>
        </w:rPr>
        <w:t xml:space="preserve">IFRS Sustainability </w:t>
      </w:r>
      <w:r>
        <w:rPr>
          <w:rFonts w:ascii="Segoe UI" w:hAnsi="Segoe UI" w:cs="Segoe UI"/>
        </w:rPr>
        <w:t xml:space="preserve">Disclosure </w:t>
      </w:r>
      <w:r w:rsidRPr="008B0D87">
        <w:rPr>
          <w:rFonts w:ascii="Segoe UI" w:hAnsi="Segoe UI" w:cs="Segoe UI"/>
        </w:rPr>
        <w:t>Standards</w:t>
      </w:r>
      <w:r w:rsidRPr="00FF5FF8">
        <w:rPr>
          <w:rFonts w:ascii="Segoe UI" w:hAnsi="Segoe UI" w:cs="Segoe UI"/>
        </w:rPr>
        <w:t xml:space="preserve"> have been adopted by </w:t>
      </w:r>
      <w:r>
        <w:rPr>
          <w:rFonts w:ascii="Segoe UI" w:hAnsi="Segoe UI" w:cs="Segoe UI"/>
        </w:rPr>
        <w:t>six</w:t>
      </w:r>
      <w:r w:rsidRPr="00FF5FF8">
        <w:rPr>
          <w:rFonts w:ascii="Segoe UI" w:hAnsi="Segoe UI" w:cs="Segoe UI"/>
        </w:rPr>
        <w:t xml:space="preserve"> countries (Bangladesh, Brazil, Costa Rica, Nigeria, Kenya, and Turkey) </w:t>
      </w:r>
      <w:r>
        <w:rPr>
          <w:rFonts w:ascii="Segoe UI" w:hAnsi="Segoe UI" w:cs="Segoe UI"/>
        </w:rPr>
        <w:t>with</w:t>
      </w:r>
      <w:r w:rsidRPr="00FF5FF8">
        <w:rPr>
          <w:rFonts w:ascii="Segoe UI" w:hAnsi="Segoe UI" w:cs="Segoe UI"/>
        </w:rPr>
        <w:t xml:space="preserve"> plans for adoption in 19 additional countries.</w:t>
      </w:r>
    </w:p>
    <w:p w14:paraId="1750A9A9" w14:textId="77777777" w:rsidR="00AB198D" w:rsidRDefault="00AB198D" w:rsidP="00AB198D">
      <w:pPr>
        <w:pStyle w:val="ListParagraph"/>
        <w:ind w:left="1440"/>
        <w:rPr>
          <w:rFonts w:ascii="Segoe UI" w:hAnsi="Segoe UI" w:cs="Segoe UI"/>
        </w:rPr>
      </w:pPr>
    </w:p>
    <w:p w14:paraId="0C897517" w14:textId="77777777" w:rsidR="00AB198D" w:rsidRPr="005A227B" w:rsidRDefault="00AB198D" w:rsidP="00AB198D">
      <w:pPr>
        <w:pStyle w:val="ListParagraph"/>
        <w:ind w:left="1440"/>
        <w:rPr>
          <w:rFonts w:ascii="Segoe UI" w:hAnsi="Segoe UI" w:cs="Segoe UI"/>
        </w:rPr>
      </w:pPr>
      <w:r>
        <w:rPr>
          <w:rFonts w:ascii="Segoe UI" w:hAnsi="Segoe UI" w:cs="Segoe UI"/>
        </w:rPr>
        <w:lastRenderedPageBreak/>
        <w:t>In the EU, the Corporate Sustainability Reporting Directive (CSRD) is also influencing the development of climate-related financial disclosures as detailed in our response to 13(a).</w:t>
      </w:r>
    </w:p>
    <w:p w14:paraId="3798D243" w14:textId="56AD25F7" w:rsidR="00AB198D" w:rsidRPr="00AB198D" w:rsidRDefault="00AB198D" w:rsidP="00AB198D">
      <w:pPr>
        <w:rPr>
          <w:rFonts w:ascii="Segoe UI" w:hAnsi="Segoe UI" w:cs="Segoe UI"/>
        </w:rPr>
      </w:pPr>
    </w:p>
    <w:p w14:paraId="7F123878" w14:textId="77777777" w:rsidR="00A821A1" w:rsidRDefault="00A821A1" w:rsidP="00A821A1">
      <w:pPr>
        <w:ind w:left="360"/>
      </w:pPr>
    </w:p>
    <w:sectPr w:rsidR="00A821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8D8F" w14:textId="77777777" w:rsidR="00DA264D" w:rsidRDefault="00DA264D" w:rsidP="00840516">
      <w:r>
        <w:separator/>
      </w:r>
    </w:p>
  </w:endnote>
  <w:endnote w:type="continuationSeparator" w:id="0">
    <w:p w14:paraId="07046431" w14:textId="77777777" w:rsidR="00DA264D" w:rsidRDefault="00DA264D" w:rsidP="0084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3941B" w14:textId="77777777" w:rsidR="00DA264D" w:rsidRDefault="00DA264D" w:rsidP="00840516">
      <w:r>
        <w:separator/>
      </w:r>
    </w:p>
  </w:footnote>
  <w:footnote w:type="continuationSeparator" w:id="0">
    <w:p w14:paraId="5BD1731D" w14:textId="77777777" w:rsidR="00DA264D" w:rsidRDefault="00DA264D" w:rsidP="00840516">
      <w:r>
        <w:continuationSeparator/>
      </w:r>
    </w:p>
  </w:footnote>
  <w:footnote w:id="1">
    <w:p w14:paraId="04B8DBA6" w14:textId="1AD7F8B3" w:rsidR="00693FC0" w:rsidRDefault="00693FC0">
      <w:pPr>
        <w:pStyle w:val="FootnoteText"/>
      </w:pPr>
      <w:r>
        <w:rPr>
          <w:rStyle w:val="FootnoteReference"/>
        </w:rPr>
        <w:footnoteRef/>
      </w:r>
      <w:r>
        <w:t xml:space="preserve"> </w:t>
      </w:r>
      <w:r w:rsidRPr="00693FC0">
        <w:t>United States v. California (1936); Courts have acknowledged that when government agencies engage in revenue-generating activities comparable to private businesses, they can be subject to similar legal and regulatory treatment. </w:t>
      </w:r>
    </w:p>
  </w:footnote>
  <w:footnote w:id="2">
    <w:p w14:paraId="27BA1698" w14:textId="7B0E561A" w:rsidR="004C4F14" w:rsidRDefault="004C4F14">
      <w:pPr>
        <w:pStyle w:val="FootnoteText"/>
      </w:pPr>
      <w:r>
        <w:rPr>
          <w:rStyle w:val="FootnoteReference"/>
        </w:rPr>
        <w:footnoteRef/>
      </w:r>
      <w:r>
        <w:t xml:space="preserve"> </w:t>
      </w:r>
      <w:r w:rsidRPr="004C4F14">
        <w:t>The GHG Protocol Corporate Accounting and Reporting Standard</w:t>
      </w:r>
      <w:r>
        <w:t xml:space="preserve"> (2004).</w:t>
      </w:r>
    </w:p>
  </w:footnote>
  <w:footnote w:id="3">
    <w:p w14:paraId="3E302089" w14:textId="7BE5856B" w:rsidR="00D73AF5" w:rsidRDefault="00D73AF5">
      <w:pPr>
        <w:pStyle w:val="FootnoteText"/>
      </w:pPr>
      <w:r>
        <w:rPr>
          <w:rStyle w:val="FootnoteReference"/>
        </w:rPr>
        <w:footnoteRef/>
      </w:r>
      <w:r>
        <w:t xml:space="preserve"> Final rule: </w:t>
      </w:r>
      <w:r w:rsidRPr="00D73AF5">
        <w:t>The Enhancement and Standardization of Climate-Related Disclosures for Investors</w:t>
      </w:r>
      <w:r>
        <w:t xml:space="preserve"> (2024).</w:t>
      </w:r>
    </w:p>
  </w:footnote>
  <w:footnote w:id="4">
    <w:p w14:paraId="27AEC4A4" w14:textId="277E2447" w:rsidR="00E906C4" w:rsidRDefault="00E906C4">
      <w:pPr>
        <w:pStyle w:val="FootnoteText"/>
      </w:pPr>
      <w:r>
        <w:rPr>
          <w:rStyle w:val="FootnoteReference"/>
        </w:rPr>
        <w:footnoteRef/>
      </w:r>
      <w:r>
        <w:t xml:space="preserve"> </w:t>
      </w:r>
      <w:r w:rsidRPr="00E906C4">
        <w:t>HB25-1119</w:t>
      </w:r>
      <w:r>
        <w:t xml:space="preserve">: </w:t>
      </w:r>
      <w:r w:rsidRPr="00E906C4">
        <w:t>Require Disclosures of Climate Emissions</w:t>
      </w:r>
      <w:r>
        <w:t xml:space="preserve"> (2025).</w:t>
      </w:r>
    </w:p>
  </w:footnote>
  <w:footnote w:id="5">
    <w:p w14:paraId="7AAD1109" w14:textId="6349475E" w:rsidR="00607B00" w:rsidRDefault="00607B00">
      <w:pPr>
        <w:pStyle w:val="FootnoteText"/>
      </w:pPr>
      <w:r>
        <w:rPr>
          <w:rStyle w:val="FootnoteReference"/>
        </w:rPr>
        <w:footnoteRef/>
      </w:r>
      <w:r>
        <w:t xml:space="preserve"> </w:t>
      </w:r>
      <w:r w:rsidRPr="004C4F14">
        <w:t>The GHG Protocol Corporate Accounting and Reporting Standard</w:t>
      </w:r>
      <w:r>
        <w:t xml:space="preserve"> (2004).</w:t>
      </w:r>
    </w:p>
  </w:footnote>
  <w:footnote w:id="6">
    <w:p w14:paraId="59CD9459" w14:textId="77777777" w:rsidR="00B446F1" w:rsidRDefault="00B446F1" w:rsidP="00B446F1">
      <w:pPr>
        <w:pStyle w:val="FootnoteText"/>
      </w:pPr>
      <w:r>
        <w:rPr>
          <w:rStyle w:val="FootnoteReference"/>
        </w:rPr>
        <w:footnoteRef/>
      </w:r>
      <w:r>
        <w:t xml:space="preserve"> </w:t>
      </w:r>
      <w:r w:rsidRPr="004C4F14">
        <w:t>The GHG Protocol Corporate Accounting and Reporting Standard</w:t>
      </w:r>
      <w:r>
        <w:t xml:space="preserve"> (2004).</w:t>
      </w:r>
    </w:p>
  </w:footnote>
  <w:footnote w:id="7">
    <w:p w14:paraId="4690E307" w14:textId="77777777" w:rsidR="00295B22" w:rsidRDefault="00295B22" w:rsidP="00295B22">
      <w:pPr>
        <w:pStyle w:val="FootnoteText"/>
      </w:pPr>
      <w:r>
        <w:rPr>
          <w:rStyle w:val="FootnoteReference"/>
        </w:rPr>
        <w:footnoteRef/>
      </w:r>
      <w:r>
        <w:t xml:space="preserve"> Final rule: </w:t>
      </w:r>
      <w:r w:rsidRPr="00D73AF5">
        <w:t>The Enhancement and Standardization of Climate-Related Disclosures for Investors</w:t>
      </w:r>
      <w:r>
        <w:t xml:space="preserve"> (2024).</w:t>
      </w:r>
    </w:p>
  </w:footnote>
  <w:footnote w:id="8">
    <w:p w14:paraId="7EEC625A" w14:textId="77777777" w:rsidR="00295B22" w:rsidRDefault="00295B22" w:rsidP="00295B22">
      <w:pPr>
        <w:pStyle w:val="FootnoteText"/>
      </w:pPr>
      <w:r>
        <w:rPr>
          <w:rStyle w:val="FootnoteReference"/>
        </w:rPr>
        <w:footnoteRef/>
      </w:r>
      <w:r>
        <w:t xml:space="preserve"> Final rule: </w:t>
      </w:r>
      <w:r w:rsidRPr="00D73AF5">
        <w:t>The Enhancement and Standardization of Climate-Related Disclosures for Investors</w:t>
      </w:r>
      <w:r>
        <w:t xml:space="preserve"> (2024).</w:t>
      </w:r>
    </w:p>
  </w:footnote>
  <w:footnote w:id="9">
    <w:p w14:paraId="39A278A4" w14:textId="5D09FBE2" w:rsidR="00AB198D" w:rsidRDefault="00AB198D">
      <w:pPr>
        <w:pStyle w:val="FootnoteText"/>
      </w:pPr>
      <w:r>
        <w:rPr>
          <w:rStyle w:val="FootnoteReference"/>
        </w:rPr>
        <w:footnoteRef/>
      </w:r>
      <w:r>
        <w:t xml:space="preserve"> CDP </w:t>
      </w:r>
      <w:r w:rsidRPr="00AB198D">
        <w:t xml:space="preserve">Corporate </w:t>
      </w:r>
      <w:proofErr w:type="gramStart"/>
      <w:r w:rsidRPr="00AB198D">
        <w:t>A</w:t>
      </w:r>
      <w:proofErr w:type="gramEnd"/>
      <w:r w:rsidRPr="00AB198D">
        <w:t xml:space="preserve"> List</w:t>
      </w:r>
      <w:r>
        <w:t xml:space="preserve"> (2025).</w:t>
      </w:r>
    </w:p>
  </w:footnote>
  <w:footnote w:id="10">
    <w:p w14:paraId="105DABC8" w14:textId="77777777" w:rsidR="00AB198D" w:rsidRDefault="00AB198D" w:rsidP="00AB198D">
      <w:pPr>
        <w:pStyle w:val="FootnoteText"/>
      </w:pPr>
      <w:r>
        <w:rPr>
          <w:rStyle w:val="FootnoteReference"/>
        </w:rPr>
        <w:footnoteRef/>
      </w:r>
      <w:r>
        <w:t xml:space="preserve"> CDP full corporate questionnaire (2024).</w:t>
      </w:r>
    </w:p>
  </w:footnote>
  <w:footnote w:id="11">
    <w:p w14:paraId="7493C283" w14:textId="77777777" w:rsidR="00AB198D" w:rsidRDefault="00AB198D" w:rsidP="00AB198D">
      <w:pPr>
        <w:pStyle w:val="FootnoteText"/>
      </w:pPr>
      <w:r>
        <w:rPr>
          <w:rStyle w:val="FootnoteReference"/>
        </w:rPr>
        <w:footnoteRef/>
      </w:r>
      <w:r>
        <w:t xml:space="preserve"> GRI 2: General Disclosures (2021).</w:t>
      </w:r>
    </w:p>
  </w:footnote>
  <w:footnote w:id="12">
    <w:p w14:paraId="639A17E5" w14:textId="77777777" w:rsidR="00AB198D" w:rsidRDefault="00AB198D" w:rsidP="00AB198D">
      <w:pPr>
        <w:pStyle w:val="FootnoteText"/>
      </w:pPr>
      <w:r>
        <w:rPr>
          <w:rStyle w:val="FootnoteReference"/>
        </w:rPr>
        <w:footnoteRef/>
      </w:r>
      <w:r>
        <w:t xml:space="preserve"> </w:t>
      </w:r>
      <w:r w:rsidRPr="00840516">
        <w:t>IFRS S1 General Requirements for Disclosure of Sustainability-related Financial Information</w:t>
      </w:r>
      <w:r>
        <w:t xml:space="preserve"> (2023).</w:t>
      </w:r>
    </w:p>
  </w:footnote>
  <w:footnote w:id="13">
    <w:p w14:paraId="29939338" w14:textId="77777777" w:rsidR="00AB198D" w:rsidRDefault="00AB198D" w:rsidP="00AB198D">
      <w:pPr>
        <w:pStyle w:val="FootnoteText"/>
      </w:pPr>
      <w:r>
        <w:rPr>
          <w:rStyle w:val="FootnoteReference"/>
        </w:rPr>
        <w:footnoteRef/>
      </w:r>
      <w:r>
        <w:t xml:space="preserve"> CDP full corporate questionnaire (2024).</w:t>
      </w:r>
    </w:p>
  </w:footnote>
  <w:footnote w:id="14">
    <w:p w14:paraId="1D839BD2" w14:textId="77777777" w:rsidR="00AB198D" w:rsidRDefault="00AB198D" w:rsidP="00AB198D">
      <w:pPr>
        <w:pStyle w:val="FootnoteText"/>
      </w:pPr>
      <w:r>
        <w:rPr>
          <w:rStyle w:val="FootnoteReference"/>
        </w:rPr>
        <w:footnoteRef/>
      </w:r>
      <w:r>
        <w:t xml:space="preserve"> GRI 2: General Disclosures (2021).</w:t>
      </w:r>
    </w:p>
  </w:footnote>
  <w:footnote w:id="15">
    <w:p w14:paraId="5CFD7DE9" w14:textId="77777777" w:rsidR="00AB198D" w:rsidRDefault="00AB198D" w:rsidP="00AB198D">
      <w:pPr>
        <w:pStyle w:val="FootnoteText"/>
      </w:pPr>
      <w:r>
        <w:rPr>
          <w:rStyle w:val="FootnoteReference"/>
        </w:rPr>
        <w:footnoteRef/>
      </w:r>
      <w:r>
        <w:t xml:space="preserve"> </w:t>
      </w:r>
      <w:r w:rsidRPr="00840516">
        <w:t>IFRS S1 General Requirements for Disclosure of Sustainability-related Financial Information</w:t>
      </w:r>
      <w:r>
        <w:t xml:space="preserve"> (2023).</w:t>
      </w:r>
    </w:p>
  </w:footnote>
  <w:footnote w:id="16">
    <w:p w14:paraId="03D43D73" w14:textId="77777777" w:rsidR="00AB198D" w:rsidRDefault="00AB198D" w:rsidP="00AB198D">
      <w:pPr>
        <w:pStyle w:val="FootnoteText"/>
      </w:pPr>
      <w:r>
        <w:rPr>
          <w:rStyle w:val="FootnoteReference"/>
        </w:rPr>
        <w:footnoteRef/>
      </w:r>
      <w:r>
        <w:t xml:space="preserve"> CDP full corporate questionnaire (2024).</w:t>
      </w:r>
    </w:p>
  </w:footnote>
  <w:footnote w:id="17">
    <w:p w14:paraId="0046042D" w14:textId="77777777" w:rsidR="00AB198D" w:rsidRDefault="00AB198D" w:rsidP="00AB198D">
      <w:pPr>
        <w:pStyle w:val="FootnoteText"/>
      </w:pPr>
      <w:r>
        <w:rPr>
          <w:rStyle w:val="FootnoteReference"/>
        </w:rPr>
        <w:footnoteRef/>
      </w:r>
      <w:r>
        <w:t xml:space="preserve"> GRI 2: General Disclosures (2021).</w:t>
      </w:r>
    </w:p>
  </w:footnote>
  <w:footnote w:id="18">
    <w:p w14:paraId="191AE9F2" w14:textId="77777777" w:rsidR="00AB198D" w:rsidRDefault="00AB198D" w:rsidP="00AB198D">
      <w:pPr>
        <w:pStyle w:val="FootnoteText"/>
      </w:pPr>
      <w:r>
        <w:rPr>
          <w:rStyle w:val="FootnoteReference"/>
        </w:rPr>
        <w:footnoteRef/>
      </w:r>
      <w:r>
        <w:t xml:space="preserve"> </w:t>
      </w:r>
      <w:r w:rsidRPr="00840516">
        <w:t>IFRS S1 General Requirements for Disclosure of Sustainability-related Financial Information</w:t>
      </w:r>
      <w:r>
        <w:t xml:space="preserve"> (2023).</w:t>
      </w:r>
    </w:p>
  </w:footnote>
  <w:footnote w:id="19">
    <w:p w14:paraId="388DBA37" w14:textId="77777777" w:rsidR="00AB198D" w:rsidRDefault="00AB198D" w:rsidP="00AB198D">
      <w:pPr>
        <w:pStyle w:val="FootnoteText"/>
      </w:pPr>
      <w:r>
        <w:rPr>
          <w:rStyle w:val="FootnoteReference"/>
        </w:rPr>
        <w:footnoteRef/>
      </w:r>
      <w:r>
        <w:t xml:space="preserve"> ESRS 1: 10.4 </w:t>
      </w:r>
      <w:r w:rsidRPr="001500D8">
        <w:t>Transitional provision: List of Disclosure Requirements that are phased-in</w:t>
      </w:r>
      <w:r>
        <w:t xml:space="preserve"> (2023).</w:t>
      </w:r>
    </w:p>
  </w:footnote>
  <w:footnote w:id="20">
    <w:p w14:paraId="1A49197F" w14:textId="56DF2800" w:rsidR="008079C2" w:rsidRDefault="008079C2">
      <w:pPr>
        <w:pStyle w:val="FootnoteText"/>
      </w:pPr>
      <w:r>
        <w:rPr>
          <w:rStyle w:val="FootnoteReference"/>
        </w:rPr>
        <w:footnoteRef/>
      </w:r>
      <w:r>
        <w:t xml:space="preserve"> Final Report: </w:t>
      </w:r>
      <w:r w:rsidRPr="008079C2">
        <w:t>Recommendations of the Task Force on Climate-related Financial Disclosures</w:t>
      </w:r>
      <w:r>
        <w:t xml:space="preserve">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AE9"/>
    <w:multiLevelType w:val="multilevel"/>
    <w:tmpl w:val="2DC09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723251"/>
    <w:multiLevelType w:val="multilevel"/>
    <w:tmpl w:val="000A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51D2B"/>
    <w:multiLevelType w:val="hybridMultilevel"/>
    <w:tmpl w:val="987A1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E15E9"/>
    <w:multiLevelType w:val="multilevel"/>
    <w:tmpl w:val="8E2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53294"/>
    <w:multiLevelType w:val="multilevel"/>
    <w:tmpl w:val="2C1C71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2534FEC"/>
    <w:multiLevelType w:val="multilevel"/>
    <w:tmpl w:val="9A0A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0C37FC"/>
    <w:multiLevelType w:val="multilevel"/>
    <w:tmpl w:val="F740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431D7B"/>
    <w:multiLevelType w:val="hybridMultilevel"/>
    <w:tmpl w:val="987A1F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48151E"/>
    <w:multiLevelType w:val="multilevel"/>
    <w:tmpl w:val="8B6A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270AC8"/>
    <w:multiLevelType w:val="hybridMultilevel"/>
    <w:tmpl w:val="3ED6F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B5DCE"/>
    <w:multiLevelType w:val="multilevel"/>
    <w:tmpl w:val="F582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A402D4"/>
    <w:multiLevelType w:val="multilevel"/>
    <w:tmpl w:val="494A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B02EE5"/>
    <w:multiLevelType w:val="multilevel"/>
    <w:tmpl w:val="8BEC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541167">
    <w:abstractNumId w:val="2"/>
  </w:num>
  <w:num w:numId="2" w16cid:durableId="1916091811">
    <w:abstractNumId w:val="0"/>
  </w:num>
  <w:num w:numId="3" w16cid:durableId="1292907308">
    <w:abstractNumId w:val="4"/>
  </w:num>
  <w:num w:numId="4" w16cid:durableId="720859518">
    <w:abstractNumId w:val="6"/>
  </w:num>
  <w:num w:numId="5" w16cid:durableId="384066727">
    <w:abstractNumId w:val="1"/>
  </w:num>
  <w:num w:numId="6" w16cid:durableId="195971466">
    <w:abstractNumId w:val="10"/>
  </w:num>
  <w:num w:numId="7" w16cid:durableId="914971576">
    <w:abstractNumId w:val="5"/>
  </w:num>
  <w:num w:numId="8" w16cid:durableId="268704557">
    <w:abstractNumId w:val="9"/>
  </w:num>
  <w:num w:numId="9" w16cid:durableId="866407757">
    <w:abstractNumId w:val="8"/>
  </w:num>
  <w:num w:numId="10" w16cid:durableId="219750344">
    <w:abstractNumId w:val="3"/>
  </w:num>
  <w:num w:numId="11" w16cid:durableId="1357542254">
    <w:abstractNumId w:val="11"/>
  </w:num>
  <w:num w:numId="12" w16cid:durableId="590549540">
    <w:abstractNumId w:val="12"/>
  </w:num>
  <w:num w:numId="13" w16cid:durableId="798110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A1"/>
    <w:rsid w:val="00013755"/>
    <w:rsid w:val="00021146"/>
    <w:rsid w:val="00075299"/>
    <w:rsid w:val="0009519C"/>
    <w:rsid w:val="00137506"/>
    <w:rsid w:val="00171410"/>
    <w:rsid w:val="001A19A9"/>
    <w:rsid w:val="001B2D55"/>
    <w:rsid w:val="001B6DC5"/>
    <w:rsid w:val="001E7812"/>
    <w:rsid w:val="00221365"/>
    <w:rsid w:val="0022782A"/>
    <w:rsid w:val="00275A62"/>
    <w:rsid w:val="002929A9"/>
    <w:rsid w:val="00295B22"/>
    <w:rsid w:val="002E3C90"/>
    <w:rsid w:val="003658D8"/>
    <w:rsid w:val="003D23E6"/>
    <w:rsid w:val="003D4285"/>
    <w:rsid w:val="003E0ECF"/>
    <w:rsid w:val="0042124E"/>
    <w:rsid w:val="00427798"/>
    <w:rsid w:val="00436914"/>
    <w:rsid w:val="00462443"/>
    <w:rsid w:val="004653FC"/>
    <w:rsid w:val="004C4F14"/>
    <w:rsid w:val="004D6F4F"/>
    <w:rsid w:val="005210BE"/>
    <w:rsid w:val="005E3A75"/>
    <w:rsid w:val="005F7571"/>
    <w:rsid w:val="00602D29"/>
    <w:rsid w:val="00604F1C"/>
    <w:rsid w:val="00607B00"/>
    <w:rsid w:val="00617AA0"/>
    <w:rsid w:val="00622E24"/>
    <w:rsid w:val="00626581"/>
    <w:rsid w:val="00627E85"/>
    <w:rsid w:val="00634003"/>
    <w:rsid w:val="00655C70"/>
    <w:rsid w:val="006768B6"/>
    <w:rsid w:val="00693FC0"/>
    <w:rsid w:val="00697BAF"/>
    <w:rsid w:val="006E092D"/>
    <w:rsid w:val="007147F5"/>
    <w:rsid w:val="00721FC8"/>
    <w:rsid w:val="00744AA7"/>
    <w:rsid w:val="007679D3"/>
    <w:rsid w:val="008079C2"/>
    <w:rsid w:val="0082211A"/>
    <w:rsid w:val="0083062D"/>
    <w:rsid w:val="00840516"/>
    <w:rsid w:val="00885C68"/>
    <w:rsid w:val="0088711F"/>
    <w:rsid w:val="008B0D87"/>
    <w:rsid w:val="008B1A23"/>
    <w:rsid w:val="009213C7"/>
    <w:rsid w:val="009F5FD8"/>
    <w:rsid w:val="00A0474D"/>
    <w:rsid w:val="00A42056"/>
    <w:rsid w:val="00A71D6B"/>
    <w:rsid w:val="00A73BEB"/>
    <w:rsid w:val="00A821A1"/>
    <w:rsid w:val="00AA34C4"/>
    <w:rsid w:val="00AB198D"/>
    <w:rsid w:val="00AC46E9"/>
    <w:rsid w:val="00AC6196"/>
    <w:rsid w:val="00B24FDD"/>
    <w:rsid w:val="00B446F1"/>
    <w:rsid w:val="00B75D86"/>
    <w:rsid w:val="00BD55FF"/>
    <w:rsid w:val="00C40A5A"/>
    <w:rsid w:val="00C77941"/>
    <w:rsid w:val="00C877BD"/>
    <w:rsid w:val="00C965E2"/>
    <w:rsid w:val="00CC1452"/>
    <w:rsid w:val="00CC1980"/>
    <w:rsid w:val="00CE0E4F"/>
    <w:rsid w:val="00CE32DC"/>
    <w:rsid w:val="00D40E80"/>
    <w:rsid w:val="00D53756"/>
    <w:rsid w:val="00D73AF5"/>
    <w:rsid w:val="00DA264D"/>
    <w:rsid w:val="00DD7B37"/>
    <w:rsid w:val="00E906C4"/>
    <w:rsid w:val="00EB7CDB"/>
    <w:rsid w:val="00EE090C"/>
    <w:rsid w:val="00F57E60"/>
    <w:rsid w:val="00F65BF2"/>
    <w:rsid w:val="00FC3D0B"/>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479C7"/>
  <w15:chartTrackingRefBased/>
  <w15:docId w15:val="{A3B21408-B3B1-A140-8B24-5E4739E4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23"/>
  </w:style>
  <w:style w:type="paragraph" w:styleId="Heading1">
    <w:name w:val="heading 1"/>
    <w:basedOn w:val="Normal"/>
    <w:next w:val="Normal"/>
    <w:link w:val="Heading1Char"/>
    <w:uiPriority w:val="9"/>
    <w:qFormat/>
    <w:rsid w:val="00A821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21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21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21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21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21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1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1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1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1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21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21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21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21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2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1A1"/>
    <w:rPr>
      <w:rFonts w:eastAsiaTheme="majorEastAsia" w:cstheme="majorBidi"/>
      <w:color w:val="272727" w:themeColor="text1" w:themeTint="D8"/>
    </w:rPr>
  </w:style>
  <w:style w:type="paragraph" w:styleId="Title">
    <w:name w:val="Title"/>
    <w:basedOn w:val="Normal"/>
    <w:next w:val="Normal"/>
    <w:link w:val="TitleChar"/>
    <w:uiPriority w:val="10"/>
    <w:qFormat/>
    <w:rsid w:val="00A821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1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1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21A1"/>
    <w:rPr>
      <w:i/>
      <w:iCs/>
      <w:color w:val="404040" w:themeColor="text1" w:themeTint="BF"/>
    </w:rPr>
  </w:style>
  <w:style w:type="paragraph" w:styleId="ListParagraph">
    <w:name w:val="List Paragraph"/>
    <w:basedOn w:val="Normal"/>
    <w:uiPriority w:val="34"/>
    <w:qFormat/>
    <w:rsid w:val="00A821A1"/>
    <w:pPr>
      <w:ind w:left="720"/>
      <w:contextualSpacing/>
    </w:pPr>
  </w:style>
  <w:style w:type="character" w:styleId="IntenseEmphasis">
    <w:name w:val="Intense Emphasis"/>
    <w:basedOn w:val="DefaultParagraphFont"/>
    <w:uiPriority w:val="21"/>
    <w:qFormat/>
    <w:rsid w:val="00A821A1"/>
    <w:rPr>
      <w:i/>
      <w:iCs/>
      <w:color w:val="2F5496" w:themeColor="accent1" w:themeShade="BF"/>
    </w:rPr>
  </w:style>
  <w:style w:type="paragraph" w:styleId="IntenseQuote">
    <w:name w:val="Intense Quote"/>
    <w:basedOn w:val="Normal"/>
    <w:next w:val="Normal"/>
    <w:link w:val="IntenseQuoteChar"/>
    <w:uiPriority w:val="30"/>
    <w:qFormat/>
    <w:rsid w:val="00A82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21A1"/>
    <w:rPr>
      <w:i/>
      <w:iCs/>
      <w:color w:val="2F5496" w:themeColor="accent1" w:themeShade="BF"/>
    </w:rPr>
  </w:style>
  <w:style w:type="character" w:styleId="IntenseReference">
    <w:name w:val="Intense Reference"/>
    <w:basedOn w:val="DefaultParagraphFont"/>
    <w:uiPriority w:val="32"/>
    <w:qFormat/>
    <w:rsid w:val="00A821A1"/>
    <w:rPr>
      <w:b/>
      <w:bCs/>
      <w:smallCaps/>
      <w:color w:val="2F5496" w:themeColor="accent1" w:themeShade="BF"/>
      <w:spacing w:val="5"/>
    </w:rPr>
  </w:style>
  <w:style w:type="character" w:styleId="Strong">
    <w:name w:val="Strong"/>
    <w:basedOn w:val="DefaultParagraphFont"/>
    <w:uiPriority w:val="22"/>
    <w:qFormat/>
    <w:rsid w:val="00427798"/>
    <w:rPr>
      <w:b/>
      <w:bCs/>
    </w:rPr>
  </w:style>
  <w:style w:type="character" w:styleId="CommentReference">
    <w:name w:val="annotation reference"/>
    <w:basedOn w:val="DefaultParagraphFont"/>
    <w:uiPriority w:val="99"/>
    <w:semiHidden/>
    <w:unhideWhenUsed/>
    <w:rsid w:val="00221365"/>
    <w:rPr>
      <w:sz w:val="16"/>
      <w:szCs w:val="16"/>
    </w:rPr>
  </w:style>
  <w:style w:type="paragraph" w:styleId="CommentText">
    <w:name w:val="annotation text"/>
    <w:basedOn w:val="Normal"/>
    <w:link w:val="CommentTextChar"/>
    <w:uiPriority w:val="99"/>
    <w:semiHidden/>
    <w:unhideWhenUsed/>
    <w:rsid w:val="00221365"/>
    <w:rPr>
      <w:sz w:val="20"/>
      <w:szCs w:val="20"/>
    </w:rPr>
  </w:style>
  <w:style w:type="character" w:customStyle="1" w:styleId="CommentTextChar">
    <w:name w:val="Comment Text Char"/>
    <w:basedOn w:val="DefaultParagraphFont"/>
    <w:link w:val="CommentText"/>
    <w:uiPriority w:val="99"/>
    <w:semiHidden/>
    <w:rsid w:val="00221365"/>
    <w:rPr>
      <w:sz w:val="20"/>
      <w:szCs w:val="20"/>
    </w:rPr>
  </w:style>
  <w:style w:type="paragraph" w:styleId="CommentSubject">
    <w:name w:val="annotation subject"/>
    <w:basedOn w:val="CommentText"/>
    <w:next w:val="CommentText"/>
    <w:link w:val="CommentSubjectChar"/>
    <w:uiPriority w:val="99"/>
    <w:semiHidden/>
    <w:unhideWhenUsed/>
    <w:rsid w:val="00221365"/>
    <w:rPr>
      <w:b/>
      <w:bCs/>
    </w:rPr>
  </w:style>
  <w:style w:type="character" w:customStyle="1" w:styleId="CommentSubjectChar">
    <w:name w:val="Comment Subject Char"/>
    <w:basedOn w:val="CommentTextChar"/>
    <w:link w:val="CommentSubject"/>
    <w:uiPriority w:val="99"/>
    <w:semiHidden/>
    <w:rsid w:val="00221365"/>
    <w:rPr>
      <w:b/>
      <w:bCs/>
      <w:sz w:val="20"/>
      <w:szCs w:val="20"/>
    </w:rPr>
  </w:style>
  <w:style w:type="paragraph" w:styleId="Revision">
    <w:name w:val="Revision"/>
    <w:hidden/>
    <w:uiPriority w:val="99"/>
    <w:semiHidden/>
    <w:rsid w:val="002E3C90"/>
  </w:style>
  <w:style w:type="paragraph" w:styleId="FootnoteText">
    <w:name w:val="footnote text"/>
    <w:basedOn w:val="Normal"/>
    <w:link w:val="FootnoteTextChar"/>
    <w:uiPriority w:val="99"/>
    <w:semiHidden/>
    <w:unhideWhenUsed/>
    <w:rsid w:val="00840516"/>
    <w:rPr>
      <w:sz w:val="20"/>
      <w:szCs w:val="20"/>
    </w:rPr>
  </w:style>
  <w:style w:type="character" w:customStyle="1" w:styleId="FootnoteTextChar">
    <w:name w:val="Footnote Text Char"/>
    <w:basedOn w:val="DefaultParagraphFont"/>
    <w:link w:val="FootnoteText"/>
    <w:uiPriority w:val="99"/>
    <w:semiHidden/>
    <w:rsid w:val="00840516"/>
    <w:rPr>
      <w:sz w:val="20"/>
      <w:szCs w:val="20"/>
    </w:rPr>
  </w:style>
  <w:style w:type="character" w:styleId="FootnoteReference">
    <w:name w:val="footnote reference"/>
    <w:basedOn w:val="DefaultParagraphFont"/>
    <w:uiPriority w:val="99"/>
    <w:semiHidden/>
    <w:unhideWhenUsed/>
    <w:rsid w:val="00840516"/>
    <w:rPr>
      <w:vertAlign w:val="superscript"/>
    </w:rPr>
  </w:style>
  <w:style w:type="paragraph" w:customStyle="1" w:styleId="paragraph">
    <w:name w:val="paragraph"/>
    <w:basedOn w:val="Normal"/>
    <w:rsid w:val="00627E85"/>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27E85"/>
  </w:style>
  <w:style w:type="character" w:customStyle="1" w:styleId="eop">
    <w:name w:val="eop"/>
    <w:basedOn w:val="DefaultParagraphFont"/>
    <w:rsid w:val="00627E85"/>
  </w:style>
  <w:style w:type="character" w:customStyle="1" w:styleId="superscript">
    <w:name w:val="superscript"/>
    <w:basedOn w:val="DefaultParagraphFont"/>
    <w:rsid w:val="00627E85"/>
  </w:style>
  <w:style w:type="character" w:customStyle="1" w:styleId="findhit">
    <w:name w:val="findhit"/>
    <w:basedOn w:val="DefaultParagraphFont"/>
    <w:rsid w:val="0062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5081">
      <w:bodyDiv w:val="1"/>
      <w:marLeft w:val="0"/>
      <w:marRight w:val="0"/>
      <w:marTop w:val="0"/>
      <w:marBottom w:val="0"/>
      <w:divBdr>
        <w:top w:val="none" w:sz="0" w:space="0" w:color="auto"/>
        <w:left w:val="none" w:sz="0" w:space="0" w:color="auto"/>
        <w:bottom w:val="none" w:sz="0" w:space="0" w:color="auto"/>
        <w:right w:val="none" w:sz="0" w:space="0" w:color="auto"/>
      </w:divBdr>
    </w:div>
    <w:div w:id="298726615">
      <w:bodyDiv w:val="1"/>
      <w:marLeft w:val="0"/>
      <w:marRight w:val="0"/>
      <w:marTop w:val="0"/>
      <w:marBottom w:val="0"/>
      <w:divBdr>
        <w:top w:val="none" w:sz="0" w:space="0" w:color="auto"/>
        <w:left w:val="none" w:sz="0" w:space="0" w:color="auto"/>
        <w:bottom w:val="none" w:sz="0" w:space="0" w:color="auto"/>
        <w:right w:val="none" w:sz="0" w:space="0" w:color="auto"/>
      </w:divBdr>
    </w:div>
    <w:div w:id="342166888">
      <w:bodyDiv w:val="1"/>
      <w:marLeft w:val="0"/>
      <w:marRight w:val="0"/>
      <w:marTop w:val="0"/>
      <w:marBottom w:val="0"/>
      <w:divBdr>
        <w:top w:val="none" w:sz="0" w:space="0" w:color="auto"/>
        <w:left w:val="none" w:sz="0" w:space="0" w:color="auto"/>
        <w:bottom w:val="none" w:sz="0" w:space="0" w:color="auto"/>
        <w:right w:val="none" w:sz="0" w:space="0" w:color="auto"/>
      </w:divBdr>
      <w:divsChild>
        <w:div w:id="1056197742">
          <w:marLeft w:val="0"/>
          <w:marRight w:val="0"/>
          <w:marTop w:val="0"/>
          <w:marBottom w:val="0"/>
          <w:divBdr>
            <w:top w:val="none" w:sz="0" w:space="0" w:color="auto"/>
            <w:left w:val="none" w:sz="0" w:space="0" w:color="auto"/>
            <w:bottom w:val="none" w:sz="0" w:space="0" w:color="auto"/>
            <w:right w:val="none" w:sz="0" w:space="0" w:color="auto"/>
          </w:divBdr>
        </w:div>
        <w:div w:id="829641623">
          <w:marLeft w:val="0"/>
          <w:marRight w:val="0"/>
          <w:marTop w:val="0"/>
          <w:marBottom w:val="0"/>
          <w:divBdr>
            <w:top w:val="none" w:sz="0" w:space="0" w:color="auto"/>
            <w:left w:val="none" w:sz="0" w:space="0" w:color="auto"/>
            <w:bottom w:val="none" w:sz="0" w:space="0" w:color="auto"/>
            <w:right w:val="none" w:sz="0" w:space="0" w:color="auto"/>
          </w:divBdr>
        </w:div>
        <w:div w:id="1972787899">
          <w:marLeft w:val="0"/>
          <w:marRight w:val="0"/>
          <w:marTop w:val="0"/>
          <w:marBottom w:val="0"/>
          <w:divBdr>
            <w:top w:val="none" w:sz="0" w:space="0" w:color="auto"/>
            <w:left w:val="none" w:sz="0" w:space="0" w:color="auto"/>
            <w:bottom w:val="none" w:sz="0" w:space="0" w:color="auto"/>
            <w:right w:val="none" w:sz="0" w:space="0" w:color="auto"/>
          </w:divBdr>
        </w:div>
        <w:div w:id="1527668965">
          <w:marLeft w:val="0"/>
          <w:marRight w:val="0"/>
          <w:marTop w:val="0"/>
          <w:marBottom w:val="0"/>
          <w:divBdr>
            <w:top w:val="none" w:sz="0" w:space="0" w:color="auto"/>
            <w:left w:val="none" w:sz="0" w:space="0" w:color="auto"/>
            <w:bottom w:val="none" w:sz="0" w:space="0" w:color="auto"/>
            <w:right w:val="none" w:sz="0" w:space="0" w:color="auto"/>
          </w:divBdr>
        </w:div>
        <w:div w:id="1515725381">
          <w:marLeft w:val="0"/>
          <w:marRight w:val="0"/>
          <w:marTop w:val="0"/>
          <w:marBottom w:val="0"/>
          <w:divBdr>
            <w:top w:val="none" w:sz="0" w:space="0" w:color="auto"/>
            <w:left w:val="none" w:sz="0" w:space="0" w:color="auto"/>
            <w:bottom w:val="none" w:sz="0" w:space="0" w:color="auto"/>
            <w:right w:val="none" w:sz="0" w:space="0" w:color="auto"/>
          </w:divBdr>
        </w:div>
        <w:div w:id="1176502632">
          <w:marLeft w:val="0"/>
          <w:marRight w:val="0"/>
          <w:marTop w:val="0"/>
          <w:marBottom w:val="0"/>
          <w:divBdr>
            <w:top w:val="none" w:sz="0" w:space="0" w:color="auto"/>
            <w:left w:val="none" w:sz="0" w:space="0" w:color="auto"/>
            <w:bottom w:val="none" w:sz="0" w:space="0" w:color="auto"/>
            <w:right w:val="none" w:sz="0" w:space="0" w:color="auto"/>
          </w:divBdr>
        </w:div>
        <w:div w:id="88701271">
          <w:marLeft w:val="0"/>
          <w:marRight w:val="0"/>
          <w:marTop w:val="0"/>
          <w:marBottom w:val="0"/>
          <w:divBdr>
            <w:top w:val="none" w:sz="0" w:space="0" w:color="auto"/>
            <w:left w:val="none" w:sz="0" w:space="0" w:color="auto"/>
            <w:bottom w:val="none" w:sz="0" w:space="0" w:color="auto"/>
            <w:right w:val="none" w:sz="0" w:space="0" w:color="auto"/>
          </w:divBdr>
        </w:div>
        <w:div w:id="460224792">
          <w:marLeft w:val="0"/>
          <w:marRight w:val="0"/>
          <w:marTop w:val="0"/>
          <w:marBottom w:val="0"/>
          <w:divBdr>
            <w:top w:val="none" w:sz="0" w:space="0" w:color="auto"/>
            <w:left w:val="none" w:sz="0" w:space="0" w:color="auto"/>
            <w:bottom w:val="none" w:sz="0" w:space="0" w:color="auto"/>
            <w:right w:val="none" w:sz="0" w:space="0" w:color="auto"/>
          </w:divBdr>
        </w:div>
        <w:div w:id="983117987">
          <w:marLeft w:val="0"/>
          <w:marRight w:val="0"/>
          <w:marTop w:val="0"/>
          <w:marBottom w:val="0"/>
          <w:divBdr>
            <w:top w:val="none" w:sz="0" w:space="0" w:color="auto"/>
            <w:left w:val="none" w:sz="0" w:space="0" w:color="auto"/>
            <w:bottom w:val="none" w:sz="0" w:space="0" w:color="auto"/>
            <w:right w:val="none" w:sz="0" w:space="0" w:color="auto"/>
          </w:divBdr>
        </w:div>
        <w:div w:id="2053259897">
          <w:marLeft w:val="0"/>
          <w:marRight w:val="0"/>
          <w:marTop w:val="0"/>
          <w:marBottom w:val="0"/>
          <w:divBdr>
            <w:top w:val="none" w:sz="0" w:space="0" w:color="auto"/>
            <w:left w:val="none" w:sz="0" w:space="0" w:color="auto"/>
            <w:bottom w:val="none" w:sz="0" w:space="0" w:color="auto"/>
            <w:right w:val="none" w:sz="0" w:space="0" w:color="auto"/>
          </w:divBdr>
        </w:div>
        <w:div w:id="952981860">
          <w:marLeft w:val="0"/>
          <w:marRight w:val="0"/>
          <w:marTop w:val="0"/>
          <w:marBottom w:val="0"/>
          <w:divBdr>
            <w:top w:val="none" w:sz="0" w:space="0" w:color="auto"/>
            <w:left w:val="none" w:sz="0" w:space="0" w:color="auto"/>
            <w:bottom w:val="none" w:sz="0" w:space="0" w:color="auto"/>
            <w:right w:val="none" w:sz="0" w:space="0" w:color="auto"/>
          </w:divBdr>
        </w:div>
        <w:div w:id="35937169">
          <w:marLeft w:val="0"/>
          <w:marRight w:val="0"/>
          <w:marTop w:val="0"/>
          <w:marBottom w:val="0"/>
          <w:divBdr>
            <w:top w:val="none" w:sz="0" w:space="0" w:color="auto"/>
            <w:left w:val="none" w:sz="0" w:space="0" w:color="auto"/>
            <w:bottom w:val="none" w:sz="0" w:space="0" w:color="auto"/>
            <w:right w:val="none" w:sz="0" w:space="0" w:color="auto"/>
          </w:divBdr>
        </w:div>
        <w:div w:id="2068606710">
          <w:marLeft w:val="0"/>
          <w:marRight w:val="0"/>
          <w:marTop w:val="0"/>
          <w:marBottom w:val="0"/>
          <w:divBdr>
            <w:top w:val="none" w:sz="0" w:space="0" w:color="auto"/>
            <w:left w:val="none" w:sz="0" w:space="0" w:color="auto"/>
            <w:bottom w:val="none" w:sz="0" w:space="0" w:color="auto"/>
            <w:right w:val="none" w:sz="0" w:space="0" w:color="auto"/>
          </w:divBdr>
        </w:div>
        <w:div w:id="164369756">
          <w:marLeft w:val="0"/>
          <w:marRight w:val="0"/>
          <w:marTop w:val="0"/>
          <w:marBottom w:val="0"/>
          <w:divBdr>
            <w:top w:val="none" w:sz="0" w:space="0" w:color="auto"/>
            <w:left w:val="none" w:sz="0" w:space="0" w:color="auto"/>
            <w:bottom w:val="none" w:sz="0" w:space="0" w:color="auto"/>
            <w:right w:val="none" w:sz="0" w:space="0" w:color="auto"/>
          </w:divBdr>
        </w:div>
        <w:div w:id="110055114">
          <w:marLeft w:val="0"/>
          <w:marRight w:val="0"/>
          <w:marTop w:val="0"/>
          <w:marBottom w:val="0"/>
          <w:divBdr>
            <w:top w:val="none" w:sz="0" w:space="0" w:color="auto"/>
            <w:left w:val="none" w:sz="0" w:space="0" w:color="auto"/>
            <w:bottom w:val="none" w:sz="0" w:space="0" w:color="auto"/>
            <w:right w:val="none" w:sz="0" w:space="0" w:color="auto"/>
          </w:divBdr>
        </w:div>
        <w:div w:id="1132560139">
          <w:marLeft w:val="0"/>
          <w:marRight w:val="0"/>
          <w:marTop w:val="0"/>
          <w:marBottom w:val="0"/>
          <w:divBdr>
            <w:top w:val="none" w:sz="0" w:space="0" w:color="auto"/>
            <w:left w:val="none" w:sz="0" w:space="0" w:color="auto"/>
            <w:bottom w:val="none" w:sz="0" w:space="0" w:color="auto"/>
            <w:right w:val="none" w:sz="0" w:space="0" w:color="auto"/>
          </w:divBdr>
        </w:div>
        <w:div w:id="1860049592">
          <w:marLeft w:val="0"/>
          <w:marRight w:val="0"/>
          <w:marTop w:val="0"/>
          <w:marBottom w:val="0"/>
          <w:divBdr>
            <w:top w:val="none" w:sz="0" w:space="0" w:color="auto"/>
            <w:left w:val="none" w:sz="0" w:space="0" w:color="auto"/>
            <w:bottom w:val="none" w:sz="0" w:space="0" w:color="auto"/>
            <w:right w:val="none" w:sz="0" w:space="0" w:color="auto"/>
          </w:divBdr>
        </w:div>
        <w:div w:id="294145000">
          <w:marLeft w:val="0"/>
          <w:marRight w:val="0"/>
          <w:marTop w:val="0"/>
          <w:marBottom w:val="0"/>
          <w:divBdr>
            <w:top w:val="none" w:sz="0" w:space="0" w:color="auto"/>
            <w:left w:val="none" w:sz="0" w:space="0" w:color="auto"/>
            <w:bottom w:val="none" w:sz="0" w:space="0" w:color="auto"/>
            <w:right w:val="none" w:sz="0" w:space="0" w:color="auto"/>
          </w:divBdr>
        </w:div>
        <w:div w:id="700475685">
          <w:marLeft w:val="0"/>
          <w:marRight w:val="0"/>
          <w:marTop w:val="0"/>
          <w:marBottom w:val="0"/>
          <w:divBdr>
            <w:top w:val="none" w:sz="0" w:space="0" w:color="auto"/>
            <w:left w:val="none" w:sz="0" w:space="0" w:color="auto"/>
            <w:bottom w:val="none" w:sz="0" w:space="0" w:color="auto"/>
            <w:right w:val="none" w:sz="0" w:space="0" w:color="auto"/>
          </w:divBdr>
        </w:div>
        <w:div w:id="1548641405">
          <w:marLeft w:val="0"/>
          <w:marRight w:val="0"/>
          <w:marTop w:val="0"/>
          <w:marBottom w:val="0"/>
          <w:divBdr>
            <w:top w:val="none" w:sz="0" w:space="0" w:color="auto"/>
            <w:left w:val="none" w:sz="0" w:space="0" w:color="auto"/>
            <w:bottom w:val="none" w:sz="0" w:space="0" w:color="auto"/>
            <w:right w:val="none" w:sz="0" w:space="0" w:color="auto"/>
          </w:divBdr>
        </w:div>
        <w:div w:id="502359148">
          <w:marLeft w:val="0"/>
          <w:marRight w:val="0"/>
          <w:marTop w:val="0"/>
          <w:marBottom w:val="0"/>
          <w:divBdr>
            <w:top w:val="none" w:sz="0" w:space="0" w:color="auto"/>
            <w:left w:val="none" w:sz="0" w:space="0" w:color="auto"/>
            <w:bottom w:val="none" w:sz="0" w:space="0" w:color="auto"/>
            <w:right w:val="none" w:sz="0" w:space="0" w:color="auto"/>
          </w:divBdr>
          <w:divsChild>
            <w:div w:id="808787544">
              <w:marLeft w:val="0"/>
              <w:marRight w:val="0"/>
              <w:marTop w:val="0"/>
              <w:marBottom w:val="0"/>
              <w:divBdr>
                <w:top w:val="none" w:sz="0" w:space="0" w:color="auto"/>
                <w:left w:val="none" w:sz="0" w:space="0" w:color="auto"/>
                <w:bottom w:val="none" w:sz="0" w:space="0" w:color="auto"/>
                <w:right w:val="none" w:sz="0" w:space="0" w:color="auto"/>
              </w:divBdr>
            </w:div>
            <w:div w:id="913971978">
              <w:marLeft w:val="0"/>
              <w:marRight w:val="0"/>
              <w:marTop w:val="0"/>
              <w:marBottom w:val="0"/>
              <w:divBdr>
                <w:top w:val="none" w:sz="0" w:space="0" w:color="auto"/>
                <w:left w:val="none" w:sz="0" w:space="0" w:color="auto"/>
                <w:bottom w:val="none" w:sz="0" w:space="0" w:color="auto"/>
                <w:right w:val="none" w:sz="0" w:space="0" w:color="auto"/>
              </w:divBdr>
            </w:div>
            <w:div w:id="1768233915">
              <w:marLeft w:val="0"/>
              <w:marRight w:val="0"/>
              <w:marTop w:val="0"/>
              <w:marBottom w:val="0"/>
              <w:divBdr>
                <w:top w:val="none" w:sz="0" w:space="0" w:color="auto"/>
                <w:left w:val="none" w:sz="0" w:space="0" w:color="auto"/>
                <w:bottom w:val="none" w:sz="0" w:space="0" w:color="auto"/>
                <w:right w:val="none" w:sz="0" w:space="0" w:color="auto"/>
              </w:divBdr>
            </w:div>
            <w:div w:id="1410618841">
              <w:marLeft w:val="0"/>
              <w:marRight w:val="0"/>
              <w:marTop w:val="0"/>
              <w:marBottom w:val="0"/>
              <w:divBdr>
                <w:top w:val="none" w:sz="0" w:space="0" w:color="auto"/>
                <w:left w:val="none" w:sz="0" w:space="0" w:color="auto"/>
                <w:bottom w:val="none" w:sz="0" w:space="0" w:color="auto"/>
                <w:right w:val="none" w:sz="0" w:space="0" w:color="auto"/>
              </w:divBdr>
            </w:div>
            <w:div w:id="2081757094">
              <w:marLeft w:val="0"/>
              <w:marRight w:val="0"/>
              <w:marTop w:val="0"/>
              <w:marBottom w:val="0"/>
              <w:divBdr>
                <w:top w:val="none" w:sz="0" w:space="0" w:color="auto"/>
                <w:left w:val="none" w:sz="0" w:space="0" w:color="auto"/>
                <w:bottom w:val="none" w:sz="0" w:space="0" w:color="auto"/>
                <w:right w:val="none" w:sz="0" w:space="0" w:color="auto"/>
              </w:divBdr>
            </w:div>
            <w:div w:id="1119448492">
              <w:marLeft w:val="0"/>
              <w:marRight w:val="0"/>
              <w:marTop w:val="0"/>
              <w:marBottom w:val="0"/>
              <w:divBdr>
                <w:top w:val="none" w:sz="0" w:space="0" w:color="auto"/>
                <w:left w:val="none" w:sz="0" w:space="0" w:color="auto"/>
                <w:bottom w:val="none" w:sz="0" w:space="0" w:color="auto"/>
                <w:right w:val="none" w:sz="0" w:space="0" w:color="auto"/>
              </w:divBdr>
            </w:div>
            <w:div w:id="424352102">
              <w:marLeft w:val="0"/>
              <w:marRight w:val="0"/>
              <w:marTop w:val="0"/>
              <w:marBottom w:val="0"/>
              <w:divBdr>
                <w:top w:val="none" w:sz="0" w:space="0" w:color="auto"/>
                <w:left w:val="none" w:sz="0" w:space="0" w:color="auto"/>
                <w:bottom w:val="none" w:sz="0" w:space="0" w:color="auto"/>
                <w:right w:val="none" w:sz="0" w:space="0" w:color="auto"/>
              </w:divBdr>
            </w:div>
            <w:div w:id="1801268411">
              <w:marLeft w:val="0"/>
              <w:marRight w:val="0"/>
              <w:marTop w:val="0"/>
              <w:marBottom w:val="0"/>
              <w:divBdr>
                <w:top w:val="none" w:sz="0" w:space="0" w:color="auto"/>
                <w:left w:val="none" w:sz="0" w:space="0" w:color="auto"/>
                <w:bottom w:val="none" w:sz="0" w:space="0" w:color="auto"/>
                <w:right w:val="none" w:sz="0" w:space="0" w:color="auto"/>
              </w:divBdr>
            </w:div>
            <w:div w:id="666253980">
              <w:marLeft w:val="0"/>
              <w:marRight w:val="0"/>
              <w:marTop w:val="0"/>
              <w:marBottom w:val="0"/>
              <w:divBdr>
                <w:top w:val="none" w:sz="0" w:space="0" w:color="auto"/>
                <w:left w:val="none" w:sz="0" w:space="0" w:color="auto"/>
                <w:bottom w:val="none" w:sz="0" w:space="0" w:color="auto"/>
                <w:right w:val="none" w:sz="0" w:space="0" w:color="auto"/>
              </w:divBdr>
            </w:div>
            <w:div w:id="352656026">
              <w:marLeft w:val="0"/>
              <w:marRight w:val="0"/>
              <w:marTop w:val="0"/>
              <w:marBottom w:val="0"/>
              <w:divBdr>
                <w:top w:val="none" w:sz="0" w:space="0" w:color="auto"/>
                <w:left w:val="none" w:sz="0" w:space="0" w:color="auto"/>
                <w:bottom w:val="none" w:sz="0" w:space="0" w:color="auto"/>
                <w:right w:val="none" w:sz="0" w:space="0" w:color="auto"/>
              </w:divBdr>
            </w:div>
            <w:div w:id="599145967">
              <w:marLeft w:val="0"/>
              <w:marRight w:val="0"/>
              <w:marTop w:val="0"/>
              <w:marBottom w:val="0"/>
              <w:divBdr>
                <w:top w:val="none" w:sz="0" w:space="0" w:color="auto"/>
                <w:left w:val="none" w:sz="0" w:space="0" w:color="auto"/>
                <w:bottom w:val="none" w:sz="0" w:space="0" w:color="auto"/>
                <w:right w:val="none" w:sz="0" w:space="0" w:color="auto"/>
              </w:divBdr>
            </w:div>
            <w:div w:id="412630197">
              <w:marLeft w:val="0"/>
              <w:marRight w:val="0"/>
              <w:marTop w:val="0"/>
              <w:marBottom w:val="0"/>
              <w:divBdr>
                <w:top w:val="none" w:sz="0" w:space="0" w:color="auto"/>
                <w:left w:val="none" w:sz="0" w:space="0" w:color="auto"/>
                <w:bottom w:val="none" w:sz="0" w:space="0" w:color="auto"/>
                <w:right w:val="none" w:sz="0" w:space="0" w:color="auto"/>
              </w:divBdr>
            </w:div>
            <w:div w:id="983894252">
              <w:marLeft w:val="0"/>
              <w:marRight w:val="0"/>
              <w:marTop w:val="0"/>
              <w:marBottom w:val="0"/>
              <w:divBdr>
                <w:top w:val="none" w:sz="0" w:space="0" w:color="auto"/>
                <w:left w:val="none" w:sz="0" w:space="0" w:color="auto"/>
                <w:bottom w:val="none" w:sz="0" w:space="0" w:color="auto"/>
                <w:right w:val="none" w:sz="0" w:space="0" w:color="auto"/>
              </w:divBdr>
            </w:div>
            <w:div w:id="1464541225">
              <w:marLeft w:val="0"/>
              <w:marRight w:val="0"/>
              <w:marTop w:val="0"/>
              <w:marBottom w:val="0"/>
              <w:divBdr>
                <w:top w:val="none" w:sz="0" w:space="0" w:color="auto"/>
                <w:left w:val="none" w:sz="0" w:space="0" w:color="auto"/>
                <w:bottom w:val="none" w:sz="0" w:space="0" w:color="auto"/>
                <w:right w:val="none" w:sz="0" w:space="0" w:color="auto"/>
              </w:divBdr>
            </w:div>
            <w:div w:id="1618026537">
              <w:marLeft w:val="0"/>
              <w:marRight w:val="0"/>
              <w:marTop w:val="0"/>
              <w:marBottom w:val="0"/>
              <w:divBdr>
                <w:top w:val="none" w:sz="0" w:space="0" w:color="auto"/>
                <w:left w:val="none" w:sz="0" w:space="0" w:color="auto"/>
                <w:bottom w:val="none" w:sz="0" w:space="0" w:color="auto"/>
                <w:right w:val="none" w:sz="0" w:space="0" w:color="auto"/>
              </w:divBdr>
            </w:div>
            <w:div w:id="1596358355">
              <w:marLeft w:val="0"/>
              <w:marRight w:val="0"/>
              <w:marTop w:val="0"/>
              <w:marBottom w:val="0"/>
              <w:divBdr>
                <w:top w:val="none" w:sz="0" w:space="0" w:color="auto"/>
                <w:left w:val="none" w:sz="0" w:space="0" w:color="auto"/>
                <w:bottom w:val="none" w:sz="0" w:space="0" w:color="auto"/>
                <w:right w:val="none" w:sz="0" w:space="0" w:color="auto"/>
              </w:divBdr>
            </w:div>
            <w:div w:id="2104642112">
              <w:marLeft w:val="0"/>
              <w:marRight w:val="0"/>
              <w:marTop w:val="0"/>
              <w:marBottom w:val="0"/>
              <w:divBdr>
                <w:top w:val="none" w:sz="0" w:space="0" w:color="auto"/>
                <w:left w:val="none" w:sz="0" w:space="0" w:color="auto"/>
                <w:bottom w:val="none" w:sz="0" w:space="0" w:color="auto"/>
                <w:right w:val="none" w:sz="0" w:space="0" w:color="auto"/>
              </w:divBdr>
            </w:div>
            <w:div w:id="136919387">
              <w:marLeft w:val="0"/>
              <w:marRight w:val="0"/>
              <w:marTop w:val="0"/>
              <w:marBottom w:val="0"/>
              <w:divBdr>
                <w:top w:val="none" w:sz="0" w:space="0" w:color="auto"/>
                <w:left w:val="none" w:sz="0" w:space="0" w:color="auto"/>
                <w:bottom w:val="none" w:sz="0" w:space="0" w:color="auto"/>
                <w:right w:val="none" w:sz="0" w:space="0" w:color="auto"/>
              </w:divBdr>
            </w:div>
            <w:div w:id="1913809008">
              <w:marLeft w:val="0"/>
              <w:marRight w:val="0"/>
              <w:marTop w:val="0"/>
              <w:marBottom w:val="0"/>
              <w:divBdr>
                <w:top w:val="none" w:sz="0" w:space="0" w:color="auto"/>
                <w:left w:val="none" w:sz="0" w:space="0" w:color="auto"/>
                <w:bottom w:val="none" w:sz="0" w:space="0" w:color="auto"/>
                <w:right w:val="none" w:sz="0" w:space="0" w:color="auto"/>
              </w:divBdr>
            </w:div>
            <w:div w:id="753016811">
              <w:marLeft w:val="0"/>
              <w:marRight w:val="0"/>
              <w:marTop w:val="0"/>
              <w:marBottom w:val="0"/>
              <w:divBdr>
                <w:top w:val="none" w:sz="0" w:space="0" w:color="auto"/>
                <w:left w:val="none" w:sz="0" w:space="0" w:color="auto"/>
                <w:bottom w:val="none" w:sz="0" w:space="0" w:color="auto"/>
                <w:right w:val="none" w:sz="0" w:space="0" w:color="auto"/>
              </w:divBdr>
            </w:div>
          </w:divsChild>
        </w:div>
        <w:div w:id="926689946">
          <w:marLeft w:val="0"/>
          <w:marRight w:val="0"/>
          <w:marTop w:val="0"/>
          <w:marBottom w:val="0"/>
          <w:divBdr>
            <w:top w:val="none" w:sz="0" w:space="0" w:color="auto"/>
            <w:left w:val="none" w:sz="0" w:space="0" w:color="auto"/>
            <w:bottom w:val="none" w:sz="0" w:space="0" w:color="auto"/>
            <w:right w:val="none" w:sz="0" w:space="0" w:color="auto"/>
          </w:divBdr>
        </w:div>
        <w:div w:id="1514147342">
          <w:marLeft w:val="0"/>
          <w:marRight w:val="0"/>
          <w:marTop w:val="0"/>
          <w:marBottom w:val="0"/>
          <w:divBdr>
            <w:top w:val="none" w:sz="0" w:space="0" w:color="auto"/>
            <w:left w:val="none" w:sz="0" w:space="0" w:color="auto"/>
            <w:bottom w:val="none" w:sz="0" w:space="0" w:color="auto"/>
            <w:right w:val="none" w:sz="0" w:space="0" w:color="auto"/>
          </w:divBdr>
        </w:div>
        <w:div w:id="1053967074">
          <w:marLeft w:val="0"/>
          <w:marRight w:val="0"/>
          <w:marTop w:val="0"/>
          <w:marBottom w:val="0"/>
          <w:divBdr>
            <w:top w:val="none" w:sz="0" w:space="0" w:color="auto"/>
            <w:left w:val="none" w:sz="0" w:space="0" w:color="auto"/>
            <w:bottom w:val="none" w:sz="0" w:space="0" w:color="auto"/>
            <w:right w:val="none" w:sz="0" w:space="0" w:color="auto"/>
          </w:divBdr>
        </w:div>
        <w:div w:id="2062048908">
          <w:marLeft w:val="0"/>
          <w:marRight w:val="0"/>
          <w:marTop w:val="0"/>
          <w:marBottom w:val="0"/>
          <w:divBdr>
            <w:top w:val="none" w:sz="0" w:space="0" w:color="auto"/>
            <w:left w:val="none" w:sz="0" w:space="0" w:color="auto"/>
            <w:bottom w:val="none" w:sz="0" w:space="0" w:color="auto"/>
            <w:right w:val="none" w:sz="0" w:space="0" w:color="auto"/>
          </w:divBdr>
        </w:div>
        <w:div w:id="1312635965">
          <w:marLeft w:val="0"/>
          <w:marRight w:val="0"/>
          <w:marTop w:val="0"/>
          <w:marBottom w:val="0"/>
          <w:divBdr>
            <w:top w:val="none" w:sz="0" w:space="0" w:color="auto"/>
            <w:left w:val="none" w:sz="0" w:space="0" w:color="auto"/>
            <w:bottom w:val="none" w:sz="0" w:space="0" w:color="auto"/>
            <w:right w:val="none" w:sz="0" w:space="0" w:color="auto"/>
          </w:divBdr>
        </w:div>
        <w:div w:id="340619046">
          <w:marLeft w:val="0"/>
          <w:marRight w:val="0"/>
          <w:marTop w:val="0"/>
          <w:marBottom w:val="0"/>
          <w:divBdr>
            <w:top w:val="none" w:sz="0" w:space="0" w:color="auto"/>
            <w:left w:val="none" w:sz="0" w:space="0" w:color="auto"/>
            <w:bottom w:val="none" w:sz="0" w:space="0" w:color="auto"/>
            <w:right w:val="none" w:sz="0" w:space="0" w:color="auto"/>
          </w:divBdr>
        </w:div>
        <w:div w:id="821578864">
          <w:marLeft w:val="0"/>
          <w:marRight w:val="0"/>
          <w:marTop w:val="0"/>
          <w:marBottom w:val="0"/>
          <w:divBdr>
            <w:top w:val="none" w:sz="0" w:space="0" w:color="auto"/>
            <w:left w:val="none" w:sz="0" w:space="0" w:color="auto"/>
            <w:bottom w:val="none" w:sz="0" w:space="0" w:color="auto"/>
            <w:right w:val="none" w:sz="0" w:space="0" w:color="auto"/>
          </w:divBdr>
        </w:div>
        <w:div w:id="143400644">
          <w:marLeft w:val="0"/>
          <w:marRight w:val="0"/>
          <w:marTop w:val="0"/>
          <w:marBottom w:val="0"/>
          <w:divBdr>
            <w:top w:val="none" w:sz="0" w:space="0" w:color="auto"/>
            <w:left w:val="none" w:sz="0" w:space="0" w:color="auto"/>
            <w:bottom w:val="none" w:sz="0" w:space="0" w:color="auto"/>
            <w:right w:val="none" w:sz="0" w:space="0" w:color="auto"/>
          </w:divBdr>
        </w:div>
        <w:div w:id="1222443197">
          <w:marLeft w:val="0"/>
          <w:marRight w:val="0"/>
          <w:marTop w:val="0"/>
          <w:marBottom w:val="0"/>
          <w:divBdr>
            <w:top w:val="none" w:sz="0" w:space="0" w:color="auto"/>
            <w:left w:val="none" w:sz="0" w:space="0" w:color="auto"/>
            <w:bottom w:val="none" w:sz="0" w:space="0" w:color="auto"/>
            <w:right w:val="none" w:sz="0" w:space="0" w:color="auto"/>
          </w:divBdr>
        </w:div>
        <w:div w:id="1573542760">
          <w:marLeft w:val="0"/>
          <w:marRight w:val="0"/>
          <w:marTop w:val="0"/>
          <w:marBottom w:val="0"/>
          <w:divBdr>
            <w:top w:val="none" w:sz="0" w:space="0" w:color="auto"/>
            <w:left w:val="none" w:sz="0" w:space="0" w:color="auto"/>
            <w:bottom w:val="none" w:sz="0" w:space="0" w:color="auto"/>
            <w:right w:val="none" w:sz="0" w:space="0" w:color="auto"/>
          </w:divBdr>
        </w:div>
        <w:div w:id="1326012872">
          <w:marLeft w:val="0"/>
          <w:marRight w:val="0"/>
          <w:marTop w:val="0"/>
          <w:marBottom w:val="0"/>
          <w:divBdr>
            <w:top w:val="none" w:sz="0" w:space="0" w:color="auto"/>
            <w:left w:val="none" w:sz="0" w:space="0" w:color="auto"/>
            <w:bottom w:val="none" w:sz="0" w:space="0" w:color="auto"/>
            <w:right w:val="none" w:sz="0" w:space="0" w:color="auto"/>
          </w:divBdr>
        </w:div>
        <w:div w:id="1929583807">
          <w:marLeft w:val="0"/>
          <w:marRight w:val="0"/>
          <w:marTop w:val="0"/>
          <w:marBottom w:val="0"/>
          <w:divBdr>
            <w:top w:val="none" w:sz="0" w:space="0" w:color="auto"/>
            <w:left w:val="none" w:sz="0" w:space="0" w:color="auto"/>
            <w:bottom w:val="none" w:sz="0" w:space="0" w:color="auto"/>
            <w:right w:val="none" w:sz="0" w:space="0" w:color="auto"/>
          </w:divBdr>
        </w:div>
        <w:div w:id="1374694627">
          <w:marLeft w:val="0"/>
          <w:marRight w:val="0"/>
          <w:marTop w:val="0"/>
          <w:marBottom w:val="0"/>
          <w:divBdr>
            <w:top w:val="none" w:sz="0" w:space="0" w:color="auto"/>
            <w:left w:val="none" w:sz="0" w:space="0" w:color="auto"/>
            <w:bottom w:val="none" w:sz="0" w:space="0" w:color="auto"/>
            <w:right w:val="none" w:sz="0" w:space="0" w:color="auto"/>
          </w:divBdr>
        </w:div>
        <w:div w:id="192966152">
          <w:marLeft w:val="0"/>
          <w:marRight w:val="0"/>
          <w:marTop w:val="0"/>
          <w:marBottom w:val="0"/>
          <w:divBdr>
            <w:top w:val="none" w:sz="0" w:space="0" w:color="auto"/>
            <w:left w:val="none" w:sz="0" w:space="0" w:color="auto"/>
            <w:bottom w:val="none" w:sz="0" w:space="0" w:color="auto"/>
            <w:right w:val="none" w:sz="0" w:space="0" w:color="auto"/>
          </w:divBdr>
        </w:div>
        <w:div w:id="1305768140">
          <w:marLeft w:val="0"/>
          <w:marRight w:val="0"/>
          <w:marTop w:val="0"/>
          <w:marBottom w:val="0"/>
          <w:divBdr>
            <w:top w:val="none" w:sz="0" w:space="0" w:color="auto"/>
            <w:left w:val="none" w:sz="0" w:space="0" w:color="auto"/>
            <w:bottom w:val="none" w:sz="0" w:space="0" w:color="auto"/>
            <w:right w:val="none" w:sz="0" w:space="0" w:color="auto"/>
          </w:divBdr>
        </w:div>
        <w:div w:id="1855920828">
          <w:marLeft w:val="0"/>
          <w:marRight w:val="0"/>
          <w:marTop w:val="0"/>
          <w:marBottom w:val="0"/>
          <w:divBdr>
            <w:top w:val="none" w:sz="0" w:space="0" w:color="auto"/>
            <w:left w:val="none" w:sz="0" w:space="0" w:color="auto"/>
            <w:bottom w:val="none" w:sz="0" w:space="0" w:color="auto"/>
            <w:right w:val="none" w:sz="0" w:space="0" w:color="auto"/>
          </w:divBdr>
        </w:div>
        <w:div w:id="712995897">
          <w:marLeft w:val="0"/>
          <w:marRight w:val="0"/>
          <w:marTop w:val="0"/>
          <w:marBottom w:val="0"/>
          <w:divBdr>
            <w:top w:val="none" w:sz="0" w:space="0" w:color="auto"/>
            <w:left w:val="none" w:sz="0" w:space="0" w:color="auto"/>
            <w:bottom w:val="none" w:sz="0" w:space="0" w:color="auto"/>
            <w:right w:val="none" w:sz="0" w:space="0" w:color="auto"/>
          </w:divBdr>
        </w:div>
        <w:div w:id="1508059765">
          <w:marLeft w:val="0"/>
          <w:marRight w:val="0"/>
          <w:marTop w:val="0"/>
          <w:marBottom w:val="0"/>
          <w:divBdr>
            <w:top w:val="none" w:sz="0" w:space="0" w:color="auto"/>
            <w:left w:val="none" w:sz="0" w:space="0" w:color="auto"/>
            <w:bottom w:val="none" w:sz="0" w:space="0" w:color="auto"/>
            <w:right w:val="none" w:sz="0" w:space="0" w:color="auto"/>
          </w:divBdr>
        </w:div>
        <w:div w:id="1415207370">
          <w:marLeft w:val="0"/>
          <w:marRight w:val="0"/>
          <w:marTop w:val="0"/>
          <w:marBottom w:val="0"/>
          <w:divBdr>
            <w:top w:val="none" w:sz="0" w:space="0" w:color="auto"/>
            <w:left w:val="none" w:sz="0" w:space="0" w:color="auto"/>
            <w:bottom w:val="none" w:sz="0" w:space="0" w:color="auto"/>
            <w:right w:val="none" w:sz="0" w:space="0" w:color="auto"/>
          </w:divBdr>
        </w:div>
        <w:div w:id="1044335312">
          <w:marLeft w:val="0"/>
          <w:marRight w:val="0"/>
          <w:marTop w:val="0"/>
          <w:marBottom w:val="0"/>
          <w:divBdr>
            <w:top w:val="none" w:sz="0" w:space="0" w:color="auto"/>
            <w:left w:val="none" w:sz="0" w:space="0" w:color="auto"/>
            <w:bottom w:val="none" w:sz="0" w:space="0" w:color="auto"/>
            <w:right w:val="none" w:sz="0" w:space="0" w:color="auto"/>
          </w:divBdr>
        </w:div>
        <w:div w:id="1448084547">
          <w:marLeft w:val="0"/>
          <w:marRight w:val="0"/>
          <w:marTop w:val="0"/>
          <w:marBottom w:val="0"/>
          <w:divBdr>
            <w:top w:val="none" w:sz="0" w:space="0" w:color="auto"/>
            <w:left w:val="none" w:sz="0" w:space="0" w:color="auto"/>
            <w:bottom w:val="none" w:sz="0" w:space="0" w:color="auto"/>
            <w:right w:val="none" w:sz="0" w:space="0" w:color="auto"/>
          </w:divBdr>
          <w:divsChild>
            <w:div w:id="735129971">
              <w:marLeft w:val="0"/>
              <w:marRight w:val="0"/>
              <w:marTop w:val="0"/>
              <w:marBottom w:val="0"/>
              <w:divBdr>
                <w:top w:val="none" w:sz="0" w:space="0" w:color="auto"/>
                <w:left w:val="none" w:sz="0" w:space="0" w:color="auto"/>
                <w:bottom w:val="none" w:sz="0" w:space="0" w:color="auto"/>
                <w:right w:val="none" w:sz="0" w:space="0" w:color="auto"/>
              </w:divBdr>
            </w:div>
            <w:div w:id="752817303">
              <w:marLeft w:val="0"/>
              <w:marRight w:val="0"/>
              <w:marTop w:val="0"/>
              <w:marBottom w:val="0"/>
              <w:divBdr>
                <w:top w:val="none" w:sz="0" w:space="0" w:color="auto"/>
                <w:left w:val="none" w:sz="0" w:space="0" w:color="auto"/>
                <w:bottom w:val="none" w:sz="0" w:space="0" w:color="auto"/>
                <w:right w:val="none" w:sz="0" w:space="0" w:color="auto"/>
              </w:divBdr>
            </w:div>
            <w:div w:id="1808088543">
              <w:marLeft w:val="0"/>
              <w:marRight w:val="0"/>
              <w:marTop w:val="0"/>
              <w:marBottom w:val="0"/>
              <w:divBdr>
                <w:top w:val="none" w:sz="0" w:space="0" w:color="auto"/>
                <w:left w:val="none" w:sz="0" w:space="0" w:color="auto"/>
                <w:bottom w:val="none" w:sz="0" w:space="0" w:color="auto"/>
                <w:right w:val="none" w:sz="0" w:space="0" w:color="auto"/>
              </w:divBdr>
            </w:div>
            <w:div w:id="1074547297">
              <w:marLeft w:val="0"/>
              <w:marRight w:val="0"/>
              <w:marTop w:val="0"/>
              <w:marBottom w:val="0"/>
              <w:divBdr>
                <w:top w:val="none" w:sz="0" w:space="0" w:color="auto"/>
                <w:left w:val="none" w:sz="0" w:space="0" w:color="auto"/>
                <w:bottom w:val="none" w:sz="0" w:space="0" w:color="auto"/>
                <w:right w:val="none" w:sz="0" w:space="0" w:color="auto"/>
              </w:divBdr>
            </w:div>
            <w:div w:id="209730689">
              <w:marLeft w:val="0"/>
              <w:marRight w:val="0"/>
              <w:marTop w:val="0"/>
              <w:marBottom w:val="0"/>
              <w:divBdr>
                <w:top w:val="none" w:sz="0" w:space="0" w:color="auto"/>
                <w:left w:val="none" w:sz="0" w:space="0" w:color="auto"/>
                <w:bottom w:val="none" w:sz="0" w:space="0" w:color="auto"/>
                <w:right w:val="none" w:sz="0" w:space="0" w:color="auto"/>
              </w:divBdr>
            </w:div>
            <w:div w:id="842746745">
              <w:marLeft w:val="0"/>
              <w:marRight w:val="0"/>
              <w:marTop w:val="0"/>
              <w:marBottom w:val="0"/>
              <w:divBdr>
                <w:top w:val="none" w:sz="0" w:space="0" w:color="auto"/>
                <w:left w:val="none" w:sz="0" w:space="0" w:color="auto"/>
                <w:bottom w:val="none" w:sz="0" w:space="0" w:color="auto"/>
                <w:right w:val="none" w:sz="0" w:space="0" w:color="auto"/>
              </w:divBdr>
            </w:div>
            <w:div w:id="249122440">
              <w:marLeft w:val="0"/>
              <w:marRight w:val="0"/>
              <w:marTop w:val="0"/>
              <w:marBottom w:val="0"/>
              <w:divBdr>
                <w:top w:val="none" w:sz="0" w:space="0" w:color="auto"/>
                <w:left w:val="none" w:sz="0" w:space="0" w:color="auto"/>
                <w:bottom w:val="none" w:sz="0" w:space="0" w:color="auto"/>
                <w:right w:val="none" w:sz="0" w:space="0" w:color="auto"/>
              </w:divBdr>
            </w:div>
            <w:div w:id="1561866072">
              <w:marLeft w:val="0"/>
              <w:marRight w:val="0"/>
              <w:marTop w:val="0"/>
              <w:marBottom w:val="0"/>
              <w:divBdr>
                <w:top w:val="none" w:sz="0" w:space="0" w:color="auto"/>
                <w:left w:val="none" w:sz="0" w:space="0" w:color="auto"/>
                <w:bottom w:val="none" w:sz="0" w:space="0" w:color="auto"/>
                <w:right w:val="none" w:sz="0" w:space="0" w:color="auto"/>
              </w:divBdr>
            </w:div>
            <w:div w:id="1405224753">
              <w:marLeft w:val="0"/>
              <w:marRight w:val="0"/>
              <w:marTop w:val="0"/>
              <w:marBottom w:val="0"/>
              <w:divBdr>
                <w:top w:val="none" w:sz="0" w:space="0" w:color="auto"/>
                <w:left w:val="none" w:sz="0" w:space="0" w:color="auto"/>
                <w:bottom w:val="none" w:sz="0" w:space="0" w:color="auto"/>
                <w:right w:val="none" w:sz="0" w:space="0" w:color="auto"/>
              </w:divBdr>
            </w:div>
            <w:div w:id="909312392">
              <w:marLeft w:val="0"/>
              <w:marRight w:val="0"/>
              <w:marTop w:val="0"/>
              <w:marBottom w:val="0"/>
              <w:divBdr>
                <w:top w:val="none" w:sz="0" w:space="0" w:color="auto"/>
                <w:left w:val="none" w:sz="0" w:space="0" w:color="auto"/>
                <w:bottom w:val="none" w:sz="0" w:space="0" w:color="auto"/>
                <w:right w:val="none" w:sz="0" w:space="0" w:color="auto"/>
              </w:divBdr>
            </w:div>
            <w:div w:id="1623729249">
              <w:marLeft w:val="0"/>
              <w:marRight w:val="0"/>
              <w:marTop w:val="0"/>
              <w:marBottom w:val="0"/>
              <w:divBdr>
                <w:top w:val="none" w:sz="0" w:space="0" w:color="auto"/>
                <w:left w:val="none" w:sz="0" w:space="0" w:color="auto"/>
                <w:bottom w:val="none" w:sz="0" w:space="0" w:color="auto"/>
                <w:right w:val="none" w:sz="0" w:space="0" w:color="auto"/>
              </w:divBdr>
            </w:div>
            <w:div w:id="616446448">
              <w:marLeft w:val="0"/>
              <w:marRight w:val="0"/>
              <w:marTop w:val="0"/>
              <w:marBottom w:val="0"/>
              <w:divBdr>
                <w:top w:val="none" w:sz="0" w:space="0" w:color="auto"/>
                <w:left w:val="none" w:sz="0" w:space="0" w:color="auto"/>
                <w:bottom w:val="none" w:sz="0" w:space="0" w:color="auto"/>
                <w:right w:val="none" w:sz="0" w:space="0" w:color="auto"/>
              </w:divBdr>
            </w:div>
            <w:div w:id="995494876">
              <w:marLeft w:val="0"/>
              <w:marRight w:val="0"/>
              <w:marTop w:val="0"/>
              <w:marBottom w:val="0"/>
              <w:divBdr>
                <w:top w:val="none" w:sz="0" w:space="0" w:color="auto"/>
                <w:left w:val="none" w:sz="0" w:space="0" w:color="auto"/>
                <w:bottom w:val="none" w:sz="0" w:space="0" w:color="auto"/>
                <w:right w:val="none" w:sz="0" w:space="0" w:color="auto"/>
              </w:divBdr>
            </w:div>
            <w:div w:id="1866793950">
              <w:marLeft w:val="0"/>
              <w:marRight w:val="0"/>
              <w:marTop w:val="0"/>
              <w:marBottom w:val="0"/>
              <w:divBdr>
                <w:top w:val="none" w:sz="0" w:space="0" w:color="auto"/>
                <w:left w:val="none" w:sz="0" w:space="0" w:color="auto"/>
                <w:bottom w:val="none" w:sz="0" w:space="0" w:color="auto"/>
                <w:right w:val="none" w:sz="0" w:space="0" w:color="auto"/>
              </w:divBdr>
            </w:div>
            <w:div w:id="1368526899">
              <w:marLeft w:val="0"/>
              <w:marRight w:val="0"/>
              <w:marTop w:val="0"/>
              <w:marBottom w:val="0"/>
              <w:divBdr>
                <w:top w:val="none" w:sz="0" w:space="0" w:color="auto"/>
                <w:left w:val="none" w:sz="0" w:space="0" w:color="auto"/>
                <w:bottom w:val="none" w:sz="0" w:space="0" w:color="auto"/>
                <w:right w:val="none" w:sz="0" w:space="0" w:color="auto"/>
              </w:divBdr>
            </w:div>
            <w:div w:id="611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3638">
      <w:bodyDiv w:val="1"/>
      <w:marLeft w:val="0"/>
      <w:marRight w:val="0"/>
      <w:marTop w:val="0"/>
      <w:marBottom w:val="0"/>
      <w:divBdr>
        <w:top w:val="none" w:sz="0" w:space="0" w:color="auto"/>
        <w:left w:val="none" w:sz="0" w:space="0" w:color="auto"/>
        <w:bottom w:val="none" w:sz="0" w:space="0" w:color="auto"/>
        <w:right w:val="none" w:sz="0" w:space="0" w:color="auto"/>
      </w:divBdr>
    </w:div>
    <w:div w:id="547642140">
      <w:bodyDiv w:val="1"/>
      <w:marLeft w:val="0"/>
      <w:marRight w:val="0"/>
      <w:marTop w:val="0"/>
      <w:marBottom w:val="0"/>
      <w:divBdr>
        <w:top w:val="none" w:sz="0" w:space="0" w:color="auto"/>
        <w:left w:val="none" w:sz="0" w:space="0" w:color="auto"/>
        <w:bottom w:val="none" w:sz="0" w:space="0" w:color="auto"/>
        <w:right w:val="none" w:sz="0" w:space="0" w:color="auto"/>
      </w:divBdr>
      <w:divsChild>
        <w:div w:id="177237495">
          <w:marLeft w:val="0"/>
          <w:marRight w:val="0"/>
          <w:marTop w:val="0"/>
          <w:marBottom w:val="0"/>
          <w:divBdr>
            <w:top w:val="none" w:sz="0" w:space="0" w:color="auto"/>
            <w:left w:val="none" w:sz="0" w:space="0" w:color="auto"/>
            <w:bottom w:val="none" w:sz="0" w:space="0" w:color="auto"/>
            <w:right w:val="none" w:sz="0" w:space="0" w:color="auto"/>
          </w:divBdr>
        </w:div>
        <w:div w:id="897937367">
          <w:marLeft w:val="0"/>
          <w:marRight w:val="0"/>
          <w:marTop w:val="0"/>
          <w:marBottom w:val="0"/>
          <w:divBdr>
            <w:top w:val="none" w:sz="0" w:space="0" w:color="auto"/>
            <w:left w:val="none" w:sz="0" w:space="0" w:color="auto"/>
            <w:bottom w:val="none" w:sz="0" w:space="0" w:color="auto"/>
            <w:right w:val="none" w:sz="0" w:space="0" w:color="auto"/>
          </w:divBdr>
        </w:div>
        <w:div w:id="577834149">
          <w:marLeft w:val="0"/>
          <w:marRight w:val="0"/>
          <w:marTop w:val="0"/>
          <w:marBottom w:val="0"/>
          <w:divBdr>
            <w:top w:val="none" w:sz="0" w:space="0" w:color="auto"/>
            <w:left w:val="none" w:sz="0" w:space="0" w:color="auto"/>
            <w:bottom w:val="none" w:sz="0" w:space="0" w:color="auto"/>
            <w:right w:val="none" w:sz="0" w:space="0" w:color="auto"/>
          </w:divBdr>
        </w:div>
        <w:div w:id="555122631">
          <w:marLeft w:val="0"/>
          <w:marRight w:val="0"/>
          <w:marTop w:val="0"/>
          <w:marBottom w:val="0"/>
          <w:divBdr>
            <w:top w:val="none" w:sz="0" w:space="0" w:color="auto"/>
            <w:left w:val="none" w:sz="0" w:space="0" w:color="auto"/>
            <w:bottom w:val="none" w:sz="0" w:space="0" w:color="auto"/>
            <w:right w:val="none" w:sz="0" w:space="0" w:color="auto"/>
          </w:divBdr>
        </w:div>
        <w:div w:id="752317965">
          <w:marLeft w:val="0"/>
          <w:marRight w:val="0"/>
          <w:marTop w:val="0"/>
          <w:marBottom w:val="0"/>
          <w:divBdr>
            <w:top w:val="none" w:sz="0" w:space="0" w:color="auto"/>
            <w:left w:val="none" w:sz="0" w:space="0" w:color="auto"/>
            <w:bottom w:val="none" w:sz="0" w:space="0" w:color="auto"/>
            <w:right w:val="none" w:sz="0" w:space="0" w:color="auto"/>
          </w:divBdr>
        </w:div>
        <w:div w:id="48118237">
          <w:marLeft w:val="0"/>
          <w:marRight w:val="0"/>
          <w:marTop w:val="0"/>
          <w:marBottom w:val="0"/>
          <w:divBdr>
            <w:top w:val="none" w:sz="0" w:space="0" w:color="auto"/>
            <w:left w:val="none" w:sz="0" w:space="0" w:color="auto"/>
            <w:bottom w:val="none" w:sz="0" w:space="0" w:color="auto"/>
            <w:right w:val="none" w:sz="0" w:space="0" w:color="auto"/>
          </w:divBdr>
        </w:div>
        <w:div w:id="1662194237">
          <w:marLeft w:val="0"/>
          <w:marRight w:val="0"/>
          <w:marTop w:val="0"/>
          <w:marBottom w:val="0"/>
          <w:divBdr>
            <w:top w:val="none" w:sz="0" w:space="0" w:color="auto"/>
            <w:left w:val="none" w:sz="0" w:space="0" w:color="auto"/>
            <w:bottom w:val="none" w:sz="0" w:space="0" w:color="auto"/>
            <w:right w:val="none" w:sz="0" w:space="0" w:color="auto"/>
          </w:divBdr>
        </w:div>
        <w:div w:id="813059515">
          <w:marLeft w:val="0"/>
          <w:marRight w:val="0"/>
          <w:marTop w:val="0"/>
          <w:marBottom w:val="0"/>
          <w:divBdr>
            <w:top w:val="none" w:sz="0" w:space="0" w:color="auto"/>
            <w:left w:val="none" w:sz="0" w:space="0" w:color="auto"/>
            <w:bottom w:val="none" w:sz="0" w:space="0" w:color="auto"/>
            <w:right w:val="none" w:sz="0" w:space="0" w:color="auto"/>
          </w:divBdr>
        </w:div>
        <w:div w:id="357314801">
          <w:marLeft w:val="0"/>
          <w:marRight w:val="0"/>
          <w:marTop w:val="0"/>
          <w:marBottom w:val="0"/>
          <w:divBdr>
            <w:top w:val="none" w:sz="0" w:space="0" w:color="auto"/>
            <w:left w:val="none" w:sz="0" w:space="0" w:color="auto"/>
            <w:bottom w:val="none" w:sz="0" w:space="0" w:color="auto"/>
            <w:right w:val="none" w:sz="0" w:space="0" w:color="auto"/>
          </w:divBdr>
        </w:div>
        <w:div w:id="700319687">
          <w:marLeft w:val="0"/>
          <w:marRight w:val="0"/>
          <w:marTop w:val="0"/>
          <w:marBottom w:val="0"/>
          <w:divBdr>
            <w:top w:val="none" w:sz="0" w:space="0" w:color="auto"/>
            <w:left w:val="none" w:sz="0" w:space="0" w:color="auto"/>
            <w:bottom w:val="none" w:sz="0" w:space="0" w:color="auto"/>
            <w:right w:val="none" w:sz="0" w:space="0" w:color="auto"/>
          </w:divBdr>
        </w:div>
        <w:div w:id="1832797488">
          <w:marLeft w:val="0"/>
          <w:marRight w:val="0"/>
          <w:marTop w:val="0"/>
          <w:marBottom w:val="0"/>
          <w:divBdr>
            <w:top w:val="none" w:sz="0" w:space="0" w:color="auto"/>
            <w:left w:val="none" w:sz="0" w:space="0" w:color="auto"/>
            <w:bottom w:val="none" w:sz="0" w:space="0" w:color="auto"/>
            <w:right w:val="none" w:sz="0" w:space="0" w:color="auto"/>
          </w:divBdr>
        </w:div>
        <w:div w:id="1706521600">
          <w:marLeft w:val="0"/>
          <w:marRight w:val="0"/>
          <w:marTop w:val="0"/>
          <w:marBottom w:val="0"/>
          <w:divBdr>
            <w:top w:val="none" w:sz="0" w:space="0" w:color="auto"/>
            <w:left w:val="none" w:sz="0" w:space="0" w:color="auto"/>
            <w:bottom w:val="none" w:sz="0" w:space="0" w:color="auto"/>
            <w:right w:val="none" w:sz="0" w:space="0" w:color="auto"/>
          </w:divBdr>
        </w:div>
        <w:div w:id="1212965102">
          <w:marLeft w:val="0"/>
          <w:marRight w:val="0"/>
          <w:marTop w:val="0"/>
          <w:marBottom w:val="0"/>
          <w:divBdr>
            <w:top w:val="none" w:sz="0" w:space="0" w:color="auto"/>
            <w:left w:val="none" w:sz="0" w:space="0" w:color="auto"/>
            <w:bottom w:val="none" w:sz="0" w:space="0" w:color="auto"/>
            <w:right w:val="none" w:sz="0" w:space="0" w:color="auto"/>
          </w:divBdr>
        </w:div>
        <w:div w:id="990131624">
          <w:marLeft w:val="0"/>
          <w:marRight w:val="0"/>
          <w:marTop w:val="0"/>
          <w:marBottom w:val="0"/>
          <w:divBdr>
            <w:top w:val="none" w:sz="0" w:space="0" w:color="auto"/>
            <w:left w:val="none" w:sz="0" w:space="0" w:color="auto"/>
            <w:bottom w:val="none" w:sz="0" w:space="0" w:color="auto"/>
            <w:right w:val="none" w:sz="0" w:space="0" w:color="auto"/>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536358770">
          <w:marLeft w:val="0"/>
          <w:marRight w:val="0"/>
          <w:marTop w:val="0"/>
          <w:marBottom w:val="0"/>
          <w:divBdr>
            <w:top w:val="none" w:sz="0" w:space="0" w:color="auto"/>
            <w:left w:val="none" w:sz="0" w:space="0" w:color="auto"/>
            <w:bottom w:val="none" w:sz="0" w:space="0" w:color="auto"/>
            <w:right w:val="none" w:sz="0" w:space="0" w:color="auto"/>
          </w:divBdr>
        </w:div>
        <w:div w:id="1354191395">
          <w:marLeft w:val="0"/>
          <w:marRight w:val="0"/>
          <w:marTop w:val="0"/>
          <w:marBottom w:val="0"/>
          <w:divBdr>
            <w:top w:val="none" w:sz="0" w:space="0" w:color="auto"/>
            <w:left w:val="none" w:sz="0" w:space="0" w:color="auto"/>
            <w:bottom w:val="none" w:sz="0" w:space="0" w:color="auto"/>
            <w:right w:val="none" w:sz="0" w:space="0" w:color="auto"/>
          </w:divBdr>
        </w:div>
        <w:div w:id="455292891">
          <w:marLeft w:val="0"/>
          <w:marRight w:val="0"/>
          <w:marTop w:val="0"/>
          <w:marBottom w:val="0"/>
          <w:divBdr>
            <w:top w:val="none" w:sz="0" w:space="0" w:color="auto"/>
            <w:left w:val="none" w:sz="0" w:space="0" w:color="auto"/>
            <w:bottom w:val="none" w:sz="0" w:space="0" w:color="auto"/>
            <w:right w:val="none" w:sz="0" w:space="0" w:color="auto"/>
          </w:divBdr>
        </w:div>
        <w:div w:id="1598296235">
          <w:marLeft w:val="0"/>
          <w:marRight w:val="0"/>
          <w:marTop w:val="0"/>
          <w:marBottom w:val="0"/>
          <w:divBdr>
            <w:top w:val="none" w:sz="0" w:space="0" w:color="auto"/>
            <w:left w:val="none" w:sz="0" w:space="0" w:color="auto"/>
            <w:bottom w:val="none" w:sz="0" w:space="0" w:color="auto"/>
            <w:right w:val="none" w:sz="0" w:space="0" w:color="auto"/>
          </w:divBdr>
        </w:div>
        <w:div w:id="1851141247">
          <w:marLeft w:val="0"/>
          <w:marRight w:val="0"/>
          <w:marTop w:val="0"/>
          <w:marBottom w:val="0"/>
          <w:divBdr>
            <w:top w:val="none" w:sz="0" w:space="0" w:color="auto"/>
            <w:left w:val="none" w:sz="0" w:space="0" w:color="auto"/>
            <w:bottom w:val="none" w:sz="0" w:space="0" w:color="auto"/>
            <w:right w:val="none" w:sz="0" w:space="0" w:color="auto"/>
          </w:divBdr>
        </w:div>
        <w:div w:id="43068588">
          <w:marLeft w:val="0"/>
          <w:marRight w:val="0"/>
          <w:marTop w:val="0"/>
          <w:marBottom w:val="0"/>
          <w:divBdr>
            <w:top w:val="none" w:sz="0" w:space="0" w:color="auto"/>
            <w:left w:val="none" w:sz="0" w:space="0" w:color="auto"/>
            <w:bottom w:val="none" w:sz="0" w:space="0" w:color="auto"/>
            <w:right w:val="none" w:sz="0" w:space="0" w:color="auto"/>
          </w:divBdr>
          <w:divsChild>
            <w:div w:id="527526181">
              <w:marLeft w:val="0"/>
              <w:marRight w:val="0"/>
              <w:marTop w:val="0"/>
              <w:marBottom w:val="0"/>
              <w:divBdr>
                <w:top w:val="none" w:sz="0" w:space="0" w:color="auto"/>
                <w:left w:val="none" w:sz="0" w:space="0" w:color="auto"/>
                <w:bottom w:val="none" w:sz="0" w:space="0" w:color="auto"/>
                <w:right w:val="none" w:sz="0" w:space="0" w:color="auto"/>
              </w:divBdr>
            </w:div>
            <w:div w:id="1531332703">
              <w:marLeft w:val="0"/>
              <w:marRight w:val="0"/>
              <w:marTop w:val="0"/>
              <w:marBottom w:val="0"/>
              <w:divBdr>
                <w:top w:val="none" w:sz="0" w:space="0" w:color="auto"/>
                <w:left w:val="none" w:sz="0" w:space="0" w:color="auto"/>
                <w:bottom w:val="none" w:sz="0" w:space="0" w:color="auto"/>
                <w:right w:val="none" w:sz="0" w:space="0" w:color="auto"/>
              </w:divBdr>
            </w:div>
            <w:div w:id="64761924">
              <w:marLeft w:val="0"/>
              <w:marRight w:val="0"/>
              <w:marTop w:val="0"/>
              <w:marBottom w:val="0"/>
              <w:divBdr>
                <w:top w:val="none" w:sz="0" w:space="0" w:color="auto"/>
                <w:left w:val="none" w:sz="0" w:space="0" w:color="auto"/>
                <w:bottom w:val="none" w:sz="0" w:space="0" w:color="auto"/>
                <w:right w:val="none" w:sz="0" w:space="0" w:color="auto"/>
              </w:divBdr>
            </w:div>
            <w:div w:id="670959650">
              <w:marLeft w:val="0"/>
              <w:marRight w:val="0"/>
              <w:marTop w:val="0"/>
              <w:marBottom w:val="0"/>
              <w:divBdr>
                <w:top w:val="none" w:sz="0" w:space="0" w:color="auto"/>
                <w:left w:val="none" w:sz="0" w:space="0" w:color="auto"/>
                <w:bottom w:val="none" w:sz="0" w:space="0" w:color="auto"/>
                <w:right w:val="none" w:sz="0" w:space="0" w:color="auto"/>
              </w:divBdr>
            </w:div>
            <w:div w:id="255283362">
              <w:marLeft w:val="0"/>
              <w:marRight w:val="0"/>
              <w:marTop w:val="0"/>
              <w:marBottom w:val="0"/>
              <w:divBdr>
                <w:top w:val="none" w:sz="0" w:space="0" w:color="auto"/>
                <w:left w:val="none" w:sz="0" w:space="0" w:color="auto"/>
                <w:bottom w:val="none" w:sz="0" w:space="0" w:color="auto"/>
                <w:right w:val="none" w:sz="0" w:space="0" w:color="auto"/>
              </w:divBdr>
            </w:div>
            <w:div w:id="1757246991">
              <w:marLeft w:val="0"/>
              <w:marRight w:val="0"/>
              <w:marTop w:val="0"/>
              <w:marBottom w:val="0"/>
              <w:divBdr>
                <w:top w:val="none" w:sz="0" w:space="0" w:color="auto"/>
                <w:left w:val="none" w:sz="0" w:space="0" w:color="auto"/>
                <w:bottom w:val="none" w:sz="0" w:space="0" w:color="auto"/>
                <w:right w:val="none" w:sz="0" w:space="0" w:color="auto"/>
              </w:divBdr>
            </w:div>
            <w:div w:id="1528834512">
              <w:marLeft w:val="0"/>
              <w:marRight w:val="0"/>
              <w:marTop w:val="0"/>
              <w:marBottom w:val="0"/>
              <w:divBdr>
                <w:top w:val="none" w:sz="0" w:space="0" w:color="auto"/>
                <w:left w:val="none" w:sz="0" w:space="0" w:color="auto"/>
                <w:bottom w:val="none" w:sz="0" w:space="0" w:color="auto"/>
                <w:right w:val="none" w:sz="0" w:space="0" w:color="auto"/>
              </w:divBdr>
            </w:div>
            <w:div w:id="599795073">
              <w:marLeft w:val="0"/>
              <w:marRight w:val="0"/>
              <w:marTop w:val="0"/>
              <w:marBottom w:val="0"/>
              <w:divBdr>
                <w:top w:val="none" w:sz="0" w:space="0" w:color="auto"/>
                <w:left w:val="none" w:sz="0" w:space="0" w:color="auto"/>
                <w:bottom w:val="none" w:sz="0" w:space="0" w:color="auto"/>
                <w:right w:val="none" w:sz="0" w:space="0" w:color="auto"/>
              </w:divBdr>
            </w:div>
            <w:div w:id="1175416829">
              <w:marLeft w:val="0"/>
              <w:marRight w:val="0"/>
              <w:marTop w:val="0"/>
              <w:marBottom w:val="0"/>
              <w:divBdr>
                <w:top w:val="none" w:sz="0" w:space="0" w:color="auto"/>
                <w:left w:val="none" w:sz="0" w:space="0" w:color="auto"/>
                <w:bottom w:val="none" w:sz="0" w:space="0" w:color="auto"/>
                <w:right w:val="none" w:sz="0" w:space="0" w:color="auto"/>
              </w:divBdr>
            </w:div>
            <w:div w:id="1912690120">
              <w:marLeft w:val="0"/>
              <w:marRight w:val="0"/>
              <w:marTop w:val="0"/>
              <w:marBottom w:val="0"/>
              <w:divBdr>
                <w:top w:val="none" w:sz="0" w:space="0" w:color="auto"/>
                <w:left w:val="none" w:sz="0" w:space="0" w:color="auto"/>
                <w:bottom w:val="none" w:sz="0" w:space="0" w:color="auto"/>
                <w:right w:val="none" w:sz="0" w:space="0" w:color="auto"/>
              </w:divBdr>
            </w:div>
            <w:div w:id="1874921432">
              <w:marLeft w:val="0"/>
              <w:marRight w:val="0"/>
              <w:marTop w:val="0"/>
              <w:marBottom w:val="0"/>
              <w:divBdr>
                <w:top w:val="none" w:sz="0" w:space="0" w:color="auto"/>
                <w:left w:val="none" w:sz="0" w:space="0" w:color="auto"/>
                <w:bottom w:val="none" w:sz="0" w:space="0" w:color="auto"/>
                <w:right w:val="none" w:sz="0" w:space="0" w:color="auto"/>
              </w:divBdr>
            </w:div>
            <w:div w:id="1656833609">
              <w:marLeft w:val="0"/>
              <w:marRight w:val="0"/>
              <w:marTop w:val="0"/>
              <w:marBottom w:val="0"/>
              <w:divBdr>
                <w:top w:val="none" w:sz="0" w:space="0" w:color="auto"/>
                <w:left w:val="none" w:sz="0" w:space="0" w:color="auto"/>
                <w:bottom w:val="none" w:sz="0" w:space="0" w:color="auto"/>
                <w:right w:val="none" w:sz="0" w:space="0" w:color="auto"/>
              </w:divBdr>
            </w:div>
            <w:div w:id="1609316782">
              <w:marLeft w:val="0"/>
              <w:marRight w:val="0"/>
              <w:marTop w:val="0"/>
              <w:marBottom w:val="0"/>
              <w:divBdr>
                <w:top w:val="none" w:sz="0" w:space="0" w:color="auto"/>
                <w:left w:val="none" w:sz="0" w:space="0" w:color="auto"/>
                <w:bottom w:val="none" w:sz="0" w:space="0" w:color="auto"/>
                <w:right w:val="none" w:sz="0" w:space="0" w:color="auto"/>
              </w:divBdr>
            </w:div>
            <w:div w:id="1369338930">
              <w:marLeft w:val="0"/>
              <w:marRight w:val="0"/>
              <w:marTop w:val="0"/>
              <w:marBottom w:val="0"/>
              <w:divBdr>
                <w:top w:val="none" w:sz="0" w:space="0" w:color="auto"/>
                <w:left w:val="none" w:sz="0" w:space="0" w:color="auto"/>
                <w:bottom w:val="none" w:sz="0" w:space="0" w:color="auto"/>
                <w:right w:val="none" w:sz="0" w:space="0" w:color="auto"/>
              </w:divBdr>
            </w:div>
            <w:div w:id="1580864087">
              <w:marLeft w:val="0"/>
              <w:marRight w:val="0"/>
              <w:marTop w:val="0"/>
              <w:marBottom w:val="0"/>
              <w:divBdr>
                <w:top w:val="none" w:sz="0" w:space="0" w:color="auto"/>
                <w:left w:val="none" w:sz="0" w:space="0" w:color="auto"/>
                <w:bottom w:val="none" w:sz="0" w:space="0" w:color="auto"/>
                <w:right w:val="none" w:sz="0" w:space="0" w:color="auto"/>
              </w:divBdr>
            </w:div>
            <w:div w:id="317616167">
              <w:marLeft w:val="0"/>
              <w:marRight w:val="0"/>
              <w:marTop w:val="0"/>
              <w:marBottom w:val="0"/>
              <w:divBdr>
                <w:top w:val="none" w:sz="0" w:space="0" w:color="auto"/>
                <w:left w:val="none" w:sz="0" w:space="0" w:color="auto"/>
                <w:bottom w:val="none" w:sz="0" w:space="0" w:color="auto"/>
                <w:right w:val="none" w:sz="0" w:space="0" w:color="auto"/>
              </w:divBdr>
            </w:div>
            <w:div w:id="1367489543">
              <w:marLeft w:val="0"/>
              <w:marRight w:val="0"/>
              <w:marTop w:val="0"/>
              <w:marBottom w:val="0"/>
              <w:divBdr>
                <w:top w:val="none" w:sz="0" w:space="0" w:color="auto"/>
                <w:left w:val="none" w:sz="0" w:space="0" w:color="auto"/>
                <w:bottom w:val="none" w:sz="0" w:space="0" w:color="auto"/>
                <w:right w:val="none" w:sz="0" w:space="0" w:color="auto"/>
              </w:divBdr>
            </w:div>
            <w:div w:id="2054309709">
              <w:marLeft w:val="0"/>
              <w:marRight w:val="0"/>
              <w:marTop w:val="0"/>
              <w:marBottom w:val="0"/>
              <w:divBdr>
                <w:top w:val="none" w:sz="0" w:space="0" w:color="auto"/>
                <w:left w:val="none" w:sz="0" w:space="0" w:color="auto"/>
                <w:bottom w:val="none" w:sz="0" w:space="0" w:color="auto"/>
                <w:right w:val="none" w:sz="0" w:space="0" w:color="auto"/>
              </w:divBdr>
            </w:div>
            <w:div w:id="50545319">
              <w:marLeft w:val="0"/>
              <w:marRight w:val="0"/>
              <w:marTop w:val="0"/>
              <w:marBottom w:val="0"/>
              <w:divBdr>
                <w:top w:val="none" w:sz="0" w:space="0" w:color="auto"/>
                <w:left w:val="none" w:sz="0" w:space="0" w:color="auto"/>
                <w:bottom w:val="none" w:sz="0" w:space="0" w:color="auto"/>
                <w:right w:val="none" w:sz="0" w:space="0" w:color="auto"/>
              </w:divBdr>
            </w:div>
            <w:div w:id="607782135">
              <w:marLeft w:val="0"/>
              <w:marRight w:val="0"/>
              <w:marTop w:val="0"/>
              <w:marBottom w:val="0"/>
              <w:divBdr>
                <w:top w:val="none" w:sz="0" w:space="0" w:color="auto"/>
                <w:left w:val="none" w:sz="0" w:space="0" w:color="auto"/>
                <w:bottom w:val="none" w:sz="0" w:space="0" w:color="auto"/>
                <w:right w:val="none" w:sz="0" w:space="0" w:color="auto"/>
              </w:divBdr>
            </w:div>
          </w:divsChild>
        </w:div>
        <w:div w:id="1274560192">
          <w:marLeft w:val="0"/>
          <w:marRight w:val="0"/>
          <w:marTop w:val="0"/>
          <w:marBottom w:val="0"/>
          <w:divBdr>
            <w:top w:val="none" w:sz="0" w:space="0" w:color="auto"/>
            <w:left w:val="none" w:sz="0" w:space="0" w:color="auto"/>
            <w:bottom w:val="none" w:sz="0" w:space="0" w:color="auto"/>
            <w:right w:val="none" w:sz="0" w:space="0" w:color="auto"/>
          </w:divBdr>
        </w:div>
        <w:div w:id="1880389845">
          <w:marLeft w:val="0"/>
          <w:marRight w:val="0"/>
          <w:marTop w:val="0"/>
          <w:marBottom w:val="0"/>
          <w:divBdr>
            <w:top w:val="none" w:sz="0" w:space="0" w:color="auto"/>
            <w:left w:val="none" w:sz="0" w:space="0" w:color="auto"/>
            <w:bottom w:val="none" w:sz="0" w:space="0" w:color="auto"/>
            <w:right w:val="none" w:sz="0" w:space="0" w:color="auto"/>
          </w:divBdr>
        </w:div>
        <w:div w:id="852374517">
          <w:marLeft w:val="0"/>
          <w:marRight w:val="0"/>
          <w:marTop w:val="0"/>
          <w:marBottom w:val="0"/>
          <w:divBdr>
            <w:top w:val="none" w:sz="0" w:space="0" w:color="auto"/>
            <w:left w:val="none" w:sz="0" w:space="0" w:color="auto"/>
            <w:bottom w:val="none" w:sz="0" w:space="0" w:color="auto"/>
            <w:right w:val="none" w:sz="0" w:space="0" w:color="auto"/>
          </w:divBdr>
        </w:div>
        <w:div w:id="1557471332">
          <w:marLeft w:val="0"/>
          <w:marRight w:val="0"/>
          <w:marTop w:val="0"/>
          <w:marBottom w:val="0"/>
          <w:divBdr>
            <w:top w:val="none" w:sz="0" w:space="0" w:color="auto"/>
            <w:left w:val="none" w:sz="0" w:space="0" w:color="auto"/>
            <w:bottom w:val="none" w:sz="0" w:space="0" w:color="auto"/>
            <w:right w:val="none" w:sz="0" w:space="0" w:color="auto"/>
          </w:divBdr>
        </w:div>
        <w:div w:id="692650317">
          <w:marLeft w:val="0"/>
          <w:marRight w:val="0"/>
          <w:marTop w:val="0"/>
          <w:marBottom w:val="0"/>
          <w:divBdr>
            <w:top w:val="none" w:sz="0" w:space="0" w:color="auto"/>
            <w:left w:val="none" w:sz="0" w:space="0" w:color="auto"/>
            <w:bottom w:val="none" w:sz="0" w:space="0" w:color="auto"/>
            <w:right w:val="none" w:sz="0" w:space="0" w:color="auto"/>
          </w:divBdr>
        </w:div>
        <w:div w:id="1619071096">
          <w:marLeft w:val="0"/>
          <w:marRight w:val="0"/>
          <w:marTop w:val="0"/>
          <w:marBottom w:val="0"/>
          <w:divBdr>
            <w:top w:val="none" w:sz="0" w:space="0" w:color="auto"/>
            <w:left w:val="none" w:sz="0" w:space="0" w:color="auto"/>
            <w:bottom w:val="none" w:sz="0" w:space="0" w:color="auto"/>
            <w:right w:val="none" w:sz="0" w:space="0" w:color="auto"/>
          </w:divBdr>
        </w:div>
        <w:div w:id="1785925628">
          <w:marLeft w:val="0"/>
          <w:marRight w:val="0"/>
          <w:marTop w:val="0"/>
          <w:marBottom w:val="0"/>
          <w:divBdr>
            <w:top w:val="none" w:sz="0" w:space="0" w:color="auto"/>
            <w:left w:val="none" w:sz="0" w:space="0" w:color="auto"/>
            <w:bottom w:val="none" w:sz="0" w:space="0" w:color="auto"/>
            <w:right w:val="none" w:sz="0" w:space="0" w:color="auto"/>
          </w:divBdr>
        </w:div>
        <w:div w:id="894003128">
          <w:marLeft w:val="0"/>
          <w:marRight w:val="0"/>
          <w:marTop w:val="0"/>
          <w:marBottom w:val="0"/>
          <w:divBdr>
            <w:top w:val="none" w:sz="0" w:space="0" w:color="auto"/>
            <w:left w:val="none" w:sz="0" w:space="0" w:color="auto"/>
            <w:bottom w:val="none" w:sz="0" w:space="0" w:color="auto"/>
            <w:right w:val="none" w:sz="0" w:space="0" w:color="auto"/>
          </w:divBdr>
        </w:div>
        <w:div w:id="678582749">
          <w:marLeft w:val="0"/>
          <w:marRight w:val="0"/>
          <w:marTop w:val="0"/>
          <w:marBottom w:val="0"/>
          <w:divBdr>
            <w:top w:val="none" w:sz="0" w:space="0" w:color="auto"/>
            <w:left w:val="none" w:sz="0" w:space="0" w:color="auto"/>
            <w:bottom w:val="none" w:sz="0" w:space="0" w:color="auto"/>
            <w:right w:val="none" w:sz="0" w:space="0" w:color="auto"/>
          </w:divBdr>
        </w:div>
        <w:div w:id="673530939">
          <w:marLeft w:val="0"/>
          <w:marRight w:val="0"/>
          <w:marTop w:val="0"/>
          <w:marBottom w:val="0"/>
          <w:divBdr>
            <w:top w:val="none" w:sz="0" w:space="0" w:color="auto"/>
            <w:left w:val="none" w:sz="0" w:space="0" w:color="auto"/>
            <w:bottom w:val="none" w:sz="0" w:space="0" w:color="auto"/>
            <w:right w:val="none" w:sz="0" w:space="0" w:color="auto"/>
          </w:divBdr>
        </w:div>
        <w:div w:id="956984329">
          <w:marLeft w:val="0"/>
          <w:marRight w:val="0"/>
          <w:marTop w:val="0"/>
          <w:marBottom w:val="0"/>
          <w:divBdr>
            <w:top w:val="none" w:sz="0" w:space="0" w:color="auto"/>
            <w:left w:val="none" w:sz="0" w:space="0" w:color="auto"/>
            <w:bottom w:val="none" w:sz="0" w:space="0" w:color="auto"/>
            <w:right w:val="none" w:sz="0" w:space="0" w:color="auto"/>
          </w:divBdr>
        </w:div>
        <w:div w:id="881136815">
          <w:marLeft w:val="0"/>
          <w:marRight w:val="0"/>
          <w:marTop w:val="0"/>
          <w:marBottom w:val="0"/>
          <w:divBdr>
            <w:top w:val="none" w:sz="0" w:space="0" w:color="auto"/>
            <w:left w:val="none" w:sz="0" w:space="0" w:color="auto"/>
            <w:bottom w:val="none" w:sz="0" w:space="0" w:color="auto"/>
            <w:right w:val="none" w:sz="0" w:space="0" w:color="auto"/>
          </w:divBdr>
        </w:div>
        <w:div w:id="26571467">
          <w:marLeft w:val="0"/>
          <w:marRight w:val="0"/>
          <w:marTop w:val="0"/>
          <w:marBottom w:val="0"/>
          <w:divBdr>
            <w:top w:val="none" w:sz="0" w:space="0" w:color="auto"/>
            <w:left w:val="none" w:sz="0" w:space="0" w:color="auto"/>
            <w:bottom w:val="none" w:sz="0" w:space="0" w:color="auto"/>
            <w:right w:val="none" w:sz="0" w:space="0" w:color="auto"/>
          </w:divBdr>
        </w:div>
        <w:div w:id="161313261">
          <w:marLeft w:val="0"/>
          <w:marRight w:val="0"/>
          <w:marTop w:val="0"/>
          <w:marBottom w:val="0"/>
          <w:divBdr>
            <w:top w:val="none" w:sz="0" w:space="0" w:color="auto"/>
            <w:left w:val="none" w:sz="0" w:space="0" w:color="auto"/>
            <w:bottom w:val="none" w:sz="0" w:space="0" w:color="auto"/>
            <w:right w:val="none" w:sz="0" w:space="0" w:color="auto"/>
          </w:divBdr>
        </w:div>
        <w:div w:id="1253514583">
          <w:marLeft w:val="0"/>
          <w:marRight w:val="0"/>
          <w:marTop w:val="0"/>
          <w:marBottom w:val="0"/>
          <w:divBdr>
            <w:top w:val="none" w:sz="0" w:space="0" w:color="auto"/>
            <w:left w:val="none" w:sz="0" w:space="0" w:color="auto"/>
            <w:bottom w:val="none" w:sz="0" w:space="0" w:color="auto"/>
            <w:right w:val="none" w:sz="0" w:space="0" w:color="auto"/>
          </w:divBdr>
        </w:div>
        <w:div w:id="600990823">
          <w:marLeft w:val="0"/>
          <w:marRight w:val="0"/>
          <w:marTop w:val="0"/>
          <w:marBottom w:val="0"/>
          <w:divBdr>
            <w:top w:val="none" w:sz="0" w:space="0" w:color="auto"/>
            <w:left w:val="none" w:sz="0" w:space="0" w:color="auto"/>
            <w:bottom w:val="none" w:sz="0" w:space="0" w:color="auto"/>
            <w:right w:val="none" w:sz="0" w:space="0" w:color="auto"/>
          </w:divBdr>
        </w:div>
        <w:div w:id="1984843217">
          <w:marLeft w:val="0"/>
          <w:marRight w:val="0"/>
          <w:marTop w:val="0"/>
          <w:marBottom w:val="0"/>
          <w:divBdr>
            <w:top w:val="none" w:sz="0" w:space="0" w:color="auto"/>
            <w:left w:val="none" w:sz="0" w:space="0" w:color="auto"/>
            <w:bottom w:val="none" w:sz="0" w:space="0" w:color="auto"/>
            <w:right w:val="none" w:sz="0" w:space="0" w:color="auto"/>
          </w:divBdr>
        </w:div>
        <w:div w:id="1598518023">
          <w:marLeft w:val="0"/>
          <w:marRight w:val="0"/>
          <w:marTop w:val="0"/>
          <w:marBottom w:val="0"/>
          <w:divBdr>
            <w:top w:val="none" w:sz="0" w:space="0" w:color="auto"/>
            <w:left w:val="none" w:sz="0" w:space="0" w:color="auto"/>
            <w:bottom w:val="none" w:sz="0" w:space="0" w:color="auto"/>
            <w:right w:val="none" w:sz="0" w:space="0" w:color="auto"/>
          </w:divBdr>
        </w:div>
        <w:div w:id="1843818290">
          <w:marLeft w:val="0"/>
          <w:marRight w:val="0"/>
          <w:marTop w:val="0"/>
          <w:marBottom w:val="0"/>
          <w:divBdr>
            <w:top w:val="none" w:sz="0" w:space="0" w:color="auto"/>
            <w:left w:val="none" w:sz="0" w:space="0" w:color="auto"/>
            <w:bottom w:val="none" w:sz="0" w:space="0" w:color="auto"/>
            <w:right w:val="none" w:sz="0" w:space="0" w:color="auto"/>
          </w:divBdr>
        </w:div>
        <w:div w:id="1847284182">
          <w:marLeft w:val="0"/>
          <w:marRight w:val="0"/>
          <w:marTop w:val="0"/>
          <w:marBottom w:val="0"/>
          <w:divBdr>
            <w:top w:val="none" w:sz="0" w:space="0" w:color="auto"/>
            <w:left w:val="none" w:sz="0" w:space="0" w:color="auto"/>
            <w:bottom w:val="none" w:sz="0" w:space="0" w:color="auto"/>
            <w:right w:val="none" w:sz="0" w:space="0" w:color="auto"/>
          </w:divBdr>
        </w:div>
        <w:div w:id="2074308026">
          <w:marLeft w:val="0"/>
          <w:marRight w:val="0"/>
          <w:marTop w:val="0"/>
          <w:marBottom w:val="0"/>
          <w:divBdr>
            <w:top w:val="none" w:sz="0" w:space="0" w:color="auto"/>
            <w:left w:val="none" w:sz="0" w:space="0" w:color="auto"/>
            <w:bottom w:val="none" w:sz="0" w:space="0" w:color="auto"/>
            <w:right w:val="none" w:sz="0" w:space="0" w:color="auto"/>
          </w:divBdr>
          <w:divsChild>
            <w:div w:id="495799986">
              <w:marLeft w:val="0"/>
              <w:marRight w:val="0"/>
              <w:marTop w:val="0"/>
              <w:marBottom w:val="0"/>
              <w:divBdr>
                <w:top w:val="none" w:sz="0" w:space="0" w:color="auto"/>
                <w:left w:val="none" w:sz="0" w:space="0" w:color="auto"/>
                <w:bottom w:val="none" w:sz="0" w:space="0" w:color="auto"/>
                <w:right w:val="none" w:sz="0" w:space="0" w:color="auto"/>
              </w:divBdr>
            </w:div>
            <w:div w:id="518810509">
              <w:marLeft w:val="0"/>
              <w:marRight w:val="0"/>
              <w:marTop w:val="0"/>
              <w:marBottom w:val="0"/>
              <w:divBdr>
                <w:top w:val="none" w:sz="0" w:space="0" w:color="auto"/>
                <w:left w:val="none" w:sz="0" w:space="0" w:color="auto"/>
                <w:bottom w:val="none" w:sz="0" w:space="0" w:color="auto"/>
                <w:right w:val="none" w:sz="0" w:space="0" w:color="auto"/>
              </w:divBdr>
            </w:div>
            <w:div w:id="911886248">
              <w:marLeft w:val="0"/>
              <w:marRight w:val="0"/>
              <w:marTop w:val="0"/>
              <w:marBottom w:val="0"/>
              <w:divBdr>
                <w:top w:val="none" w:sz="0" w:space="0" w:color="auto"/>
                <w:left w:val="none" w:sz="0" w:space="0" w:color="auto"/>
                <w:bottom w:val="none" w:sz="0" w:space="0" w:color="auto"/>
                <w:right w:val="none" w:sz="0" w:space="0" w:color="auto"/>
              </w:divBdr>
            </w:div>
            <w:div w:id="293021379">
              <w:marLeft w:val="0"/>
              <w:marRight w:val="0"/>
              <w:marTop w:val="0"/>
              <w:marBottom w:val="0"/>
              <w:divBdr>
                <w:top w:val="none" w:sz="0" w:space="0" w:color="auto"/>
                <w:left w:val="none" w:sz="0" w:space="0" w:color="auto"/>
                <w:bottom w:val="none" w:sz="0" w:space="0" w:color="auto"/>
                <w:right w:val="none" w:sz="0" w:space="0" w:color="auto"/>
              </w:divBdr>
            </w:div>
            <w:div w:id="326246888">
              <w:marLeft w:val="0"/>
              <w:marRight w:val="0"/>
              <w:marTop w:val="0"/>
              <w:marBottom w:val="0"/>
              <w:divBdr>
                <w:top w:val="none" w:sz="0" w:space="0" w:color="auto"/>
                <w:left w:val="none" w:sz="0" w:space="0" w:color="auto"/>
                <w:bottom w:val="none" w:sz="0" w:space="0" w:color="auto"/>
                <w:right w:val="none" w:sz="0" w:space="0" w:color="auto"/>
              </w:divBdr>
            </w:div>
            <w:div w:id="1226523776">
              <w:marLeft w:val="0"/>
              <w:marRight w:val="0"/>
              <w:marTop w:val="0"/>
              <w:marBottom w:val="0"/>
              <w:divBdr>
                <w:top w:val="none" w:sz="0" w:space="0" w:color="auto"/>
                <w:left w:val="none" w:sz="0" w:space="0" w:color="auto"/>
                <w:bottom w:val="none" w:sz="0" w:space="0" w:color="auto"/>
                <w:right w:val="none" w:sz="0" w:space="0" w:color="auto"/>
              </w:divBdr>
            </w:div>
            <w:div w:id="105807559">
              <w:marLeft w:val="0"/>
              <w:marRight w:val="0"/>
              <w:marTop w:val="0"/>
              <w:marBottom w:val="0"/>
              <w:divBdr>
                <w:top w:val="none" w:sz="0" w:space="0" w:color="auto"/>
                <w:left w:val="none" w:sz="0" w:space="0" w:color="auto"/>
                <w:bottom w:val="none" w:sz="0" w:space="0" w:color="auto"/>
                <w:right w:val="none" w:sz="0" w:space="0" w:color="auto"/>
              </w:divBdr>
            </w:div>
            <w:div w:id="1142190628">
              <w:marLeft w:val="0"/>
              <w:marRight w:val="0"/>
              <w:marTop w:val="0"/>
              <w:marBottom w:val="0"/>
              <w:divBdr>
                <w:top w:val="none" w:sz="0" w:space="0" w:color="auto"/>
                <w:left w:val="none" w:sz="0" w:space="0" w:color="auto"/>
                <w:bottom w:val="none" w:sz="0" w:space="0" w:color="auto"/>
                <w:right w:val="none" w:sz="0" w:space="0" w:color="auto"/>
              </w:divBdr>
            </w:div>
            <w:div w:id="594167312">
              <w:marLeft w:val="0"/>
              <w:marRight w:val="0"/>
              <w:marTop w:val="0"/>
              <w:marBottom w:val="0"/>
              <w:divBdr>
                <w:top w:val="none" w:sz="0" w:space="0" w:color="auto"/>
                <w:left w:val="none" w:sz="0" w:space="0" w:color="auto"/>
                <w:bottom w:val="none" w:sz="0" w:space="0" w:color="auto"/>
                <w:right w:val="none" w:sz="0" w:space="0" w:color="auto"/>
              </w:divBdr>
            </w:div>
            <w:div w:id="3243198">
              <w:marLeft w:val="0"/>
              <w:marRight w:val="0"/>
              <w:marTop w:val="0"/>
              <w:marBottom w:val="0"/>
              <w:divBdr>
                <w:top w:val="none" w:sz="0" w:space="0" w:color="auto"/>
                <w:left w:val="none" w:sz="0" w:space="0" w:color="auto"/>
                <w:bottom w:val="none" w:sz="0" w:space="0" w:color="auto"/>
                <w:right w:val="none" w:sz="0" w:space="0" w:color="auto"/>
              </w:divBdr>
            </w:div>
            <w:div w:id="2102287149">
              <w:marLeft w:val="0"/>
              <w:marRight w:val="0"/>
              <w:marTop w:val="0"/>
              <w:marBottom w:val="0"/>
              <w:divBdr>
                <w:top w:val="none" w:sz="0" w:space="0" w:color="auto"/>
                <w:left w:val="none" w:sz="0" w:space="0" w:color="auto"/>
                <w:bottom w:val="none" w:sz="0" w:space="0" w:color="auto"/>
                <w:right w:val="none" w:sz="0" w:space="0" w:color="auto"/>
              </w:divBdr>
            </w:div>
            <w:div w:id="1787431382">
              <w:marLeft w:val="0"/>
              <w:marRight w:val="0"/>
              <w:marTop w:val="0"/>
              <w:marBottom w:val="0"/>
              <w:divBdr>
                <w:top w:val="none" w:sz="0" w:space="0" w:color="auto"/>
                <w:left w:val="none" w:sz="0" w:space="0" w:color="auto"/>
                <w:bottom w:val="none" w:sz="0" w:space="0" w:color="auto"/>
                <w:right w:val="none" w:sz="0" w:space="0" w:color="auto"/>
              </w:divBdr>
            </w:div>
            <w:div w:id="1715155243">
              <w:marLeft w:val="0"/>
              <w:marRight w:val="0"/>
              <w:marTop w:val="0"/>
              <w:marBottom w:val="0"/>
              <w:divBdr>
                <w:top w:val="none" w:sz="0" w:space="0" w:color="auto"/>
                <w:left w:val="none" w:sz="0" w:space="0" w:color="auto"/>
                <w:bottom w:val="none" w:sz="0" w:space="0" w:color="auto"/>
                <w:right w:val="none" w:sz="0" w:space="0" w:color="auto"/>
              </w:divBdr>
            </w:div>
            <w:div w:id="1419904985">
              <w:marLeft w:val="0"/>
              <w:marRight w:val="0"/>
              <w:marTop w:val="0"/>
              <w:marBottom w:val="0"/>
              <w:divBdr>
                <w:top w:val="none" w:sz="0" w:space="0" w:color="auto"/>
                <w:left w:val="none" w:sz="0" w:space="0" w:color="auto"/>
                <w:bottom w:val="none" w:sz="0" w:space="0" w:color="auto"/>
                <w:right w:val="none" w:sz="0" w:space="0" w:color="auto"/>
              </w:divBdr>
            </w:div>
            <w:div w:id="635527936">
              <w:marLeft w:val="0"/>
              <w:marRight w:val="0"/>
              <w:marTop w:val="0"/>
              <w:marBottom w:val="0"/>
              <w:divBdr>
                <w:top w:val="none" w:sz="0" w:space="0" w:color="auto"/>
                <w:left w:val="none" w:sz="0" w:space="0" w:color="auto"/>
                <w:bottom w:val="none" w:sz="0" w:space="0" w:color="auto"/>
                <w:right w:val="none" w:sz="0" w:space="0" w:color="auto"/>
              </w:divBdr>
            </w:div>
            <w:div w:id="4370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2612">
      <w:bodyDiv w:val="1"/>
      <w:marLeft w:val="0"/>
      <w:marRight w:val="0"/>
      <w:marTop w:val="0"/>
      <w:marBottom w:val="0"/>
      <w:divBdr>
        <w:top w:val="none" w:sz="0" w:space="0" w:color="auto"/>
        <w:left w:val="none" w:sz="0" w:space="0" w:color="auto"/>
        <w:bottom w:val="none" w:sz="0" w:space="0" w:color="auto"/>
        <w:right w:val="none" w:sz="0" w:space="0" w:color="auto"/>
      </w:divBdr>
      <w:divsChild>
        <w:div w:id="1775858776">
          <w:marLeft w:val="0"/>
          <w:marRight w:val="0"/>
          <w:marTop w:val="0"/>
          <w:marBottom w:val="0"/>
          <w:divBdr>
            <w:top w:val="none" w:sz="0" w:space="0" w:color="auto"/>
            <w:left w:val="none" w:sz="0" w:space="0" w:color="auto"/>
            <w:bottom w:val="none" w:sz="0" w:space="0" w:color="auto"/>
            <w:right w:val="none" w:sz="0" w:space="0" w:color="auto"/>
          </w:divBdr>
        </w:div>
        <w:div w:id="1708480618">
          <w:marLeft w:val="0"/>
          <w:marRight w:val="0"/>
          <w:marTop w:val="0"/>
          <w:marBottom w:val="0"/>
          <w:divBdr>
            <w:top w:val="none" w:sz="0" w:space="0" w:color="auto"/>
            <w:left w:val="none" w:sz="0" w:space="0" w:color="auto"/>
            <w:bottom w:val="none" w:sz="0" w:space="0" w:color="auto"/>
            <w:right w:val="none" w:sz="0" w:space="0" w:color="auto"/>
          </w:divBdr>
        </w:div>
        <w:div w:id="2038700359">
          <w:marLeft w:val="0"/>
          <w:marRight w:val="0"/>
          <w:marTop w:val="0"/>
          <w:marBottom w:val="0"/>
          <w:divBdr>
            <w:top w:val="none" w:sz="0" w:space="0" w:color="auto"/>
            <w:left w:val="none" w:sz="0" w:space="0" w:color="auto"/>
            <w:bottom w:val="none" w:sz="0" w:space="0" w:color="auto"/>
            <w:right w:val="none" w:sz="0" w:space="0" w:color="auto"/>
          </w:divBdr>
        </w:div>
        <w:div w:id="13264535">
          <w:marLeft w:val="0"/>
          <w:marRight w:val="0"/>
          <w:marTop w:val="0"/>
          <w:marBottom w:val="0"/>
          <w:divBdr>
            <w:top w:val="none" w:sz="0" w:space="0" w:color="auto"/>
            <w:left w:val="none" w:sz="0" w:space="0" w:color="auto"/>
            <w:bottom w:val="none" w:sz="0" w:space="0" w:color="auto"/>
            <w:right w:val="none" w:sz="0" w:space="0" w:color="auto"/>
          </w:divBdr>
        </w:div>
        <w:div w:id="1001082094">
          <w:marLeft w:val="0"/>
          <w:marRight w:val="0"/>
          <w:marTop w:val="0"/>
          <w:marBottom w:val="0"/>
          <w:divBdr>
            <w:top w:val="none" w:sz="0" w:space="0" w:color="auto"/>
            <w:left w:val="none" w:sz="0" w:space="0" w:color="auto"/>
            <w:bottom w:val="none" w:sz="0" w:space="0" w:color="auto"/>
            <w:right w:val="none" w:sz="0" w:space="0" w:color="auto"/>
          </w:divBdr>
        </w:div>
        <w:div w:id="1798062803">
          <w:marLeft w:val="0"/>
          <w:marRight w:val="0"/>
          <w:marTop w:val="0"/>
          <w:marBottom w:val="0"/>
          <w:divBdr>
            <w:top w:val="none" w:sz="0" w:space="0" w:color="auto"/>
            <w:left w:val="none" w:sz="0" w:space="0" w:color="auto"/>
            <w:bottom w:val="none" w:sz="0" w:space="0" w:color="auto"/>
            <w:right w:val="none" w:sz="0" w:space="0" w:color="auto"/>
          </w:divBdr>
        </w:div>
      </w:divsChild>
    </w:div>
    <w:div w:id="727919165">
      <w:bodyDiv w:val="1"/>
      <w:marLeft w:val="0"/>
      <w:marRight w:val="0"/>
      <w:marTop w:val="0"/>
      <w:marBottom w:val="0"/>
      <w:divBdr>
        <w:top w:val="none" w:sz="0" w:space="0" w:color="auto"/>
        <w:left w:val="none" w:sz="0" w:space="0" w:color="auto"/>
        <w:bottom w:val="none" w:sz="0" w:space="0" w:color="auto"/>
        <w:right w:val="none" w:sz="0" w:space="0" w:color="auto"/>
      </w:divBdr>
      <w:divsChild>
        <w:div w:id="15666291">
          <w:marLeft w:val="0"/>
          <w:marRight w:val="0"/>
          <w:marTop w:val="0"/>
          <w:marBottom w:val="0"/>
          <w:divBdr>
            <w:top w:val="none" w:sz="0" w:space="0" w:color="auto"/>
            <w:left w:val="none" w:sz="0" w:space="0" w:color="auto"/>
            <w:bottom w:val="none" w:sz="0" w:space="0" w:color="auto"/>
            <w:right w:val="none" w:sz="0" w:space="0" w:color="auto"/>
          </w:divBdr>
        </w:div>
        <w:div w:id="205872912">
          <w:marLeft w:val="0"/>
          <w:marRight w:val="0"/>
          <w:marTop w:val="0"/>
          <w:marBottom w:val="0"/>
          <w:divBdr>
            <w:top w:val="none" w:sz="0" w:space="0" w:color="auto"/>
            <w:left w:val="none" w:sz="0" w:space="0" w:color="auto"/>
            <w:bottom w:val="none" w:sz="0" w:space="0" w:color="auto"/>
            <w:right w:val="none" w:sz="0" w:space="0" w:color="auto"/>
          </w:divBdr>
        </w:div>
        <w:div w:id="1748532364">
          <w:marLeft w:val="0"/>
          <w:marRight w:val="0"/>
          <w:marTop w:val="0"/>
          <w:marBottom w:val="0"/>
          <w:divBdr>
            <w:top w:val="none" w:sz="0" w:space="0" w:color="auto"/>
            <w:left w:val="none" w:sz="0" w:space="0" w:color="auto"/>
            <w:bottom w:val="none" w:sz="0" w:space="0" w:color="auto"/>
            <w:right w:val="none" w:sz="0" w:space="0" w:color="auto"/>
          </w:divBdr>
        </w:div>
        <w:div w:id="360059336">
          <w:marLeft w:val="0"/>
          <w:marRight w:val="0"/>
          <w:marTop w:val="0"/>
          <w:marBottom w:val="0"/>
          <w:divBdr>
            <w:top w:val="none" w:sz="0" w:space="0" w:color="auto"/>
            <w:left w:val="none" w:sz="0" w:space="0" w:color="auto"/>
            <w:bottom w:val="none" w:sz="0" w:space="0" w:color="auto"/>
            <w:right w:val="none" w:sz="0" w:space="0" w:color="auto"/>
          </w:divBdr>
        </w:div>
        <w:div w:id="811601246">
          <w:marLeft w:val="0"/>
          <w:marRight w:val="0"/>
          <w:marTop w:val="0"/>
          <w:marBottom w:val="0"/>
          <w:divBdr>
            <w:top w:val="none" w:sz="0" w:space="0" w:color="auto"/>
            <w:left w:val="none" w:sz="0" w:space="0" w:color="auto"/>
            <w:bottom w:val="none" w:sz="0" w:space="0" w:color="auto"/>
            <w:right w:val="none" w:sz="0" w:space="0" w:color="auto"/>
          </w:divBdr>
        </w:div>
        <w:div w:id="1835991982">
          <w:marLeft w:val="0"/>
          <w:marRight w:val="0"/>
          <w:marTop w:val="0"/>
          <w:marBottom w:val="0"/>
          <w:divBdr>
            <w:top w:val="none" w:sz="0" w:space="0" w:color="auto"/>
            <w:left w:val="none" w:sz="0" w:space="0" w:color="auto"/>
            <w:bottom w:val="none" w:sz="0" w:space="0" w:color="auto"/>
            <w:right w:val="none" w:sz="0" w:space="0" w:color="auto"/>
          </w:divBdr>
        </w:div>
      </w:divsChild>
    </w:div>
    <w:div w:id="825047177">
      <w:bodyDiv w:val="1"/>
      <w:marLeft w:val="0"/>
      <w:marRight w:val="0"/>
      <w:marTop w:val="0"/>
      <w:marBottom w:val="0"/>
      <w:divBdr>
        <w:top w:val="none" w:sz="0" w:space="0" w:color="auto"/>
        <w:left w:val="none" w:sz="0" w:space="0" w:color="auto"/>
        <w:bottom w:val="none" w:sz="0" w:space="0" w:color="auto"/>
        <w:right w:val="none" w:sz="0" w:space="0" w:color="auto"/>
      </w:divBdr>
      <w:divsChild>
        <w:div w:id="1135177838">
          <w:marLeft w:val="0"/>
          <w:marRight w:val="0"/>
          <w:marTop w:val="0"/>
          <w:marBottom w:val="0"/>
          <w:divBdr>
            <w:top w:val="none" w:sz="0" w:space="0" w:color="auto"/>
            <w:left w:val="none" w:sz="0" w:space="0" w:color="auto"/>
            <w:bottom w:val="none" w:sz="0" w:space="0" w:color="auto"/>
            <w:right w:val="none" w:sz="0" w:space="0" w:color="auto"/>
          </w:divBdr>
        </w:div>
        <w:div w:id="884025293">
          <w:marLeft w:val="0"/>
          <w:marRight w:val="0"/>
          <w:marTop w:val="0"/>
          <w:marBottom w:val="0"/>
          <w:divBdr>
            <w:top w:val="none" w:sz="0" w:space="0" w:color="auto"/>
            <w:left w:val="none" w:sz="0" w:space="0" w:color="auto"/>
            <w:bottom w:val="none" w:sz="0" w:space="0" w:color="auto"/>
            <w:right w:val="none" w:sz="0" w:space="0" w:color="auto"/>
          </w:divBdr>
        </w:div>
        <w:div w:id="224336666">
          <w:marLeft w:val="0"/>
          <w:marRight w:val="0"/>
          <w:marTop w:val="0"/>
          <w:marBottom w:val="0"/>
          <w:divBdr>
            <w:top w:val="none" w:sz="0" w:space="0" w:color="auto"/>
            <w:left w:val="none" w:sz="0" w:space="0" w:color="auto"/>
            <w:bottom w:val="none" w:sz="0" w:space="0" w:color="auto"/>
            <w:right w:val="none" w:sz="0" w:space="0" w:color="auto"/>
          </w:divBdr>
        </w:div>
        <w:div w:id="560482987">
          <w:marLeft w:val="0"/>
          <w:marRight w:val="0"/>
          <w:marTop w:val="0"/>
          <w:marBottom w:val="0"/>
          <w:divBdr>
            <w:top w:val="none" w:sz="0" w:space="0" w:color="auto"/>
            <w:left w:val="none" w:sz="0" w:space="0" w:color="auto"/>
            <w:bottom w:val="none" w:sz="0" w:space="0" w:color="auto"/>
            <w:right w:val="none" w:sz="0" w:space="0" w:color="auto"/>
          </w:divBdr>
        </w:div>
        <w:div w:id="233246957">
          <w:marLeft w:val="0"/>
          <w:marRight w:val="0"/>
          <w:marTop w:val="0"/>
          <w:marBottom w:val="0"/>
          <w:divBdr>
            <w:top w:val="none" w:sz="0" w:space="0" w:color="auto"/>
            <w:left w:val="none" w:sz="0" w:space="0" w:color="auto"/>
            <w:bottom w:val="none" w:sz="0" w:space="0" w:color="auto"/>
            <w:right w:val="none" w:sz="0" w:space="0" w:color="auto"/>
          </w:divBdr>
        </w:div>
        <w:div w:id="1543321034">
          <w:marLeft w:val="0"/>
          <w:marRight w:val="0"/>
          <w:marTop w:val="0"/>
          <w:marBottom w:val="0"/>
          <w:divBdr>
            <w:top w:val="none" w:sz="0" w:space="0" w:color="auto"/>
            <w:left w:val="none" w:sz="0" w:space="0" w:color="auto"/>
            <w:bottom w:val="none" w:sz="0" w:space="0" w:color="auto"/>
            <w:right w:val="none" w:sz="0" w:space="0" w:color="auto"/>
          </w:divBdr>
        </w:div>
      </w:divsChild>
    </w:div>
    <w:div w:id="1077048141">
      <w:bodyDiv w:val="1"/>
      <w:marLeft w:val="0"/>
      <w:marRight w:val="0"/>
      <w:marTop w:val="0"/>
      <w:marBottom w:val="0"/>
      <w:divBdr>
        <w:top w:val="none" w:sz="0" w:space="0" w:color="auto"/>
        <w:left w:val="none" w:sz="0" w:space="0" w:color="auto"/>
        <w:bottom w:val="none" w:sz="0" w:space="0" w:color="auto"/>
        <w:right w:val="none" w:sz="0" w:space="0" w:color="auto"/>
      </w:divBdr>
    </w:div>
    <w:div w:id="1160123795">
      <w:bodyDiv w:val="1"/>
      <w:marLeft w:val="0"/>
      <w:marRight w:val="0"/>
      <w:marTop w:val="0"/>
      <w:marBottom w:val="0"/>
      <w:divBdr>
        <w:top w:val="none" w:sz="0" w:space="0" w:color="auto"/>
        <w:left w:val="none" w:sz="0" w:space="0" w:color="auto"/>
        <w:bottom w:val="none" w:sz="0" w:space="0" w:color="auto"/>
        <w:right w:val="none" w:sz="0" w:space="0" w:color="auto"/>
      </w:divBdr>
      <w:divsChild>
        <w:div w:id="1733967564">
          <w:marLeft w:val="0"/>
          <w:marRight w:val="0"/>
          <w:marTop w:val="0"/>
          <w:marBottom w:val="0"/>
          <w:divBdr>
            <w:top w:val="none" w:sz="0" w:space="0" w:color="auto"/>
            <w:left w:val="none" w:sz="0" w:space="0" w:color="auto"/>
            <w:bottom w:val="none" w:sz="0" w:space="0" w:color="auto"/>
            <w:right w:val="none" w:sz="0" w:space="0" w:color="auto"/>
          </w:divBdr>
          <w:divsChild>
            <w:div w:id="354888593">
              <w:marLeft w:val="0"/>
              <w:marRight w:val="0"/>
              <w:marTop w:val="0"/>
              <w:marBottom w:val="0"/>
              <w:divBdr>
                <w:top w:val="none" w:sz="0" w:space="0" w:color="auto"/>
                <w:left w:val="none" w:sz="0" w:space="0" w:color="auto"/>
                <w:bottom w:val="none" w:sz="0" w:space="0" w:color="auto"/>
                <w:right w:val="none" w:sz="0" w:space="0" w:color="auto"/>
              </w:divBdr>
              <w:divsChild>
                <w:div w:id="19531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58247">
      <w:bodyDiv w:val="1"/>
      <w:marLeft w:val="0"/>
      <w:marRight w:val="0"/>
      <w:marTop w:val="0"/>
      <w:marBottom w:val="0"/>
      <w:divBdr>
        <w:top w:val="none" w:sz="0" w:space="0" w:color="auto"/>
        <w:left w:val="none" w:sz="0" w:space="0" w:color="auto"/>
        <w:bottom w:val="none" w:sz="0" w:space="0" w:color="auto"/>
        <w:right w:val="none" w:sz="0" w:space="0" w:color="auto"/>
      </w:divBdr>
    </w:div>
    <w:div w:id="1422798831">
      <w:bodyDiv w:val="1"/>
      <w:marLeft w:val="0"/>
      <w:marRight w:val="0"/>
      <w:marTop w:val="0"/>
      <w:marBottom w:val="0"/>
      <w:divBdr>
        <w:top w:val="none" w:sz="0" w:space="0" w:color="auto"/>
        <w:left w:val="none" w:sz="0" w:space="0" w:color="auto"/>
        <w:bottom w:val="none" w:sz="0" w:space="0" w:color="auto"/>
        <w:right w:val="none" w:sz="0" w:space="0" w:color="auto"/>
      </w:divBdr>
      <w:divsChild>
        <w:div w:id="214197655">
          <w:marLeft w:val="0"/>
          <w:marRight w:val="0"/>
          <w:marTop w:val="0"/>
          <w:marBottom w:val="0"/>
          <w:divBdr>
            <w:top w:val="none" w:sz="0" w:space="0" w:color="auto"/>
            <w:left w:val="none" w:sz="0" w:space="0" w:color="auto"/>
            <w:bottom w:val="none" w:sz="0" w:space="0" w:color="auto"/>
            <w:right w:val="none" w:sz="0" w:space="0" w:color="auto"/>
          </w:divBdr>
        </w:div>
        <w:div w:id="129058122">
          <w:marLeft w:val="0"/>
          <w:marRight w:val="0"/>
          <w:marTop w:val="0"/>
          <w:marBottom w:val="0"/>
          <w:divBdr>
            <w:top w:val="none" w:sz="0" w:space="0" w:color="auto"/>
            <w:left w:val="none" w:sz="0" w:space="0" w:color="auto"/>
            <w:bottom w:val="none" w:sz="0" w:space="0" w:color="auto"/>
            <w:right w:val="none" w:sz="0" w:space="0" w:color="auto"/>
          </w:divBdr>
        </w:div>
      </w:divsChild>
    </w:div>
    <w:div w:id="1485854968">
      <w:bodyDiv w:val="1"/>
      <w:marLeft w:val="0"/>
      <w:marRight w:val="0"/>
      <w:marTop w:val="0"/>
      <w:marBottom w:val="0"/>
      <w:divBdr>
        <w:top w:val="none" w:sz="0" w:space="0" w:color="auto"/>
        <w:left w:val="none" w:sz="0" w:space="0" w:color="auto"/>
        <w:bottom w:val="none" w:sz="0" w:space="0" w:color="auto"/>
        <w:right w:val="none" w:sz="0" w:space="0" w:color="auto"/>
      </w:divBdr>
      <w:divsChild>
        <w:div w:id="740177309">
          <w:marLeft w:val="0"/>
          <w:marRight w:val="0"/>
          <w:marTop w:val="0"/>
          <w:marBottom w:val="0"/>
          <w:divBdr>
            <w:top w:val="none" w:sz="0" w:space="0" w:color="auto"/>
            <w:left w:val="none" w:sz="0" w:space="0" w:color="auto"/>
            <w:bottom w:val="none" w:sz="0" w:space="0" w:color="auto"/>
            <w:right w:val="none" w:sz="0" w:space="0" w:color="auto"/>
          </w:divBdr>
          <w:divsChild>
            <w:div w:id="1811896838">
              <w:marLeft w:val="0"/>
              <w:marRight w:val="0"/>
              <w:marTop w:val="0"/>
              <w:marBottom w:val="0"/>
              <w:divBdr>
                <w:top w:val="none" w:sz="0" w:space="0" w:color="auto"/>
                <w:left w:val="none" w:sz="0" w:space="0" w:color="auto"/>
                <w:bottom w:val="none" w:sz="0" w:space="0" w:color="auto"/>
                <w:right w:val="none" w:sz="0" w:space="0" w:color="auto"/>
              </w:divBdr>
              <w:divsChild>
                <w:div w:id="10023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5218">
      <w:bodyDiv w:val="1"/>
      <w:marLeft w:val="0"/>
      <w:marRight w:val="0"/>
      <w:marTop w:val="0"/>
      <w:marBottom w:val="0"/>
      <w:divBdr>
        <w:top w:val="none" w:sz="0" w:space="0" w:color="auto"/>
        <w:left w:val="none" w:sz="0" w:space="0" w:color="auto"/>
        <w:bottom w:val="none" w:sz="0" w:space="0" w:color="auto"/>
        <w:right w:val="none" w:sz="0" w:space="0" w:color="auto"/>
      </w:divBdr>
      <w:divsChild>
        <w:div w:id="359278902">
          <w:marLeft w:val="0"/>
          <w:marRight w:val="0"/>
          <w:marTop w:val="0"/>
          <w:marBottom w:val="0"/>
          <w:divBdr>
            <w:top w:val="none" w:sz="0" w:space="0" w:color="auto"/>
            <w:left w:val="none" w:sz="0" w:space="0" w:color="auto"/>
            <w:bottom w:val="none" w:sz="0" w:space="0" w:color="auto"/>
            <w:right w:val="none" w:sz="0" w:space="0" w:color="auto"/>
          </w:divBdr>
        </w:div>
        <w:div w:id="1379164353">
          <w:marLeft w:val="0"/>
          <w:marRight w:val="0"/>
          <w:marTop w:val="0"/>
          <w:marBottom w:val="0"/>
          <w:divBdr>
            <w:top w:val="none" w:sz="0" w:space="0" w:color="auto"/>
            <w:left w:val="none" w:sz="0" w:space="0" w:color="auto"/>
            <w:bottom w:val="none" w:sz="0" w:space="0" w:color="auto"/>
            <w:right w:val="none" w:sz="0" w:space="0" w:color="auto"/>
          </w:divBdr>
        </w:div>
        <w:div w:id="1501698012">
          <w:marLeft w:val="0"/>
          <w:marRight w:val="0"/>
          <w:marTop w:val="0"/>
          <w:marBottom w:val="0"/>
          <w:divBdr>
            <w:top w:val="none" w:sz="0" w:space="0" w:color="auto"/>
            <w:left w:val="none" w:sz="0" w:space="0" w:color="auto"/>
            <w:bottom w:val="none" w:sz="0" w:space="0" w:color="auto"/>
            <w:right w:val="none" w:sz="0" w:space="0" w:color="auto"/>
          </w:divBdr>
        </w:div>
        <w:div w:id="1274167024">
          <w:marLeft w:val="0"/>
          <w:marRight w:val="0"/>
          <w:marTop w:val="0"/>
          <w:marBottom w:val="0"/>
          <w:divBdr>
            <w:top w:val="none" w:sz="0" w:space="0" w:color="auto"/>
            <w:left w:val="none" w:sz="0" w:space="0" w:color="auto"/>
            <w:bottom w:val="none" w:sz="0" w:space="0" w:color="auto"/>
            <w:right w:val="none" w:sz="0" w:space="0" w:color="auto"/>
          </w:divBdr>
        </w:div>
        <w:div w:id="1863206784">
          <w:marLeft w:val="0"/>
          <w:marRight w:val="0"/>
          <w:marTop w:val="0"/>
          <w:marBottom w:val="0"/>
          <w:divBdr>
            <w:top w:val="none" w:sz="0" w:space="0" w:color="auto"/>
            <w:left w:val="none" w:sz="0" w:space="0" w:color="auto"/>
            <w:bottom w:val="none" w:sz="0" w:space="0" w:color="auto"/>
            <w:right w:val="none" w:sz="0" w:space="0" w:color="auto"/>
          </w:divBdr>
        </w:div>
        <w:div w:id="485628352">
          <w:marLeft w:val="0"/>
          <w:marRight w:val="0"/>
          <w:marTop w:val="0"/>
          <w:marBottom w:val="0"/>
          <w:divBdr>
            <w:top w:val="none" w:sz="0" w:space="0" w:color="auto"/>
            <w:left w:val="none" w:sz="0" w:space="0" w:color="auto"/>
            <w:bottom w:val="none" w:sz="0" w:space="0" w:color="auto"/>
            <w:right w:val="none" w:sz="0" w:space="0" w:color="auto"/>
          </w:divBdr>
        </w:div>
      </w:divsChild>
    </w:div>
    <w:div w:id="1536041467">
      <w:bodyDiv w:val="1"/>
      <w:marLeft w:val="0"/>
      <w:marRight w:val="0"/>
      <w:marTop w:val="0"/>
      <w:marBottom w:val="0"/>
      <w:divBdr>
        <w:top w:val="none" w:sz="0" w:space="0" w:color="auto"/>
        <w:left w:val="none" w:sz="0" w:space="0" w:color="auto"/>
        <w:bottom w:val="none" w:sz="0" w:space="0" w:color="auto"/>
        <w:right w:val="none" w:sz="0" w:space="0" w:color="auto"/>
      </w:divBdr>
      <w:divsChild>
        <w:div w:id="1100032368">
          <w:marLeft w:val="0"/>
          <w:marRight w:val="0"/>
          <w:marTop w:val="0"/>
          <w:marBottom w:val="0"/>
          <w:divBdr>
            <w:top w:val="none" w:sz="0" w:space="0" w:color="auto"/>
            <w:left w:val="none" w:sz="0" w:space="0" w:color="auto"/>
            <w:bottom w:val="none" w:sz="0" w:space="0" w:color="auto"/>
            <w:right w:val="none" w:sz="0" w:space="0" w:color="auto"/>
          </w:divBdr>
        </w:div>
        <w:div w:id="1358265602">
          <w:marLeft w:val="0"/>
          <w:marRight w:val="0"/>
          <w:marTop w:val="0"/>
          <w:marBottom w:val="0"/>
          <w:divBdr>
            <w:top w:val="none" w:sz="0" w:space="0" w:color="auto"/>
            <w:left w:val="none" w:sz="0" w:space="0" w:color="auto"/>
            <w:bottom w:val="none" w:sz="0" w:space="0" w:color="auto"/>
            <w:right w:val="none" w:sz="0" w:space="0" w:color="auto"/>
          </w:divBdr>
        </w:div>
      </w:divsChild>
    </w:div>
    <w:div w:id="1556157194">
      <w:bodyDiv w:val="1"/>
      <w:marLeft w:val="0"/>
      <w:marRight w:val="0"/>
      <w:marTop w:val="0"/>
      <w:marBottom w:val="0"/>
      <w:divBdr>
        <w:top w:val="none" w:sz="0" w:space="0" w:color="auto"/>
        <w:left w:val="none" w:sz="0" w:space="0" w:color="auto"/>
        <w:bottom w:val="none" w:sz="0" w:space="0" w:color="auto"/>
        <w:right w:val="none" w:sz="0" w:space="0" w:color="auto"/>
      </w:divBdr>
      <w:divsChild>
        <w:div w:id="218983934">
          <w:marLeft w:val="0"/>
          <w:marRight w:val="0"/>
          <w:marTop w:val="0"/>
          <w:marBottom w:val="0"/>
          <w:divBdr>
            <w:top w:val="none" w:sz="0" w:space="0" w:color="auto"/>
            <w:left w:val="none" w:sz="0" w:space="0" w:color="auto"/>
            <w:bottom w:val="none" w:sz="0" w:space="0" w:color="auto"/>
            <w:right w:val="none" w:sz="0" w:space="0" w:color="auto"/>
          </w:divBdr>
        </w:div>
        <w:div w:id="673532323">
          <w:marLeft w:val="0"/>
          <w:marRight w:val="0"/>
          <w:marTop w:val="0"/>
          <w:marBottom w:val="0"/>
          <w:divBdr>
            <w:top w:val="none" w:sz="0" w:space="0" w:color="auto"/>
            <w:left w:val="none" w:sz="0" w:space="0" w:color="auto"/>
            <w:bottom w:val="none" w:sz="0" w:space="0" w:color="auto"/>
            <w:right w:val="none" w:sz="0" w:space="0" w:color="auto"/>
          </w:divBdr>
        </w:div>
        <w:div w:id="1702317668">
          <w:marLeft w:val="0"/>
          <w:marRight w:val="0"/>
          <w:marTop w:val="0"/>
          <w:marBottom w:val="0"/>
          <w:divBdr>
            <w:top w:val="none" w:sz="0" w:space="0" w:color="auto"/>
            <w:left w:val="none" w:sz="0" w:space="0" w:color="auto"/>
            <w:bottom w:val="none" w:sz="0" w:space="0" w:color="auto"/>
            <w:right w:val="none" w:sz="0" w:space="0" w:color="auto"/>
          </w:divBdr>
        </w:div>
        <w:div w:id="356736787">
          <w:marLeft w:val="0"/>
          <w:marRight w:val="0"/>
          <w:marTop w:val="0"/>
          <w:marBottom w:val="0"/>
          <w:divBdr>
            <w:top w:val="none" w:sz="0" w:space="0" w:color="auto"/>
            <w:left w:val="none" w:sz="0" w:space="0" w:color="auto"/>
            <w:bottom w:val="none" w:sz="0" w:space="0" w:color="auto"/>
            <w:right w:val="none" w:sz="0" w:space="0" w:color="auto"/>
          </w:divBdr>
        </w:div>
        <w:div w:id="429014522">
          <w:marLeft w:val="0"/>
          <w:marRight w:val="0"/>
          <w:marTop w:val="0"/>
          <w:marBottom w:val="0"/>
          <w:divBdr>
            <w:top w:val="none" w:sz="0" w:space="0" w:color="auto"/>
            <w:left w:val="none" w:sz="0" w:space="0" w:color="auto"/>
            <w:bottom w:val="none" w:sz="0" w:space="0" w:color="auto"/>
            <w:right w:val="none" w:sz="0" w:space="0" w:color="auto"/>
          </w:divBdr>
        </w:div>
        <w:div w:id="816385981">
          <w:marLeft w:val="0"/>
          <w:marRight w:val="0"/>
          <w:marTop w:val="0"/>
          <w:marBottom w:val="0"/>
          <w:divBdr>
            <w:top w:val="none" w:sz="0" w:space="0" w:color="auto"/>
            <w:left w:val="none" w:sz="0" w:space="0" w:color="auto"/>
            <w:bottom w:val="none" w:sz="0" w:space="0" w:color="auto"/>
            <w:right w:val="none" w:sz="0" w:space="0" w:color="auto"/>
          </w:divBdr>
        </w:div>
      </w:divsChild>
    </w:div>
    <w:div w:id="1705978930">
      <w:bodyDiv w:val="1"/>
      <w:marLeft w:val="0"/>
      <w:marRight w:val="0"/>
      <w:marTop w:val="0"/>
      <w:marBottom w:val="0"/>
      <w:divBdr>
        <w:top w:val="none" w:sz="0" w:space="0" w:color="auto"/>
        <w:left w:val="none" w:sz="0" w:space="0" w:color="auto"/>
        <w:bottom w:val="none" w:sz="0" w:space="0" w:color="auto"/>
        <w:right w:val="none" w:sz="0" w:space="0" w:color="auto"/>
      </w:divBdr>
    </w:div>
    <w:div w:id="1908757263">
      <w:bodyDiv w:val="1"/>
      <w:marLeft w:val="0"/>
      <w:marRight w:val="0"/>
      <w:marTop w:val="0"/>
      <w:marBottom w:val="0"/>
      <w:divBdr>
        <w:top w:val="none" w:sz="0" w:space="0" w:color="auto"/>
        <w:left w:val="none" w:sz="0" w:space="0" w:color="auto"/>
        <w:bottom w:val="none" w:sz="0" w:space="0" w:color="auto"/>
        <w:right w:val="none" w:sz="0" w:space="0" w:color="auto"/>
      </w:divBdr>
      <w:divsChild>
        <w:div w:id="1801143555">
          <w:marLeft w:val="0"/>
          <w:marRight w:val="0"/>
          <w:marTop w:val="0"/>
          <w:marBottom w:val="0"/>
          <w:divBdr>
            <w:top w:val="none" w:sz="0" w:space="0" w:color="auto"/>
            <w:left w:val="none" w:sz="0" w:space="0" w:color="auto"/>
            <w:bottom w:val="none" w:sz="0" w:space="0" w:color="auto"/>
            <w:right w:val="none" w:sz="0" w:space="0" w:color="auto"/>
          </w:divBdr>
        </w:div>
        <w:div w:id="324600483">
          <w:marLeft w:val="0"/>
          <w:marRight w:val="0"/>
          <w:marTop w:val="0"/>
          <w:marBottom w:val="0"/>
          <w:divBdr>
            <w:top w:val="none" w:sz="0" w:space="0" w:color="auto"/>
            <w:left w:val="none" w:sz="0" w:space="0" w:color="auto"/>
            <w:bottom w:val="none" w:sz="0" w:space="0" w:color="auto"/>
            <w:right w:val="none" w:sz="0" w:space="0" w:color="auto"/>
          </w:divBdr>
        </w:div>
        <w:div w:id="1106384210">
          <w:marLeft w:val="0"/>
          <w:marRight w:val="0"/>
          <w:marTop w:val="0"/>
          <w:marBottom w:val="0"/>
          <w:divBdr>
            <w:top w:val="none" w:sz="0" w:space="0" w:color="auto"/>
            <w:left w:val="none" w:sz="0" w:space="0" w:color="auto"/>
            <w:bottom w:val="none" w:sz="0" w:space="0" w:color="auto"/>
            <w:right w:val="none" w:sz="0" w:space="0" w:color="auto"/>
          </w:divBdr>
        </w:div>
        <w:div w:id="1765150343">
          <w:marLeft w:val="0"/>
          <w:marRight w:val="0"/>
          <w:marTop w:val="0"/>
          <w:marBottom w:val="0"/>
          <w:divBdr>
            <w:top w:val="none" w:sz="0" w:space="0" w:color="auto"/>
            <w:left w:val="none" w:sz="0" w:space="0" w:color="auto"/>
            <w:bottom w:val="none" w:sz="0" w:space="0" w:color="auto"/>
            <w:right w:val="none" w:sz="0" w:space="0" w:color="auto"/>
          </w:divBdr>
        </w:div>
        <w:div w:id="1549221487">
          <w:marLeft w:val="0"/>
          <w:marRight w:val="0"/>
          <w:marTop w:val="0"/>
          <w:marBottom w:val="0"/>
          <w:divBdr>
            <w:top w:val="none" w:sz="0" w:space="0" w:color="auto"/>
            <w:left w:val="none" w:sz="0" w:space="0" w:color="auto"/>
            <w:bottom w:val="none" w:sz="0" w:space="0" w:color="auto"/>
            <w:right w:val="none" w:sz="0" w:space="0" w:color="auto"/>
          </w:divBdr>
        </w:div>
        <w:div w:id="1044989792">
          <w:marLeft w:val="0"/>
          <w:marRight w:val="0"/>
          <w:marTop w:val="0"/>
          <w:marBottom w:val="0"/>
          <w:divBdr>
            <w:top w:val="none" w:sz="0" w:space="0" w:color="auto"/>
            <w:left w:val="none" w:sz="0" w:space="0" w:color="auto"/>
            <w:bottom w:val="none" w:sz="0" w:space="0" w:color="auto"/>
            <w:right w:val="none" w:sz="0" w:space="0" w:color="auto"/>
          </w:divBdr>
        </w:div>
        <w:div w:id="1409426815">
          <w:marLeft w:val="0"/>
          <w:marRight w:val="0"/>
          <w:marTop w:val="0"/>
          <w:marBottom w:val="0"/>
          <w:divBdr>
            <w:top w:val="none" w:sz="0" w:space="0" w:color="auto"/>
            <w:left w:val="none" w:sz="0" w:space="0" w:color="auto"/>
            <w:bottom w:val="none" w:sz="0" w:space="0" w:color="auto"/>
            <w:right w:val="none" w:sz="0" w:space="0" w:color="auto"/>
          </w:divBdr>
        </w:div>
        <w:div w:id="494613708">
          <w:marLeft w:val="0"/>
          <w:marRight w:val="0"/>
          <w:marTop w:val="0"/>
          <w:marBottom w:val="0"/>
          <w:divBdr>
            <w:top w:val="none" w:sz="0" w:space="0" w:color="auto"/>
            <w:left w:val="none" w:sz="0" w:space="0" w:color="auto"/>
            <w:bottom w:val="none" w:sz="0" w:space="0" w:color="auto"/>
            <w:right w:val="none" w:sz="0" w:space="0" w:color="auto"/>
          </w:divBdr>
        </w:div>
        <w:div w:id="6370590">
          <w:marLeft w:val="0"/>
          <w:marRight w:val="0"/>
          <w:marTop w:val="0"/>
          <w:marBottom w:val="0"/>
          <w:divBdr>
            <w:top w:val="none" w:sz="0" w:space="0" w:color="auto"/>
            <w:left w:val="none" w:sz="0" w:space="0" w:color="auto"/>
            <w:bottom w:val="none" w:sz="0" w:space="0" w:color="auto"/>
            <w:right w:val="none" w:sz="0" w:space="0" w:color="auto"/>
          </w:divBdr>
        </w:div>
        <w:div w:id="1594436292">
          <w:marLeft w:val="0"/>
          <w:marRight w:val="0"/>
          <w:marTop w:val="0"/>
          <w:marBottom w:val="0"/>
          <w:divBdr>
            <w:top w:val="none" w:sz="0" w:space="0" w:color="auto"/>
            <w:left w:val="none" w:sz="0" w:space="0" w:color="auto"/>
            <w:bottom w:val="none" w:sz="0" w:space="0" w:color="auto"/>
            <w:right w:val="none" w:sz="0" w:space="0" w:color="auto"/>
          </w:divBdr>
        </w:div>
        <w:div w:id="1067730303">
          <w:marLeft w:val="0"/>
          <w:marRight w:val="0"/>
          <w:marTop w:val="0"/>
          <w:marBottom w:val="0"/>
          <w:divBdr>
            <w:top w:val="none" w:sz="0" w:space="0" w:color="auto"/>
            <w:left w:val="none" w:sz="0" w:space="0" w:color="auto"/>
            <w:bottom w:val="none" w:sz="0" w:space="0" w:color="auto"/>
            <w:right w:val="none" w:sz="0" w:space="0" w:color="auto"/>
          </w:divBdr>
        </w:div>
        <w:div w:id="693068712">
          <w:marLeft w:val="0"/>
          <w:marRight w:val="0"/>
          <w:marTop w:val="0"/>
          <w:marBottom w:val="0"/>
          <w:divBdr>
            <w:top w:val="none" w:sz="0" w:space="0" w:color="auto"/>
            <w:left w:val="none" w:sz="0" w:space="0" w:color="auto"/>
            <w:bottom w:val="none" w:sz="0" w:space="0" w:color="auto"/>
            <w:right w:val="none" w:sz="0" w:space="0" w:color="auto"/>
          </w:divBdr>
        </w:div>
        <w:div w:id="1414929879">
          <w:marLeft w:val="0"/>
          <w:marRight w:val="0"/>
          <w:marTop w:val="0"/>
          <w:marBottom w:val="0"/>
          <w:divBdr>
            <w:top w:val="none" w:sz="0" w:space="0" w:color="auto"/>
            <w:left w:val="none" w:sz="0" w:space="0" w:color="auto"/>
            <w:bottom w:val="none" w:sz="0" w:space="0" w:color="auto"/>
            <w:right w:val="none" w:sz="0" w:space="0" w:color="auto"/>
          </w:divBdr>
        </w:div>
        <w:div w:id="1293827075">
          <w:marLeft w:val="0"/>
          <w:marRight w:val="0"/>
          <w:marTop w:val="0"/>
          <w:marBottom w:val="0"/>
          <w:divBdr>
            <w:top w:val="none" w:sz="0" w:space="0" w:color="auto"/>
            <w:left w:val="none" w:sz="0" w:space="0" w:color="auto"/>
            <w:bottom w:val="none" w:sz="0" w:space="0" w:color="auto"/>
            <w:right w:val="none" w:sz="0" w:space="0" w:color="auto"/>
          </w:divBdr>
        </w:div>
        <w:div w:id="1494490927">
          <w:marLeft w:val="0"/>
          <w:marRight w:val="0"/>
          <w:marTop w:val="0"/>
          <w:marBottom w:val="0"/>
          <w:divBdr>
            <w:top w:val="none" w:sz="0" w:space="0" w:color="auto"/>
            <w:left w:val="none" w:sz="0" w:space="0" w:color="auto"/>
            <w:bottom w:val="none" w:sz="0" w:space="0" w:color="auto"/>
            <w:right w:val="none" w:sz="0" w:space="0" w:color="auto"/>
          </w:divBdr>
        </w:div>
        <w:div w:id="1638148382">
          <w:marLeft w:val="0"/>
          <w:marRight w:val="0"/>
          <w:marTop w:val="0"/>
          <w:marBottom w:val="0"/>
          <w:divBdr>
            <w:top w:val="none" w:sz="0" w:space="0" w:color="auto"/>
            <w:left w:val="none" w:sz="0" w:space="0" w:color="auto"/>
            <w:bottom w:val="none" w:sz="0" w:space="0" w:color="auto"/>
            <w:right w:val="none" w:sz="0" w:space="0" w:color="auto"/>
          </w:divBdr>
        </w:div>
        <w:div w:id="1794207534">
          <w:marLeft w:val="0"/>
          <w:marRight w:val="0"/>
          <w:marTop w:val="0"/>
          <w:marBottom w:val="0"/>
          <w:divBdr>
            <w:top w:val="none" w:sz="0" w:space="0" w:color="auto"/>
            <w:left w:val="none" w:sz="0" w:space="0" w:color="auto"/>
            <w:bottom w:val="none" w:sz="0" w:space="0" w:color="auto"/>
            <w:right w:val="none" w:sz="0" w:space="0" w:color="auto"/>
          </w:divBdr>
        </w:div>
        <w:div w:id="1498108077">
          <w:marLeft w:val="0"/>
          <w:marRight w:val="0"/>
          <w:marTop w:val="0"/>
          <w:marBottom w:val="0"/>
          <w:divBdr>
            <w:top w:val="none" w:sz="0" w:space="0" w:color="auto"/>
            <w:left w:val="none" w:sz="0" w:space="0" w:color="auto"/>
            <w:bottom w:val="none" w:sz="0" w:space="0" w:color="auto"/>
            <w:right w:val="none" w:sz="0" w:space="0" w:color="auto"/>
          </w:divBdr>
        </w:div>
        <w:div w:id="502161860">
          <w:marLeft w:val="0"/>
          <w:marRight w:val="0"/>
          <w:marTop w:val="0"/>
          <w:marBottom w:val="0"/>
          <w:divBdr>
            <w:top w:val="none" w:sz="0" w:space="0" w:color="auto"/>
            <w:left w:val="none" w:sz="0" w:space="0" w:color="auto"/>
            <w:bottom w:val="none" w:sz="0" w:space="0" w:color="auto"/>
            <w:right w:val="none" w:sz="0" w:space="0" w:color="auto"/>
          </w:divBdr>
        </w:div>
        <w:div w:id="885063693">
          <w:marLeft w:val="0"/>
          <w:marRight w:val="0"/>
          <w:marTop w:val="0"/>
          <w:marBottom w:val="0"/>
          <w:divBdr>
            <w:top w:val="none" w:sz="0" w:space="0" w:color="auto"/>
            <w:left w:val="none" w:sz="0" w:space="0" w:color="auto"/>
            <w:bottom w:val="none" w:sz="0" w:space="0" w:color="auto"/>
            <w:right w:val="none" w:sz="0" w:space="0" w:color="auto"/>
          </w:divBdr>
        </w:div>
        <w:div w:id="1068302365">
          <w:marLeft w:val="0"/>
          <w:marRight w:val="0"/>
          <w:marTop w:val="0"/>
          <w:marBottom w:val="0"/>
          <w:divBdr>
            <w:top w:val="none" w:sz="0" w:space="0" w:color="auto"/>
            <w:left w:val="none" w:sz="0" w:space="0" w:color="auto"/>
            <w:bottom w:val="none" w:sz="0" w:space="0" w:color="auto"/>
            <w:right w:val="none" w:sz="0" w:space="0" w:color="auto"/>
          </w:divBdr>
          <w:divsChild>
            <w:div w:id="1854145549">
              <w:marLeft w:val="0"/>
              <w:marRight w:val="0"/>
              <w:marTop w:val="0"/>
              <w:marBottom w:val="0"/>
              <w:divBdr>
                <w:top w:val="none" w:sz="0" w:space="0" w:color="auto"/>
                <w:left w:val="none" w:sz="0" w:space="0" w:color="auto"/>
                <w:bottom w:val="none" w:sz="0" w:space="0" w:color="auto"/>
                <w:right w:val="none" w:sz="0" w:space="0" w:color="auto"/>
              </w:divBdr>
            </w:div>
            <w:div w:id="1994215047">
              <w:marLeft w:val="0"/>
              <w:marRight w:val="0"/>
              <w:marTop w:val="0"/>
              <w:marBottom w:val="0"/>
              <w:divBdr>
                <w:top w:val="none" w:sz="0" w:space="0" w:color="auto"/>
                <w:left w:val="none" w:sz="0" w:space="0" w:color="auto"/>
                <w:bottom w:val="none" w:sz="0" w:space="0" w:color="auto"/>
                <w:right w:val="none" w:sz="0" w:space="0" w:color="auto"/>
              </w:divBdr>
            </w:div>
            <w:div w:id="955134841">
              <w:marLeft w:val="0"/>
              <w:marRight w:val="0"/>
              <w:marTop w:val="0"/>
              <w:marBottom w:val="0"/>
              <w:divBdr>
                <w:top w:val="none" w:sz="0" w:space="0" w:color="auto"/>
                <w:left w:val="none" w:sz="0" w:space="0" w:color="auto"/>
                <w:bottom w:val="none" w:sz="0" w:space="0" w:color="auto"/>
                <w:right w:val="none" w:sz="0" w:space="0" w:color="auto"/>
              </w:divBdr>
            </w:div>
            <w:div w:id="1304508888">
              <w:marLeft w:val="0"/>
              <w:marRight w:val="0"/>
              <w:marTop w:val="0"/>
              <w:marBottom w:val="0"/>
              <w:divBdr>
                <w:top w:val="none" w:sz="0" w:space="0" w:color="auto"/>
                <w:left w:val="none" w:sz="0" w:space="0" w:color="auto"/>
                <w:bottom w:val="none" w:sz="0" w:space="0" w:color="auto"/>
                <w:right w:val="none" w:sz="0" w:space="0" w:color="auto"/>
              </w:divBdr>
            </w:div>
            <w:div w:id="561331821">
              <w:marLeft w:val="0"/>
              <w:marRight w:val="0"/>
              <w:marTop w:val="0"/>
              <w:marBottom w:val="0"/>
              <w:divBdr>
                <w:top w:val="none" w:sz="0" w:space="0" w:color="auto"/>
                <w:left w:val="none" w:sz="0" w:space="0" w:color="auto"/>
                <w:bottom w:val="none" w:sz="0" w:space="0" w:color="auto"/>
                <w:right w:val="none" w:sz="0" w:space="0" w:color="auto"/>
              </w:divBdr>
            </w:div>
            <w:div w:id="1827865599">
              <w:marLeft w:val="0"/>
              <w:marRight w:val="0"/>
              <w:marTop w:val="0"/>
              <w:marBottom w:val="0"/>
              <w:divBdr>
                <w:top w:val="none" w:sz="0" w:space="0" w:color="auto"/>
                <w:left w:val="none" w:sz="0" w:space="0" w:color="auto"/>
                <w:bottom w:val="none" w:sz="0" w:space="0" w:color="auto"/>
                <w:right w:val="none" w:sz="0" w:space="0" w:color="auto"/>
              </w:divBdr>
            </w:div>
            <w:div w:id="1601722023">
              <w:marLeft w:val="0"/>
              <w:marRight w:val="0"/>
              <w:marTop w:val="0"/>
              <w:marBottom w:val="0"/>
              <w:divBdr>
                <w:top w:val="none" w:sz="0" w:space="0" w:color="auto"/>
                <w:left w:val="none" w:sz="0" w:space="0" w:color="auto"/>
                <w:bottom w:val="none" w:sz="0" w:space="0" w:color="auto"/>
                <w:right w:val="none" w:sz="0" w:space="0" w:color="auto"/>
              </w:divBdr>
            </w:div>
            <w:div w:id="1906405950">
              <w:marLeft w:val="0"/>
              <w:marRight w:val="0"/>
              <w:marTop w:val="0"/>
              <w:marBottom w:val="0"/>
              <w:divBdr>
                <w:top w:val="none" w:sz="0" w:space="0" w:color="auto"/>
                <w:left w:val="none" w:sz="0" w:space="0" w:color="auto"/>
                <w:bottom w:val="none" w:sz="0" w:space="0" w:color="auto"/>
                <w:right w:val="none" w:sz="0" w:space="0" w:color="auto"/>
              </w:divBdr>
            </w:div>
            <w:div w:id="1365909856">
              <w:marLeft w:val="0"/>
              <w:marRight w:val="0"/>
              <w:marTop w:val="0"/>
              <w:marBottom w:val="0"/>
              <w:divBdr>
                <w:top w:val="none" w:sz="0" w:space="0" w:color="auto"/>
                <w:left w:val="none" w:sz="0" w:space="0" w:color="auto"/>
                <w:bottom w:val="none" w:sz="0" w:space="0" w:color="auto"/>
                <w:right w:val="none" w:sz="0" w:space="0" w:color="auto"/>
              </w:divBdr>
            </w:div>
            <w:div w:id="2032141316">
              <w:marLeft w:val="0"/>
              <w:marRight w:val="0"/>
              <w:marTop w:val="0"/>
              <w:marBottom w:val="0"/>
              <w:divBdr>
                <w:top w:val="none" w:sz="0" w:space="0" w:color="auto"/>
                <w:left w:val="none" w:sz="0" w:space="0" w:color="auto"/>
                <w:bottom w:val="none" w:sz="0" w:space="0" w:color="auto"/>
                <w:right w:val="none" w:sz="0" w:space="0" w:color="auto"/>
              </w:divBdr>
            </w:div>
            <w:div w:id="265619355">
              <w:marLeft w:val="0"/>
              <w:marRight w:val="0"/>
              <w:marTop w:val="0"/>
              <w:marBottom w:val="0"/>
              <w:divBdr>
                <w:top w:val="none" w:sz="0" w:space="0" w:color="auto"/>
                <w:left w:val="none" w:sz="0" w:space="0" w:color="auto"/>
                <w:bottom w:val="none" w:sz="0" w:space="0" w:color="auto"/>
                <w:right w:val="none" w:sz="0" w:space="0" w:color="auto"/>
              </w:divBdr>
            </w:div>
            <w:div w:id="1527448435">
              <w:marLeft w:val="0"/>
              <w:marRight w:val="0"/>
              <w:marTop w:val="0"/>
              <w:marBottom w:val="0"/>
              <w:divBdr>
                <w:top w:val="none" w:sz="0" w:space="0" w:color="auto"/>
                <w:left w:val="none" w:sz="0" w:space="0" w:color="auto"/>
                <w:bottom w:val="none" w:sz="0" w:space="0" w:color="auto"/>
                <w:right w:val="none" w:sz="0" w:space="0" w:color="auto"/>
              </w:divBdr>
            </w:div>
            <w:div w:id="774980235">
              <w:marLeft w:val="0"/>
              <w:marRight w:val="0"/>
              <w:marTop w:val="0"/>
              <w:marBottom w:val="0"/>
              <w:divBdr>
                <w:top w:val="none" w:sz="0" w:space="0" w:color="auto"/>
                <w:left w:val="none" w:sz="0" w:space="0" w:color="auto"/>
                <w:bottom w:val="none" w:sz="0" w:space="0" w:color="auto"/>
                <w:right w:val="none" w:sz="0" w:space="0" w:color="auto"/>
              </w:divBdr>
            </w:div>
            <w:div w:id="1744914966">
              <w:marLeft w:val="0"/>
              <w:marRight w:val="0"/>
              <w:marTop w:val="0"/>
              <w:marBottom w:val="0"/>
              <w:divBdr>
                <w:top w:val="none" w:sz="0" w:space="0" w:color="auto"/>
                <w:left w:val="none" w:sz="0" w:space="0" w:color="auto"/>
                <w:bottom w:val="none" w:sz="0" w:space="0" w:color="auto"/>
                <w:right w:val="none" w:sz="0" w:space="0" w:color="auto"/>
              </w:divBdr>
            </w:div>
            <w:div w:id="1528786884">
              <w:marLeft w:val="0"/>
              <w:marRight w:val="0"/>
              <w:marTop w:val="0"/>
              <w:marBottom w:val="0"/>
              <w:divBdr>
                <w:top w:val="none" w:sz="0" w:space="0" w:color="auto"/>
                <w:left w:val="none" w:sz="0" w:space="0" w:color="auto"/>
                <w:bottom w:val="none" w:sz="0" w:space="0" w:color="auto"/>
                <w:right w:val="none" w:sz="0" w:space="0" w:color="auto"/>
              </w:divBdr>
            </w:div>
            <w:div w:id="1293755200">
              <w:marLeft w:val="0"/>
              <w:marRight w:val="0"/>
              <w:marTop w:val="0"/>
              <w:marBottom w:val="0"/>
              <w:divBdr>
                <w:top w:val="none" w:sz="0" w:space="0" w:color="auto"/>
                <w:left w:val="none" w:sz="0" w:space="0" w:color="auto"/>
                <w:bottom w:val="none" w:sz="0" w:space="0" w:color="auto"/>
                <w:right w:val="none" w:sz="0" w:space="0" w:color="auto"/>
              </w:divBdr>
            </w:div>
            <w:div w:id="827475395">
              <w:marLeft w:val="0"/>
              <w:marRight w:val="0"/>
              <w:marTop w:val="0"/>
              <w:marBottom w:val="0"/>
              <w:divBdr>
                <w:top w:val="none" w:sz="0" w:space="0" w:color="auto"/>
                <w:left w:val="none" w:sz="0" w:space="0" w:color="auto"/>
                <w:bottom w:val="none" w:sz="0" w:space="0" w:color="auto"/>
                <w:right w:val="none" w:sz="0" w:space="0" w:color="auto"/>
              </w:divBdr>
            </w:div>
            <w:div w:id="1940675878">
              <w:marLeft w:val="0"/>
              <w:marRight w:val="0"/>
              <w:marTop w:val="0"/>
              <w:marBottom w:val="0"/>
              <w:divBdr>
                <w:top w:val="none" w:sz="0" w:space="0" w:color="auto"/>
                <w:left w:val="none" w:sz="0" w:space="0" w:color="auto"/>
                <w:bottom w:val="none" w:sz="0" w:space="0" w:color="auto"/>
                <w:right w:val="none" w:sz="0" w:space="0" w:color="auto"/>
              </w:divBdr>
            </w:div>
            <w:div w:id="820000746">
              <w:marLeft w:val="0"/>
              <w:marRight w:val="0"/>
              <w:marTop w:val="0"/>
              <w:marBottom w:val="0"/>
              <w:divBdr>
                <w:top w:val="none" w:sz="0" w:space="0" w:color="auto"/>
                <w:left w:val="none" w:sz="0" w:space="0" w:color="auto"/>
                <w:bottom w:val="none" w:sz="0" w:space="0" w:color="auto"/>
                <w:right w:val="none" w:sz="0" w:space="0" w:color="auto"/>
              </w:divBdr>
            </w:div>
            <w:div w:id="601571945">
              <w:marLeft w:val="0"/>
              <w:marRight w:val="0"/>
              <w:marTop w:val="0"/>
              <w:marBottom w:val="0"/>
              <w:divBdr>
                <w:top w:val="none" w:sz="0" w:space="0" w:color="auto"/>
                <w:left w:val="none" w:sz="0" w:space="0" w:color="auto"/>
                <w:bottom w:val="none" w:sz="0" w:space="0" w:color="auto"/>
                <w:right w:val="none" w:sz="0" w:space="0" w:color="auto"/>
              </w:divBdr>
            </w:div>
          </w:divsChild>
        </w:div>
        <w:div w:id="1615745223">
          <w:marLeft w:val="0"/>
          <w:marRight w:val="0"/>
          <w:marTop w:val="0"/>
          <w:marBottom w:val="0"/>
          <w:divBdr>
            <w:top w:val="none" w:sz="0" w:space="0" w:color="auto"/>
            <w:left w:val="none" w:sz="0" w:space="0" w:color="auto"/>
            <w:bottom w:val="none" w:sz="0" w:space="0" w:color="auto"/>
            <w:right w:val="none" w:sz="0" w:space="0" w:color="auto"/>
          </w:divBdr>
        </w:div>
        <w:div w:id="2066489827">
          <w:marLeft w:val="0"/>
          <w:marRight w:val="0"/>
          <w:marTop w:val="0"/>
          <w:marBottom w:val="0"/>
          <w:divBdr>
            <w:top w:val="none" w:sz="0" w:space="0" w:color="auto"/>
            <w:left w:val="none" w:sz="0" w:space="0" w:color="auto"/>
            <w:bottom w:val="none" w:sz="0" w:space="0" w:color="auto"/>
            <w:right w:val="none" w:sz="0" w:space="0" w:color="auto"/>
          </w:divBdr>
        </w:div>
        <w:div w:id="248975076">
          <w:marLeft w:val="0"/>
          <w:marRight w:val="0"/>
          <w:marTop w:val="0"/>
          <w:marBottom w:val="0"/>
          <w:divBdr>
            <w:top w:val="none" w:sz="0" w:space="0" w:color="auto"/>
            <w:left w:val="none" w:sz="0" w:space="0" w:color="auto"/>
            <w:bottom w:val="none" w:sz="0" w:space="0" w:color="auto"/>
            <w:right w:val="none" w:sz="0" w:space="0" w:color="auto"/>
          </w:divBdr>
        </w:div>
        <w:div w:id="1299990185">
          <w:marLeft w:val="0"/>
          <w:marRight w:val="0"/>
          <w:marTop w:val="0"/>
          <w:marBottom w:val="0"/>
          <w:divBdr>
            <w:top w:val="none" w:sz="0" w:space="0" w:color="auto"/>
            <w:left w:val="none" w:sz="0" w:space="0" w:color="auto"/>
            <w:bottom w:val="none" w:sz="0" w:space="0" w:color="auto"/>
            <w:right w:val="none" w:sz="0" w:space="0" w:color="auto"/>
          </w:divBdr>
        </w:div>
        <w:div w:id="1760442230">
          <w:marLeft w:val="0"/>
          <w:marRight w:val="0"/>
          <w:marTop w:val="0"/>
          <w:marBottom w:val="0"/>
          <w:divBdr>
            <w:top w:val="none" w:sz="0" w:space="0" w:color="auto"/>
            <w:left w:val="none" w:sz="0" w:space="0" w:color="auto"/>
            <w:bottom w:val="none" w:sz="0" w:space="0" w:color="auto"/>
            <w:right w:val="none" w:sz="0" w:space="0" w:color="auto"/>
          </w:divBdr>
        </w:div>
        <w:div w:id="1120495776">
          <w:marLeft w:val="0"/>
          <w:marRight w:val="0"/>
          <w:marTop w:val="0"/>
          <w:marBottom w:val="0"/>
          <w:divBdr>
            <w:top w:val="none" w:sz="0" w:space="0" w:color="auto"/>
            <w:left w:val="none" w:sz="0" w:space="0" w:color="auto"/>
            <w:bottom w:val="none" w:sz="0" w:space="0" w:color="auto"/>
            <w:right w:val="none" w:sz="0" w:space="0" w:color="auto"/>
          </w:divBdr>
        </w:div>
        <w:div w:id="1493565880">
          <w:marLeft w:val="0"/>
          <w:marRight w:val="0"/>
          <w:marTop w:val="0"/>
          <w:marBottom w:val="0"/>
          <w:divBdr>
            <w:top w:val="none" w:sz="0" w:space="0" w:color="auto"/>
            <w:left w:val="none" w:sz="0" w:space="0" w:color="auto"/>
            <w:bottom w:val="none" w:sz="0" w:space="0" w:color="auto"/>
            <w:right w:val="none" w:sz="0" w:space="0" w:color="auto"/>
          </w:divBdr>
        </w:div>
        <w:div w:id="1937210314">
          <w:marLeft w:val="0"/>
          <w:marRight w:val="0"/>
          <w:marTop w:val="0"/>
          <w:marBottom w:val="0"/>
          <w:divBdr>
            <w:top w:val="none" w:sz="0" w:space="0" w:color="auto"/>
            <w:left w:val="none" w:sz="0" w:space="0" w:color="auto"/>
            <w:bottom w:val="none" w:sz="0" w:space="0" w:color="auto"/>
            <w:right w:val="none" w:sz="0" w:space="0" w:color="auto"/>
          </w:divBdr>
        </w:div>
        <w:div w:id="774061420">
          <w:marLeft w:val="0"/>
          <w:marRight w:val="0"/>
          <w:marTop w:val="0"/>
          <w:marBottom w:val="0"/>
          <w:divBdr>
            <w:top w:val="none" w:sz="0" w:space="0" w:color="auto"/>
            <w:left w:val="none" w:sz="0" w:space="0" w:color="auto"/>
            <w:bottom w:val="none" w:sz="0" w:space="0" w:color="auto"/>
            <w:right w:val="none" w:sz="0" w:space="0" w:color="auto"/>
          </w:divBdr>
        </w:div>
        <w:div w:id="1603293619">
          <w:marLeft w:val="0"/>
          <w:marRight w:val="0"/>
          <w:marTop w:val="0"/>
          <w:marBottom w:val="0"/>
          <w:divBdr>
            <w:top w:val="none" w:sz="0" w:space="0" w:color="auto"/>
            <w:left w:val="none" w:sz="0" w:space="0" w:color="auto"/>
            <w:bottom w:val="none" w:sz="0" w:space="0" w:color="auto"/>
            <w:right w:val="none" w:sz="0" w:space="0" w:color="auto"/>
          </w:divBdr>
        </w:div>
        <w:div w:id="1610620867">
          <w:marLeft w:val="0"/>
          <w:marRight w:val="0"/>
          <w:marTop w:val="0"/>
          <w:marBottom w:val="0"/>
          <w:divBdr>
            <w:top w:val="none" w:sz="0" w:space="0" w:color="auto"/>
            <w:left w:val="none" w:sz="0" w:space="0" w:color="auto"/>
            <w:bottom w:val="none" w:sz="0" w:space="0" w:color="auto"/>
            <w:right w:val="none" w:sz="0" w:space="0" w:color="auto"/>
          </w:divBdr>
        </w:div>
        <w:div w:id="2101675458">
          <w:marLeft w:val="0"/>
          <w:marRight w:val="0"/>
          <w:marTop w:val="0"/>
          <w:marBottom w:val="0"/>
          <w:divBdr>
            <w:top w:val="none" w:sz="0" w:space="0" w:color="auto"/>
            <w:left w:val="none" w:sz="0" w:space="0" w:color="auto"/>
            <w:bottom w:val="none" w:sz="0" w:space="0" w:color="auto"/>
            <w:right w:val="none" w:sz="0" w:space="0" w:color="auto"/>
          </w:divBdr>
        </w:div>
        <w:div w:id="1719016017">
          <w:marLeft w:val="0"/>
          <w:marRight w:val="0"/>
          <w:marTop w:val="0"/>
          <w:marBottom w:val="0"/>
          <w:divBdr>
            <w:top w:val="none" w:sz="0" w:space="0" w:color="auto"/>
            <w:left w:val="none" w:sz="0" w:space="0" w:color="auto"/>
            <w:bottom w:val="none" w:sz="0" w:space="0" w:color="auto"/>
            <w:right w:val="none" w:sz="0" w:space="0" w:color="auto"/>
          </w:divBdr>
        </w:div>
        <w:div w:id="802120984">
          <w:marLeft w:val="0"/>
          <w:marRight w:val="0"/>
          <w:marTop w:val="0"/>
          <w:marBottom w:val="0"/>
          <w:divBdr>
            <w:top w:val="none" w:sz="0" w:space="0" w:color="auto"/>
            <w:left w:val="none" w:sz="0" w:space="0" w:color="auto"/>
            <w:bottom w:val="none" w:sz="0" w:space="0" w:color="auto"/>
            <w:right w:val="none" w:sz="0" w:space="0" w:color="auto"/>
          </w:divBdr>
        </w:div>
        <w:div w:id="35815244">
          <w:marLeft w:val="0"/>
          <w:marRight w:val="0"/>
          <w:marTop w:val="0"/>
          <w:marBottom w:val="0"/>
          <w:divBdr>
            <w:top w:val="none" w:sz="0" w:space="0" w:color="auto"/>
            <w:left w:val="none" w:sz="0" w:space="0" w:color="auto"/>
            <w:bottom w:val="none" w:sz="0" w:space="0" w:color="auto"/>
            <w:right w:val="none" w:sz="0" w:space="0" w:color="auto"/>
          </w:divBdr>
        </w:div>
        <w:div w:id="887105283">
          <w:marLeft w:val="0"/>
          <w:marRight w:val="0"/>
          <w:marTop w:val="0"/>
          <w:marBottom w:val="0"/>
          <w:divBdr>
            <w:top w:val="none" w:sz="0" w:space="0" w:color="auto"/>
            <w:left w:val="none" w:sz="0" w:space="0" w:color="auto"/>
            <w:bottom w:val="none" w:sz="0" w:space="0" w:color="auto"/>
            <w:right w:val="none" w:sz="0" w:space="0" w:color="auto"/>
          </w:divBdr>
        </w:div>
        <w:div w:id="1129519568">
          <w:marLeft w:val="0"/>
          <w:marRight w:val="0"/>
          <w:marTop w:val="0"/>
          <w:marBottom w:val="0"/>
          <w:divBdr>
            <w:top w:val="none" w:sz="0" w:space="0" w:color="auto"/>
            <w:left w:val="none" w:sz="0" w:space="0" w:color="auto"/>
            <w:bottom w:val="none" w:sz="0" w:space="0" w:color="auto"/>
            <w:right w:val="none" w:sz="0" w:space="0" w:color="auto"/>
          </w:divBdr>
        </w:div>
        <w:div w:id="1579554925">
          <w:marLeft w:val="0"/>
          <w:marRight w:val="0"/>
          <w:marTop w:val="0"/>
          <w:marBottom w:val="0"/>
          <w:divBdr>
            <w:top w:val="none" w:sz="0" w:space="0" w:color="auto"/>
            <w:left w:val="none" w:sz="0" w:space="0" w:color="auto"/>
            <w:bottom w:val="none" w:sz="0" w:space="0" w:color="auto"/>
            <w:right w:val="none" w:sz="0" w:space="0" w:color="auto"/>
          </w:divBdr>
        </w:div>
        <w:div w:id="763384660">
          <w:marLeft w:val="0"/>
          <w:marRight w:val="0"/>
          <w:marTop w:val="0"/>
          <w:marBottom w:val="0"/>
          <w:divBdr>
            <w:top w:val="none" w:sz="0" w:space="0" w:color="auto"/>
            <w:left w:val="none" w:sz="0" w:space="0" w:color="auto"/>
            <w:bottom w:val="none" w:sz="0" w:space="0" w:color="auto"/>
            <w:right w:val="none" w:sz="0" w:space="0" w:color="auto"/>
          </w:divBdr>
        </w:div>
        <w:div w:id="1393894729">
          <w:marLeft w:val="0"/>
          <w:marRight w:val="0"/>
          <w:marTop w:val="0"/>
          <w:marBottom w:val="0"/>
          <w:divBdr>
            <w:top w:val="none" w:sz="0" w:space="0" w:color="auto"/>
            <w:left w:val="none" w:sz="0" w:space="0" w:color="auto"/>
            <w:bottom w:val="none" w:sz="0" w:space="0" w:color="auto"/>
            <w:right w:val="none" w:sz="0" w:space="0" w:color="auto"/>
          </w:divBdr>
        </w:div>
        <w:div w:id="769425006">
          <w:marLeft w:val="0"/>
          <w:marRight w:val="0"/>
          <w:marTop w:val="0"/>
          <w:marBottom w:val="0"/>
          <w:divBdr>
            <w:top w:val="none" w:sz="0" w:space="0" w:color="auto"/>
            <w:left w:val="none" w:sz="0" w:space="0" w:color="auto"/>
            <w:bottom w:val="none" w:sz="0" w:space="0" w:color="auto"/>
            <w:right w:val="none" w:sz="0" w:space="0" w:color="auto"/>
          </w:divBdr>
          <w:divsChild>
            <w:div w:id="2098600344">
              <w:marLeft w:val="0"/>
              <w:marRight w:val="0"/>
              <w:marTop w:val="0"/>
              <w:marBottom w:val="0"/>
              <w:divBdr>
                <w:top w:val="none" w:sz="0" w:space="0" w:color="auto"/>
                <w:left w:val="none" w:sz="0" w:space="0" w:color="auto"/>
                <w:bottom w:val="none" w:sz="0" w:space="0" w:color="auto"/>
                <w:right w:val="none" w:sz="0" w:space="0" w:color="auto"/>
              </w:divBdr>
            </w:div>
            <w:div w:id="2063597795">
              <w:marLeft w:val="0"/>
              <w:marRight w:val="0"/>
              <w:marTop w:val="0"/>
              <w:marBottom w:val="0"/>
              <w:divBdr>
                <w:top w:val="none" w:sz="0" w:space="0" w:color="auto"/>
                <w:left w:val="none" w:sz="0" w:space="0" w:color="auto"/>
                <w:bottom w:val="none" w:sz="0" w:space="0" w:color="auto"/>
                <w:right w:val="none" w:sz="0" w:space="0" w:color="auto"/>
              </w:divBdr>
            </w:div>
            <w:div w:id="2077821726">
              <w:marLeft w:val="0"/>
              <w:marRight w:val="0"/>
              <w:marTop w:val="0"/>
              <w:marBottom w:val="0"/>
              <w:divBdr>
                <w:top w:val="none" w:sz="0" w:space="0" w:color="auto"/>
                <w:left w:val="none" w:sz="0" w:space="0" w:color="auto"/>
                <w:bottom w:val="none" w:sz="0" w:space="0" w:color="auto"/>
                <w:right w:val="none" w:sz="0" w:space="0" w:color="auto"/>
              </w:divBdr>
            </w:div>
            <w:div w:id="396781899">
              <w:marLeft w:val="0"/>
              <w:marRight w:val="0"/>
              <w:marTop w:val="0"/>
              <w:marBottom w:val="0"/>
              <w:divBdr>
                <w:top w:val="none" w:sz="0" w:space="0" w:color="auto"/>
                <w:left w:val="none" w:sz="0" w:space="0" w:color="auto"/>
                <w:bottom w:val="none" w:sz="0" w:space="0" w:color="auto"/>
                <w:right w:val="none" w:sz="0" w:space="0" w:color="auto"/>
              </w:divBdr>
            </w:div>
            <w:div w:id="2113234071">
              <w:marLeft w:val="0"/>
              <w:marRight w:val="0"/>
              <w:marTop w:val="0"/>
              <w:marBottom w:val="0"/>
              <w:divBdr>
                <w:top w:val="none" w:sz="0" w:space="0" w:color="auto"/>
                <w:left w:val="none" w:sz="0" w:space="0" w:color="auto"/>
                <w:bottom w:val="none" w:sz="0" w:space="0" w:color="auto"/>
                <w:right w:val="none" w:sz="0" w:space="0" w:color="auto"/>
              </w:divBdr>
            </w:div>
            <w:div w:id="460535677">
              <w:marLeft w:val="0"/>
              <w:marRight w:val="0"/>
              <w:marTop w:val="0"/>
              <w:marBottom w:val="0"/>
              <w:divBdr>
                <w:top w:val="none" w:sz="0" w:space="0" w:color="auto"/>
                <w:left w:val="none" w:sz="0" w:space="0" w:color="auto"/>
                <w:bottom w:val="none" w:sz="0" w:space="0" w:color="auto"/>
                <w:right w:val="none" w:sz="0" w:space="0" w:color="auto"/>
              </w:divBdr>
            </w:div>
            <w:div w:id="1046295115">
              <w:marLeft w:val="0"/>
              <w:marRight w:val="0"/>
              <w:marTop w:val="0"/>
              <w:marBottom w:val="0"/>
              <w:divBdr>
                <w:top w:val="none" w:sz="0" w:space="0" w:color="auto"/>
                <w:left w:val="none" w:sz="0" w:space="0" w:color="auto"/>
                <w:bottom w:val="none" w:sz="0" w:space="0" w:color="auto"/>
                <w:right w:val="none" w:sz="0" w:space="0" w:color="auto"/>
              </w:divBdr>
            </w:div>
            <w:div w:id="1404835779">
              <w:marLeft w:val="0"/>
              <w:marRight w:val="0"/>
              <w:marTop w:val="0"/>
              <w:marBottom w:val="0"/>
              <w:divBdr>
                <w:top w:val="none" w:sz="0" w:space="0" w:color="auto"/>
                <w:left w:val="none" w:sz="0" w:space="0" w:color="auto"/>
                <w:bottom w:val="none" w:sz="0" w:space="0" w:color="auto"/>
                <w:right w:val="none" w:sz="0" w:space="0" w:color="auto"/>
              </w:divBdr>
            </w:div>
            <w:div w:id="120273893">
              <w:marLeft w:val="0"/>
              <w:marRight w:val="0"/>
              <w:marTop w:val="0"/>
              <w:marBottom w:val="0"/>
              <w:divBdr>
                <w:top w:val="none" w:sz="0" w:space="0" w:color="auto"/>
                <w:left w:val="none" w:sz="0" w:space="0" w:color="auto"/>
                <w:bottom w:val="none" w:sz="0" w:space="0" w:color="auto"/>
                <w:right w:val="none" w:sz="0" w:space="0" w:color="auto"/>
              </w:divBdr>
            </w:div>
            <w:div w:id="410976273">
              <w:marLeft w:val="0"/>
              <w:marRight w:val="0"/>
              <w:marTop w:val="0"/>
              <w:marBottom w:val="0"/>
              <w:divBdr>
                <w:top w:val="none" w:sz="0" w:space="0" w:color="auto"/>
                <w:left w:val="none" w:sz="0" w:space="0" w:color="auto"/>
                <w:bottom w:val="none" w:sz="0" w:space="0" w:color="auto"/>
                <w:right w:val="none" w:sz="0" w:space="0" w:color="auto"/>
              </w:divBdr>
            </w:div>
            <w:div w:id="1844006913">
              <w:marLeft w:val="0"/>
              <w:marRight w:val="0"/>
              <w:marTop w:val="0"/>
              <w:marBottom w:val="0"/>
              <w:divBdr>
                <w:top w:val="none" w:sz="0" w:space="0" w:color="auto"/>
                <w:left w:val="none" w:sz="0" w:space="0" w:color="auto"/>
                <w:bottom w:val="none" w:sz="0" w:space="0" w:color="auto"/>
                <w:right w:val="none" w:sz="0" w:space="0" w:color="auto"/>
              </w:divBdr>
            </w:div>
            <w:div w:id="1230656969">
              <w:marLeft w:val="0"/>
              <w:marRight w:val="0"/>
              <w:marTop w:val="0"/>
              <w:marBottom w:val="0"/>
              <w:divBdr>
                <w:top w:val="none" w:sz="0" w:space="0" w:color="auto"/>
                <w:left w:val="none" w:sz="0" w:space="0" w:color="auto"/>
                <w:bottom w:val="none" w:sz="0" w:space="0" w:color="auto"/>
                <w:right w:val="none" w:sz="0" w:space="0" w:color="auto"/>
              </w:divBdr>
            </w:div>
            <w:div w:id="293876694">
              <w:marLeft w:val="0"/>
              <w:marRight w:val="0"/>
              <w:marTop w:val="0"/>
              <w:marBottom w:val="0"/>
              <w:divBdr>
                <w:top w:val="none" w:sz="0" w:space="0" w:color="auto"/>
                <w:left w:val="none" w:sz="0" w:space="0" w:color="auto"/>
                <w:bottom w:val="none" w:sz="0" w:space="0" w:color="auto"/>
                <w:right w:val="none" w:sz="0" w:space="0" w:color="auto"/>
              </w:divBdr>
            </w:div>
            <w:div w:id="730737164">
              <w:marLeft w:val="0"/>
              <w:marRight w:val="0"/>
              <w:marTop w:val="0"/>
              <w:marBottom w:val="0"/>
              <w:divBdr>
                <w:top w:val="none" w:sz="0" w:space="0" w:color="auto"/>
                <w:left w:val="none" w:sz="0" w:space="0" w:color="auto"/>
                <w:bottom w:val="none" w:sz="0" w:space="0" w:color="auto"/>
                <w:right w:val="none" w:sz="0" w:space="0" w:color="auto"/>
              </w:divBdr>
            </w:div>
            <w:div w:id="481628787">
              <w:marLeft w:val="0"/>
              <w:marRight w:val="0"/>
              <w:marTop w:val="0"/>
              <w:marBottom w:val="0"/>
              <w:divBdr>
                <w:top w:val="none" w:sz="0" w:space="0" w:color="auto"/>
                <w:left w:val="none" w:sz="0" w:space="0" w:color="auto"/>
                <w:bottom w:val="none" w:sz="0" w:space="0" w:color="auto"/>
                <w:right w:val="none" w:sz="0" w:space="0" w:color="auto"/>
              </w:divBdr>
            </w:div>
            <w:div w:id="16798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AE740-4957-8543-A39C-CDA186A6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5822</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Bonney</dc:creator>
  <cp:keywords/>
  <dc:description/>
  <cp:lastModifiedBy>Jonathan Ursillo</cp:lastModifiedBy>
  <cp:revision>5</cp:revision>
  <dcterms:created xsi:type="dcterms:W3CDTF">2025-03-21T13:59:00Z</dcterms:created>
  <dcterms:modified xsi:type="dcterms:W3CDTF">2025-03-21T19:06:00Z</dcterms:modified>
</cp:coreProperties>
</file>