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47D4" w14:textId="77777777" w:rsidR="00BC5FE9" w:rsidRPr="00A822B4" w:rsidRDefault="00BC5FE9" w:rsidP="00BC5FE9">
      <w:pPr>
        <w:ind w:left="-180"/>
        <w:rPr>
          <w:rFonts w:cs="Arial"/>
        </w:rPr>
      </w:pPr>
    </w:p>
    <w:p w14:paraId="2B4C6642" w14:textId="77777777" w:rsidR="00BC5FE9" w:rsidRPr="00A822B4" w:rsidRDefault="00BC5FE9" w:rsidP="00BC5FE9">
      <w:pPr>
        <w:ind w:left="-180"/>
        <w:rPr>
          <w:rFonts w:cs="Arial"/>
        </w:rPr>
      </w:pPr>
    </w:p>
    <w:p w14:paraId="2CFBCE71" w14:textId="77777777" w:rsidR="00BC5FE9" w:rsidRPr="00A822B4" w:rsidRDefault="00BC5FE9" w:rsidP="00BC5FE9">
      <w:pPr>
        <w:ind w:left="-180"/>
        <w:rPr>
          <w:rFonts w:cs="Arial"/>
        </w:rPr>
      </w:pPr>
    </w:p>
    <w:p w14:paraId="532B7E12" w14:textId="77777777" w:rsidR="00BC5FE9" w:rsidRPr="00A822B4" w:rsidRDefault="00BC5FE9" w:rsidP="00BC5FE9">
      <w:pPr>
        <w:ind w:left="-180"/>
        <w:rPr>
          <w:rFonts w:cs="Arial"/>
        </w:rPr>
      </w:pPr>
    </w:p>
    <w:p w14:paraId="46905B25" w14:textId="77777777" w:rsidR="00BC5FE9" w:rsidRPr="00A822B4" w:rsidRDefault="00BC5FE9" w:rsidP="00BC5FE9">
      <w:pPr>
        <w:ind w:left="-180"/>
        <w:rPr>
          <w:rFonts w:cs="Arial"/>
        </w:rPr>
      </w:pPr>
    </w:p>
    <w:p w14:paraId="0B843D3F" w14:textId="308A0992" w:rsidR="00BC5FE9" w:rsidRPr="00A822B4" w:rsidRDefault="006D6DAA" w:rsidP="006D6DAA">
      <w:pPr>
        <w:ind w:left="-180"/>
        <w:rPr>
          <w:rFonts w:cs="Arial"/>
        </w:rPr>
      </w:pPr>
      <w:r>
        <w:rPr>
          <w:rFonts w:cs="Arial"/>
        </w:rPr>
        <w:t>March 21, 2025</w:t>
      </w:r>
    </w:p>
    <w:p w14:paraId="7C66051A" w14:textId="77777777" w:rsidR="00612CDC" w:rsidRPr="00A822B4" w:rsidRDefault="00612CDC" w:rsidP="00E65182">
      <w:pPr>
        <w:ind w:left="-180"/>
        <w:jc w:val="center"/>
        <w:rPr>
          <w:rFonts w:cs="Arial"/>
        </w:rPr>
      </w:pPr>
    </w:p>
    <w:p w14:paraId="4B748F45" w14:textId="29603C18" w:rsidR="00775974" w:rsidRPr="00A822B4" w:rsidRDefault="0048305A" w:rsidP="00775974">
      <w:pPr>
        <w:ind w:left="-180"/>
        <w:rPr>
          <w:rFonts w:cs="Arial"/>
        </w:rPr>
      </w:pPr>
      <w:r w:rsidRPr="003D5127">
        <w:rPr>
          <w:rFonts w:cs="Arial"/>
        </w:rPr>
        <w:t xml:space="preserve">Ms. </w:t>
      </w:r>
      <w:r w:rsidR="001D0557" w:rsidRPr="003D5127">
        <w:rPr>
          <w:rFonts w:cs="Arial"/>
        </w:rPr>
        <w:t>Liane</w:t>
      </w:r>
      <w:r w:rsidR="001D0557" w:rsidRPr="00A822B4">
        <w:rPr>
          <w:rFonts w:cs="Arial"/>
        </w:rPr>
        <w:t xml:space="preserve"> Randolph</w:t>
      </w:r>
    </w:p>
    <w:p w14:paraId="54D4FDA4" w14:textId="19755654" w:rsidR="00775974" w:rsidRPr="00A822B4" w:rsidRDefault="00775974" w:rsidP="00775974">
      <w:pPr>
        <w:ind w:left="-180"/>
        <w:rPr>
          <w:rFonts w:cs="Arial"/>
        </w:rPr>
      </w:pPr>
      <w:r w:rsidRPr="00A822B4">
        <w:rPr>
          <w:rFonts w:cs="Arial"/>
        </w:rPr>
        <w:t>Chair</w:t>
      </w:r>
    </w:p>
    <w:p w14:paraId="42A69922" w14:textId="5D49A7E2" w:rsidR="002D2350" w:rsidRPr="00A822B4" w:rsidRDefault="002D2350" w:rsidP="002124BF">
      <w:pPr>
        <w:ind w:left="-180"/>
        <w:rPr>
          <w:rFonts w:cs="Arial"/>
        </w:rPr>
      </w:pPr>
      <w:r w:rsidRPr="00A822B4">
        <w:rPr>
          <w:rFonts w:cs="Arial"/>
        </w:rPr>
        <w:t>California Air Resources Board</w:t>
      </w:r>
    </w:p>
    <w:p w14:paraId="16858F0F" w14:textId="1F7783F8" w:rsidR="00513505" w:rsidRPr="00A822B4" w:rsidRDefault="00513505" w:rsidP="002124BF">
      <w:pPr>
        <w:ind w:left="-180"/>
        <w:rPr>
          <w:rFonts w:cs="Arial"/>
        </w:rPr>
      </w:pPr>
      <w:r w:rsidRPr="00A822B4">
        <w:rPr>
          <w:rFonts w:cs="Arial"/>
        </w:rPr>
        <w:t>1001 I Street,</w:t>
      </w:r>
      <w:r w:rsidR="005E3386" w:rsidRPr="00A822B4">
        <w:rPr>
          <w:rFonts w:cs="Arial"/>
        </w:rPr>
        <w:t xml:space="preserve"> </w:t>
      </w:r>
      <w:r w:rsidRPr="00A822B4">
        <w:rPr>
          <w:rFonts w:cs="Arial"/>
        </w:rPr>
        <w:t>Sacramento, CA 95814</w:t>
      </w:r>
    </w:p>
    <w:p w14:paraId="6E10C6DE" w14:textId="77777777" w:rsidR="00547714" w:rsidRPr="00A822B4" w:rsidRDefault="00547714" w:rsidP="00BC5FE9">
      <w:pPr>
        <w:ind w:left="-180"/>
        <w:rPr>
          <w:rFonts w:cs="Arial"/>
        </w:rPr>
      </w:pPr>
    </w:p>
    <w:p w14:paraId="09AFE04D" w14:textId="301A3416" w:rsidR="006476EF" w:rsidRPr="00A822B4" w:rsidRDefault="00AC78F9" w:rsidP="000269FB">
      <w:pPr>
        <w:spacing w:after="240"/>
        <w:ind w:left="-180"/>
        <w:rPr>
          <w:rFonts w:cs="Arial"/>
          <w:b/>
          <w:bCs/>
        </w:rPr>
      </w:pPr>
      <w:r w:rsidRPr="00A822B4">
        <w:rPr>
          <w:rFonts w:cs="Arial"/>
          <w:b/>
          <w:bCs/>
        </w:rPr>
        <w:t>Re: EEI Response to Information Solicitation to Inform Implementation of California Climate-Disclosure Legislation: SB 253 and 261, as amended by SB 219 (“RFI”)</w:t>
      </w:r>
    </w:p>
    <w:p w14:paraId="1ACD80E2" w14:textId="22657C2E" w:rsidR="000269FB" w:rsidRPr="00A822B4" w:rsidRDefault="002E5B2D" w:rsidP="000269FB">
      <w:pPr>
        <w:spacing w:after="240"/>
        <w:ind w:left="-180"/>
        <w:rPr>
          <w:rFonts w:cs="Arial"/>
        </w:rPr>
      </w:pPr>
      <w:r w:rsidRPr="00A822B4">
        <w:rPr>
          <w:rFonts w:cs="Arial"/>
        </w:rPr>
        <w:t>Dear Chair Randolph,</w:t>
      </w:r>
    </w:p>
    <w:p w14:paraId="325D0045" w14:textId="699D6B22" w:rsidR="00B81DC2" w:rsidRPr="00A822B4" w:rsidRDefault="00B81DC2" w:rsidP="00B81DC2">
      <w:pPr>
        <w:spacing w:after="240"/>
        <w:ind w:left="-180"/>
        <w:rPr>
          <w:rFonts w:cs="Arial"/>
        </w:rPr>
      </w:pPr>
      <w:r w:rsidRPr="00A822B4">
        <w:rPr>
          <w:rFonts w:cs="Arial"/>
        </w:rPr>
        <w:t>On December 1</w:t>
      </w:r>
      <w:r>
        <w:rPr>
          <w:rFonts w:cs="Arial"/>
        </w:rPr>
        <w:t>6</w:t>
      </w:r>
      <w:r w:rsidRPr="00A822B4">
        <w:rPr>
          <w:rFonts w:cs="Arial"/>
        </w:rPr>
        <w:t>, 2024, the California Air Resources Board (CARB) issued an “Information Solicitation to Inform Implementation of California Climate-Disclosure Legislation: Senate Bills 253 and 261, as amended by SB 219</w:t>
      </w:r>
      <w:r>
        <w:rPr>
          <w:rFonts w:cs="Arial"/>
        </w:rPr>
        <w:t xml:space="preserve"> (RFI).</w:t>
      </w:r>
      <w:r w:rsidRPr="00A822B4">
        <w:rPr>
          <w:rFonts w:cs="Arial"/>
        </w:rPr>
        <w:t>”</w:t>
      </w:r>
      <w:r w:rsidRPr="00A822B4">
        <w:rPr>
          <w:rStyle w:val="FootnoteReference"/>
          <w:rFonts w:cs="Arial"/>
        </w:rPr>
        <w:footnoteReference w:id="1"/>
      </w:r>
      <w:r w:rsidRPr="00A822B4">
        <w:rPr>
          <w:rFonts w:cs="Arial"/>
        </w:rPr>
        <w:t xml:space="preserve"> The Edison Electric Institute (EEI) appreciates the opportunity to provide the comments and constructive feedback below to inform the implementation of the legislation.</w:t>
      </w:r>
    </w:p>
    <w:p w14:paraId="34E036FA" w14:textId="1746F813" w:rsidR="00B81DC2" w:rsidRPr="00A822B4" w:rsidRDefault="00B81DC2" w:rsidP="00B81DC2">
      <w:pPr>
        <w:spacing w:after="240"/>
        <w:ind w:left="-180"/>
        <w:rPr>
          <w:rFonts w:cs="Arial"/>
        </w:rPr>
      </w:pPr>
      <w:r w:rsidRPr="00A822B4">
        <w:rPr>
          <w:rFonts w:cs="Arial"/>
        </w:rPr>
        <w:t>EEI is the association that represents all U.S. investor-owned electric companies. Our members provide electricity</w:t>
      </w:r>
      <w:r>
        <w:rPr>
          <w:rFonts w:cs="Arial"/>
        </w:rPr>
        <w:t xml:space="preserve"> to</w:t>
      </w:r>
      <w:r w:rsidRPr="00A822B4">
        <w:rPr>
          <w:rFonts w:cs="Arial"/>
        </w:rPr>
        <w:t xml:space="preserve"> nearly 250 million Americans and operate in all 50 states and the District of Columbia. </w:t>
      </w:r>
      <w:proofErr w:type="gramStart"/>
      <w:r w:rsidRPr="00A822B4">
        <w:rPr>
          <w:rFonts w:cs="Arial"/>
        </w:rPr>
        <w:t>As a whole, the</w:t>
      </w:r>
      <w:proofErr w:type="gramEnd"/>
      <w:r w:rsidRPr="00A822B4">
        <w:rPr>
          <w:rFonts w:cs="Arial"/>
        </w:rPr>
        <w:t xml:space="preserve"> electric power industry supports more than 7 million jobs in communities across the United States. In addition to our U.S. members, EEI has more than 70 international electric companies as International Members, </w:t>
      </w:r>
      <w:r>
        <w:rPr>
          <w:rFonts w:cs="Arial"/>
        </w:rPr>
        <w:t>as well as</w:t>
      </w:r>
      <w:r w:rsidRPr="00A822B4">
        <w:rPr>
          <w:rFonts w:cs="Arial"/>
        </w:rPr>
        <w:t xml:space="preserve"> hundreds of industry suppliers and related organizations as Associate Members. Organized in 1933, EEI provides public policy leadership, strategic business intelligence, and essential conferences and forums. Our input is based on our extensive experience in making climate-related disclosures under many of the existing reporting regimes.</w:t>
      </w:r>
    </w:p>
    <w:p w14:paraId="06DEC827" w14:textId="77777777" w:rsidR="001A736B" w:rsidRPr="00A822B4" w:rsidRDefault="001A736B" w:rsidP="001A736B">
      <w:pPr>
        <w:spacing w:after="240"/>
        <w:ind w:left="-180"/>
        <w:rPr>
          <w:rFonts w:cs="Arial"/>
        </w:rPr>
      </w:pPr>
      <w:r w:rsidRPr="00A822B4">
        <w:rPr>
          <w:rFonts w:cs="Arial"/>
        </w:rPr>
        <w:t xml:space="preserve">Our members raised and invested more than $170 billion in capital expenditures in 2023 and more than $1 trillion over the past decade to make the </w:t>
      </w:r>
      <w:r>
        <w:rPr>
          <w:rFonts w:cs="Arial"/>
        </w:rPr>
        <w:t>U.S.</w:t>
      </w:r>
      <w:r w:rsidRPr="00A822B4">
        <w:rPr>
          <w:rFonts w:cs="Arial"/>
        </w:rPr>
        <w:t xml:space="preserve"> energy grid smarter, </w:t>
      </w:r>
      <w:r>
        <w:rPr>
          <w:rFonts w:cs="Arial"/>
        </w:rPr>
        <w:t xml:space="preserve">stronger, </w:t>
      </w:r>
      <w:r w:rsidRPr="00A822B4">
        <w:rPr>
          <w:rFonts w:cs="Arial"/>
        </w:rPr>
        <w:t xml:space="preserve">cleaner, more dynamic, and more secure; to diversify the nation’s energy mix; and to integrate new technologies that benefit both customers and the environment. Consequently, </w:t>
      </w:r>
      <w:r>
        <w:rPr>
          <w:rFonts w:cs="Arial"/>
        </w:rPr>
        <w:t xml:space="preserve">preserving </w:t>
      </w:r>
      <w:r w:rsidRPr="00A822B4">
        <w:rPr>
          <w:rFonts w:cs="Arial"/>
        </w:rPr>
        <w:t>access to efficient and transparent capital markets</w:t>
      </w:r>
      <w:r>
        <w:rPr>
          <w:rFonts w:cs="Arial"/>
        </w:rPr>
        <w:t>—</w:t>
      </w:r>
      <w:r w:rsidRPr="00A822B4">
        <w:rPr>
          <w:rFonts w:cs="Arial"/>
        </w:rPr>
        <w:t>and ensuring that investors have the information that they need to make capital allocation decisions</w:t>
      </w:r>
      <w:r>
        <w:rPr>
          <w:rFonts w:cs="Arial"/>
        </w:rPr>
        <w:t>—</w:t>
      </w:r>
      <w:r w:rsidRPr="00A822B4">
        <w:rPr>
          <w:rFonts w:cs="Arial"/>
        </w:rPr>
        <w:t>are vitally important to EEI and our members. Through this investment</w:t>
      </w:r>
      <w:r>
        <w:rPr>
          <w:rFonts w:cs="Arial"/>
        </w:rPr>
        <w:t>,</w:t>
      </w:r>
      <w:r w:rsidRPr="00A822B4">
        <w:rPr>
          <w:rFonts w:cs="Arial"/>
        </w:rPr>
        <w:t xml:space="preserve"> our industry is leading </w:t>
      </w:r>
      <w:r>
        <w:rPr>
          <w:rFonts w:cs="Arial"/>
        </w:rPr>
        <w:t xml:space="preserve">efforts to </w:t>
      </w:r>
      <w:r w:rsidRPr="003B599F">
        <w:rPr>
          <w:rFonts w:cs="Calibri"/>
        </w:rPr>
        <w:t>drive down emissions and to deploy clean energy resources that are helping to meet the rising demand for electricity</w:t>
      </w:r>
      <w:r>
        <w:rPr>
          <w:rFonts w:cs="Calibri"/>
        </w:rPr>
        <w:t xml:space="preserve"> as affordably as possible</w:t>
      </w:r>
      <w:r w:rsidRPr="00A822B4">
        <w:rPr>
          <w:rFonts w:cs="Arial"/>
        </w:rPr>
        <w:t>.</w:t>
      </w:r>
    </w:p>
    <w:p w14:paraId="6C66F76C" w14:textId="09C8B4B3" w:rsidR="008A364E" w:rsidRPr="00A822B4" w:rsidRDefault="008A364E" w:rsidP="008A364E">
      <w:pPr>
        <w:spacing w:after="240"/>
        <w:ind w:left="-180"/>
        <w:rPr>
          <w:rFonts w:cs="Arial"/>
        </w:rPr>
      </w:pPr>
      <w:r w:rsidRPr="00A822B4">
        <w:rPr>
          <w:rFonts w:cs="Arial"/>
        </w:rPr>
        <w:t xml:space="preserve">Across the nation, our members are </w:t>
      </w:r>
      <w:r w:rsidR="00EF342A">
        <w:rPr>
          <w:rFonts w:cs="Arial"/>
        </w:rPr>
        <w:t xml:space="preserve">facing unprecedented growth in demand for electricity while simultaneously </w:t>
      </w:r>
      <w:r w:rsidRPr="00A822B4">
        <w:rPr>
          <w:rFonts w:cs="Arial"/>
        </w:rPr>
        <w:t>leading a</w:t>
      </w:r>
      <w:r>
        <w:rPr>
          <w:rFonts w:cs="Arial"/>
        </w:rPr>
        <w:t>n</w:t>
      </w:r>
      <w:r w:rsidRPr="00A822B4">
        <w:rPr>
          <w:rFonts w:cs="Arial"/>
        </w:rPr>
        <w:t xml:space="preserve"> energy transformation</w:t>
      </w:r>
      <w:r w:rsidR="00EF342A">
        <w:rPr>
          <w:rFonts w:cs="Arial"/>
        </w:rPr>
        <w:t xml:space="preserve"> that is</w:t>
      </w:r>
      <w:r w:rsidRPr="00A822B4">
        <w:rPr>
          <w:rFonts w:cs="Arial"/>
        </w:rPr>
        <w:t xml:space="preserve"> making significant progress to reduce </w:t>
      </w:r>
      <w:r w:rsidR="006C3726">
        <w:rPr>
          <w:rFonts w:cs="Arial"/>
        </w:rPr>
        <w:t>GHG</w:t>
      </w:r>
      <w:r w:rsidRPr="00A822B4">
        <w:rPr>
          <w:rFonts w:cs="Arial"/>
        </w:rPr>
        <w:t xml:space="preserve"> emissions in our sector, while providing the backbone of the energy infrastructure </w:t>
      </w:r>
      <w:r>
        <w:rPr>
          <w:rFonts w:cs="Arial"/>
        </w:rPr>
        <w:t>for</w:t>
      </w:r>
      <w:r w:rsidRPr="00A822B4">
        <w:rPr>
          <w:rFonts w:cs="Arial"/>
        </w:rPr>
        <w:t xml:space="preserve"> the U.S. economy</w:t>
      </w:r>
      <w:r>
        <w:rPr>
          <w:rFonts w:cs="Arial"/>
        </w:rPr>
        <w:t>. We are</w:t>
      </w:r>
      <w:r w:rsidRPr="00A822B4">
        <w:rPr>
          <w:rFonts w:cs="Arial"/>
        </w:rPr>
        <w:t xml:space="preserve"> creating good-paying jobs </w:t>
      </w:r>
      <w:r>
        <w:rPr>
          <w:rFonts w:cs="Arial"/>
        </w:rPr>
        <w:t>in our pursuit of an</w:t>
      </w:r>
      <w:r w:rsidRPr="00A822B4">
        <w:rPr>
          <w:rFonts w:cs="Arial"/>
        </w:rPr>
        <w:t xml:space="preserve"> equitable energy future.</w:t>
      </w:r>
    </w:p>
    <w:p w14:paraId="7B1DD9E2" w14:textId="28C4D25A" w:rsidR="00D6208B" w:rsidRPr="00A822B4" w:rsidRDefault="00D6208B" w:rsidP="00D6208B">
      <w:pPr>
        <w:spacing w:after="240"/>
        <w:ind w:left="-180"/>
        <w:rPr>
          <w:rFonts w:cs="Arial"/>
        </w:rPr>
      </w:pPr>
      <w:r w:rsidRPr="00A822B4">
        <w:rPr>
          <w:rFonts w:cs="Arial"/>
        </w:rPr>
        <w:lastRenderedPageBreak/>
        <w:t>Actions to address climate change</w:t>
      </w:r>
      <w:r>
        <w:rPr>
          <w:rFonts w:cs="Arial"/>
        </w:rPr>
        <w:t>,</w:t>
      </w:r>
      <w:r w:rsidRPr="00A822B4">
        <w:rPr>
          <w:rFonts w:cs="Arial"/>
        </w:rPr>
        <w:t xml:space="preserve"> and climate-related reporting</w:t>
      </w:r>
      <w:r>
        <w:rPr>
          <w:rFonts w:cs="Arial"/>
        </w:rPr>
        <w:t>,</w:t>
      </w:r>
      <w:r w:rsidRPr="00A822B4">
        <w:rPr>
          <w:rFonts w:cs="Arial"/>
        </w:rPr>
        <w:t xml:space="preserve"> are of high importance to our investors</w:t>
      </w:r>
      <w:r>
        <w:rPr>
          <w:rFonts w:cs="Arial"/>
        </w:rPr>
        <w:t>. This</w:t>
      </w:r>
      <w:r w:rsidRPr="00A822B4">
        <w:rPr>
          <w:rFonts w:cs="Arial"/>
        </w:rPr>
        <w:t xml:space="preserve"> is why </w:t>
      </w:r>
      <w:r w:rsidR="00573A73">
        <w:rPr>
          <w:rFonts w:cs="Arial"/>
        </w:rPr>
        <w:t>th</w:t>
      </w:r>
      <w:r w:rsidR="00573A73" w:rsidRPr="003D76D3">
        <w:rPr>
          <w:rFonts w:cs="Arial"/>
        </w:rPr>
        <w:t xml:space="preserve">e electric power sector has been a leader in </w:t>
      </w:r>
      <w:r w:rsidR="00573A73">
        <w:rPr>
          <w:rFonts w:cs="Arial"/>
        </w:rPr>
        <w:t>emissions</w:t>
      </w:r>
      <w:r w:rsidR="00573A73" w:rsidRPr="003D76D3">
        <w:rPr>
          <w:rFonts w:cs="Arial"/>
        </w:rPr>
        <w:t xml:space="preserve"> and other</w:t>
      </w:r>
      <w:r w:rsidR="00573A73">
        <w:rPr>
          <w:rFonts w:cs="Arial"/>
        </w:rPr>
        <w:t xml:space="preserve"> sustainability and climate-related</w:t>
      </w:r>
      <w:r w:rsidR="00573A73" w:rsidRPr="003D76D3">
        <w:rPr>
          <w:rFonts w:cs="Arial"/>
        </w:rPr>
        <w:t xml:space="preserve"> disclosures.</w:t>
      </w:r>
      <w:r w:rsidR="00573A73">
        <w:rPr>
          <w:rStyle w:val="FootnoteReference"/>
          <w:rFonts w:cs="Arial"/>
        </w:rPr>
        <w:footnoteReference w:id="2"/>
      </w:r>
      <w:r w:rsidR="00573A73" w:rsidRPr="003D76D3">
        <w:rPr>
          <w:rFonts w:cs="Arial"/>
        </w:rPr>
        <w:t xml:space="preserve"> </w:t>
      </w:r>
      <w:r w:rsidR="00573A73">
        <w:rPr>
          <w:rFonts w:cs="Arial"/>
        </w:rPr>
        <w:t>M</w:t>
      </w:r>
      <w:r w:rsidR="00573A73" w:rsidRPr="003D76D3">
        <w:rPr>
          <w:rFonts w:cs="Arial"/>
        </w:rPr>
        <w:t>ore than seven years ago</w:t>
      </w:r>
      <w:r w:rsidR="00573A73">
        <w:rPr>
          <w:rFonts w:cs="Arial"/>
        </w:rPr>
        <w:t>,</w:t>
      </w:r>
      <w:r w:rsidR="00573A73" w:rsidRPr="003D76D3">
        <w:rPr>
          <w:rFonts w:cs="Arial"/>
        </w:rPr>
        <w:t xml:space="preserve"> EEI and its members, working with investors and other stakeholders, developed the first-ever ESG reporting template for electric and gas companies.</w:t>
      </w:r>
      <w:r w:rsidR="00573A73">
        <w:rPr>
          <w:rStyle w:val="FootnoteReference"/>
          <w:rFonts w:cs="Arial"/>
        </w:rPr>
        <w:footnoteReference w:id="3"/>
      </w:r>
      <w:r w:rsidR="00573A73" w:rsidRPr="000A5C61">
        <w:rPr>
          <w:rFonts w:cs="Arial"/>
          <w:vertAlign w:val="superscript"/>
        </w:rPr>
        <w:t>,</w:t>
      </w:r>
      <w:r w:rsidR="00573A73">
        <w:rPr>
          <w:rFonts w:cs="Arial"/>
        </w:rPr>
        <w:t xml:space="preserve"> </w:t>
      </w:r>
      <w:r w:rsidR="00573A73">
        <w:rPr>
          <w:rStyle w:val="FootnoteReference"/>
          <w:rFonts w:cs="Arial"/>
        </w:rPr>
        <w:footnoteReference w:id="4"/>
      </w:r>
      <w:r w:rsidR="00573A73" w:rsidRPr="000A5C61">
        <w:rPr>
          <w:rFonts w:cs="Arial"/>
          <w:vertAlign w:val="superscript"/>
        </w:rPr>
        <w:t>,</w:t>
      </w:r>
      <w:r w:rsidR="00573A73">
        <w:rPr>
          <w:rFonts w:cs="Arial"/>
        </w:rPr>
        <w:t xml:space="preserve"> </w:t>
      </w:r>
      <w:r w:rsidR="00573A73">
        <w:rPr>
          <w:rStyle w:val="FootnoteReference"/>
          <w:rFonts w:cs="Arial"/>
        </w:rPr>
        <w:footnoteReference w:id="5"/>
      </w:r>
      <w:r w:rsidR="00573A73" w:rsidRPr="003D76D3">
        <w:rPr>
          <w:rFonts w:cs="Arial"/>
        </w:rPr>
        <w:t xml:space="preserve"> </w:t>
      </w:r>
      <w:r w:rsidR="00E2767F">
        <w:rPr>
          <w:rFonts w:cs="Arial"/>
        </w:rPr>
        <w:t>In addition, EEI members routinely provide additional information through a myriad of voluntary frameworks and initiatives, such as the Carbon Disclosure Project, Global Reporting Initiative, Dow Jones Sustainability Index, Taskforce for Climate-related Financial Disclosure and the Sustainability Accounting Standards Board.</w:t>
      </w:r>
    </w:p>
    <w:p w14:paraId="7B86FA7C" w14:textId="3FB316FD" w:rsidR="00D43B58" w:rsidRPr="00A822B4" w:rsidRDefault="00D43B58" w:rsidP="00D43B58">
      <w:pPr>
        <w:spacing w:after="240"/>
        <w:ind w:left="-180"/>
        <w:rPr>
          <w:rFonts w:cs="Arial"/>
          <w:szCs w:val="22"/>
        </w:rPr>
      </w:pPr>
      <w:r w:rsidRPr="00A822B4">
        <w:rPr>
          <w:rFonts w:cs="Arial"/>
        </w:rPr>
        <w:t xml:space="preserve">EEI and its members recognize the need for </w:t>
      </w:r>
      <w:r w:rsidR="009621C3">
        <w:rPr>
          <w:rFonts w:cs="Arial"/>
        </w:rPr>
        <w:t xml:space="preserve">transparent </w:t>
      </w:r>
      <w:r w:rsidRPr="00A822B4">
        <w:rPr>
          <w:rFonts w:cs="Arial"/>
        </w:rPr>
        <w:t>disclosure</w:t>
      </w:r>
      <w:r w:rsidR="009621C3">
        <w:rPr>
          <w:rFonts w:cs="Arial"/>
        </w:rPr>
        <w:t>s</w:t>
      </w:r>
      <w:r w:rsidRPr="00A822B4">
        <w:rPr>
          <w:rFonts w:cs="Arial"/>
        </w:rPr>
        <w:t xml:space="preserve"> provid</w:t>
      </w:r>
      <w:r>
        <w:rPr>
          <w:rFonts w:cs="Arial"/>
        </w:rPr>
        <w:t>ing</w:t>
      </w:r>
      <w:r w:rsidRPr="00A822B4">
        <w:rPr>
          <w:rFonts w:cs="Arial"/>
        </w:rPr>
        <w:t xml:space="preserve"> information that is </w:t>
      </w:r>
      <w:r w:rsidR="009621C3">
        <w:rPr>
          <w:rFonts w:cs="Arial"/>
        </w:rPr>
        <w:t xml:space="preserve">relevant, </w:t>
      </w:r>
      <w:r w:rsidRPr="00A822B4">
        <w:rPr>
          <w:rFonts w:cs="Arial"/>
        </w:rPr>
        <w:t xml:space="preserve">consistent, and comparable across companies so that investors </w:t>
      </w:r>
      <w:r w:rsidR="009621C3">
        <w:rPr>
          <w:rFonts w:cs="Arial"/>
        </w:rPr>
        <w:t xml:space="preserve">and other stakeholders </w:t>
      </w:r>
      <w:r w:rsidRPr="00A822B4">
        <w:rPr>
          <w:rFonts w:cs="Arial"/>
        </w:rPr>
        <w:t xml:space="preserve">can make informed investment decisions. </w:t>
      </w:r>
      <w:r w:rsidR="00AB1F92">
        <w:rPr>
          <w:rFonts w:cs="Arial"/>
        </w:rPr>
        <w:t>A</w:t>
      </w:r>
      <w:r w:rsidR="009621C3">
        <w:rPr>
          <w:rFonts w:cs="Arial"/>
        </w:rPr>
        <w:t>s CARB works to develop these rules,</w:t>
      </w:r>
      <w:r w:rsidRPr="00A822B4">
        <w:rPr>
          <w:rFonts w:cs="Arial"/>
        </w:rPr>
        <w:t xml:space="preserve"> it is vital that </w:t>
      </w:r>
      <w:r w:rsidR="009621C3">
        <w:rPr>
          <w:rFonts w:cs="Arial"/>
        </w:rPr>
        <w:t xml:space="preserve">the </w:t>
      </w:r>
      <w:r w:rsidRPr="00A822B4">
        <w:rPr>
          <w:rFonts w:cs="Arial"/>
        </w:rPr>
        <w:t>rules are practical, useful, and informative</w:t>
      </w:r>
      <w:r>
        <w:rPr>
          <w:rFonts w:cs="Arial"/>
        </w:rPr>
        <w:t>,</w:t>
      </w:r>
      <w:r w:rsidRPr="00A822B4">
        <w:rPr>
          <w:rFonts w:cs="Arial"/>
        </w:rPr>
        <w:t xml:space="preserve"> </w:t>
      </w:r>
      <w:r w:rsidR="008B1045">
        <w:rPr>
          <w:rFonts w:cs="Arial"/>
        </w:rPr>
        <w:t xml:space="preserve">and </w:t>
      </w:r>
      <w:r>
        <w:rPr>
          <w:rFonts w:cs="Arial"/>
        </w:rPr>
        <w:t>recogniz</w:t>
      </w:r>
      <w:r w:rsidR="008B1045">
        <w:rPr>
          <w:rFonts w:cs="Arial"/>
        </w:rPr>
        <w:t>e</w:t>
      </w:r>
      <w:r w:rsidRPr="00A822B4">
        <w:rPr>
          <w:rFonts w:cs="Arial"/>
        </w:rPr>
        <w:t xml:space="preserve"> the inherent </w:t>
      </w:r>
      <w:r w:rsidRPr="00A822B4">
        <w:rPr>
          <w:rFonts w:cs="Arial"/>
          <w:szCs w:val="22"/>
        </w:rPr>
        <w:t xml:space="preserve">difficulty of obtaining </w:t>
      </w:r>
      <w:r w:rsidR="00AB1F92">
        <w:rPr>
          <w:rFonts w:cs="Arial"/>
          <w:szCs w:val="22"/>
        </w:rPr>
        <w:t xml:space="preserve">certain </w:t>
      </w:r>
      <w:r w:rsidRPr="00A822B4">
        <w:rPr>
          <w:rFonts w:cs="Arial"/>
          <w:szCs w:val="22"/>
        </w:rPr>
        <w:t>material climate-related information</w:t>
      </w:r>
      <w:r w:rsidR="00AB1F92" w:rsidRPr="00AB1F92">
        <w:rPr>
          <w:rFonts w:cs="Arial"/>
          <w:szCs w:val="22"/>
        </w:rPr>
        <w:t xml:space="preserve"> </w:t>
      </w:r>
      <w:r w:rsidR="00AB1F92">
        <w:rPr>
          <w:rFonts w:cs="Arial"/>
          <w:szCs w:val="22"/>
        </w:rPr>
        <w:t xml:space="preserve">that is both </w:t>
      </w:r>
      <w:r w:rsidR="00AB1F92" w:rsidRPr="00A822B4">
        <w:rPr>
          <w:rFonts w:cs="Arial"/>
          <w:szCs w:val="22"/>
        </w:rPr>
        <w:t>accurate and timely</w:t>
      </w:r>
      <w:r w:rsidRPr="00A822B4">
        <w:rPr>
          <w:rFonts w:cs="Arial"/>
          <w:szCs w:val="22"/>
        </w:rPr>
        <w:t>.</w:t>
      </w:r>
    </w:p>
    <w:p w14:paraId="661F8C25" w14:textId="38EA2DD1" w:rsidR="009F04AB" w:rsidRPr="00A822B4" w:rsidRDefault="009F04AB" w:rsidP="000D3132">
      <w:pPr>
        <w:spacing w:after="240"/>
        <w:rPr>
          <w:rFonts w:cs="Arial"/>
          <w:szCs w:val="22"/>
        </w:rPr>
        <w:sectPr w:rsidR="009F04AB" w:rsidRPr="00A822B4" w:rsidSect="00BC5FE9">
          <w:headerReference w:type="default" r:id="rId12"/>
          <w:headerReference w:type="first" r:id="rId13"/>
          <w:pgSz w:w="12240" w:h="15840"/>
          <w:pgMar w:top="1440" w:right="1800" w:bottom="1440" w:left="1800" w:header="720" w:footer="720" w:gutter="0"/>
          <w:cols w:space="720"/>
          <w:titlePg/>
          <w:docGrid w:linePitch="360"/>
        </w:sectPr>
      </w:pPr>
    </w:p>
    <w:p w14:paraId="2B5D0C6E" w14:textId="3E6C1DB2" w:rsidR="00221799" w:rsidRDefault="002C3232" w:rsidP="00221799">
      <w:pPr>
        <w:spacing w:after="240"/>
        <w:ind w:left="-180"/>
        <w:rPr>
          <w:rFonts w:cs="Arial"/>
        </w:rPr>
      </w:pPr>
      <w:r>
        <w:rPr>
          <w:rFonts w:cs="Arial"/>
        </w:rPr>
        <w:t>Please find b</w:t>
      </w:r>
      <w:r w:rsidR="000D3132" w:rsidRPr="000D3132">
        <w:rPr>
          <w:rFonts w:cs="Arial"/>
        </w:rPr>
        <w:t xml:space="preserve">elow detailed responses </w:t>
      </w:r>
      <w:r w:rsidR="008B1045">
        <w:rPr>
          <w:rFonts w:cs="Arial"/>
        </w:rPr>
        <w:t xml:space="preserve">from EEI </w:t>
      </w:r>
      <w:r w:rsidR="00532DAE" w:rsidRPr="00A822B4">
        <w:rPr>
          <w:rFonts w:cs="Arial"/>
        </w:rPr>
        <w:t xml:space="preserve">to </w:t>
      </w:r>
      <w:r w:rsidR="0011140A">
        <w:rPr>
          <w:rFonts w:cs="Arial"/>
        </w:rPr>
        <w:t xml:space="preserve">selected </w:t>
      </w:r>
      <w:r w:rsidR="00DE5DA5">
        <w:rPr>
          <w:rFonts w:cs="Arial"/>
        </w:rPr>
        <w:t xml:space="preserve">aspects </w:t>
      </w:r>
      <w:r w:rsidR="00221799">
        <w:rPr>
          <w:rFonts w:cs="Arial"/>
        </w:rPr>
        <w:t xml:space="preserve">of </w:t>
      </w:r>
      <w:r w:rsidR="00532DAE" w:rsidRPr="00A822B4">
        <w:rPr>
          <w:rFonts w:cs="Arial"/>
        </w:rPr>
        <w:t xml:space="preserve">the </w:t>
      </w:r>
      <w:r w:rsidR="0011140A">
        <w:rPr>
          <w:rFonts w:cs="Arial"/>
        </w:rPr>
        <w:t>RFI</w:t>
      </w:r>
      <w:r w:rsidR="00532DAE" w:rsidRPr="00A822B4">
        <w:rPr>
          <w:rFonts w:cs="Arial"/>
        </w:rPr>
        <w:t>.</w:t>
      </w:r>
    </w:p>
    <w:p w14:paraId="13AB3E4D" w14:textId="5B9BE89A" w:rsidR="00941FE9" w:rsidRPr="00D51780" w:rsidRDefault="00904FB3" w:rsidP="00890A51">
      <w:pPr>
        <w:pStyle w:val="Heading1"/>
        <w:numPr>
          <w:ilvl w:val="0"/>
          <w:numId w:val="16"/>
        </w:numPr>
        <w:rPr>
          <w:u w:val="none"/>
        </w:rPr>
      </w:pPr>
      <w:r w:rsidRPr="00D51780">
        <w:rPr>
          <w:u w:val="none"/>
        </w:rPr>
        <w:t xml:space="preserve">CARB </w:t>
      </w:r>
      <w:r w:rsidR="00AD0BB7" w:rsidRPr="00D51780">
        <w:rPr>
          <w:u w:val="none"/>
        </w:rPr>
        <w:t xml:space="preserve">Should Not </w:t>
      </w:r>
      <w:r w:rsidR="002E35E1" w:rsidRPr="002E35E1">
        <w:rPr>
          <w:u w:val="none"/>
        </w:rPr>
        <w:t xml:space="preserve">Implement </w:t>
      </w:r>
      <w:proofErr w:type="gramStart"/>
      <w:r w:rsidR="002E35E1" w:rsidRPr="002E35E1">
        <w:rPr>
          <w:u w:val="none"/>
        </w:rPr>
        <w:t>The</w:t>
      </w:r>
      <w:proofErr w:type="gramEnd"/>
      <w:r w:rsidR="002E35E1" w:rsidRPr="002E35E1">
        <w:rPr>
          <w:u w:val="none"/>
        </w:rPr>
        <w:t xml:space="preserve"> Reporting Obligations In An Overly Broad Manner</w:t>
      </w:r>
      <w:r w:rsidR="00A6623E">
        <w:rPr>
          <w:u w:val="none"/>
        </w:rPr>
        <w:t xml:space="preserve"> And Should Provide Additional Guidance on Applicability</w:t>
      </w:r>
      <w:r w:rsidR="00C40FA0" w:rsidRPr="00D51780">
        <w:rPr>
          <w:u w:val="none"/>
        </w:rPr>
        <w:t>.</w:t>
      </w:r>
    </w:p>
    <w:p w14:paraId="1A4AEE60" w14:textId="7D8E6BE5" w:rsidR="00D71814" w:rsidRDefault="00FE54A1" w:rsidP="00D71814">
      <w:pPr>
        <w:spacing w:after="240"/>
        <w:ind w:left="-180"/>
        <w:rPr>
          <w:rFonts w:cs="Arial"/>
          <w:szCs w:val="22"/>
        </w:rPr>
      </w:pPr>
      <w:r>
        <w:rPr>
          <w:rFonts w:cs="Arial"/>
          <w:szCs w:val="22"/>
        </w:rPr>
        <w:t xml:space="preserve">In the RFI, CARB seeks feedback on how to define the phrase “does business in California” as it pertains to entities that would be </w:t>
      </w:r>
      <w:r w:rsidR="009621C3">
        <w:rPr>
          <w:rFonts w:cs="Arial"/>
          <w:szCs w:val="22"/>
        </w:rPr>
        <w:t>subject to the rules</w:t>
      </w:r>
      <w:r>
        <w:rPr>
          <w:rFonts w:cs="Arial"/>
          <w:szCs w:val="22"/>
        </w:rPr>
        <w:t xml:space="preserve">, including whether CARB should adopt the interpretation found in the </w:t>
      </w:r>
      <w:r w:rsidR="008B1045">
        <w:rPr>
          <w:rFonts w:cs="Arial"/>
          <w:szCs w:val="22"/>
        </w:rPr>
        <w:t xml:space="preserve">California </w:t>
      </w:r>
      <w:r>
        <w:rPr>
          <w:rFonts w:cs="Arial"/>
          <w:szCs w:val="22"/>
        </w:rPr>
        <w:t>Revenue and Tax Code section 23101.</w:t>
      </w:r>
      <w:r>
        <w:rPr>
          <w:rStyle w:val="FootnoteReference"/>
          <w:rFonts w:cs="Arial"/>
          <w:szCs w:val="22"/>
        </w:rPr>
        <w:footnoteReference w:id="6"/>
      </w:r>
      <w:r>
        <w:rPr>
          <w:rFonts w:cs="Arial"/>
          <w:szCs w:val="22"/>
        </w:rPr>
        <w:t xml:space="preserve"> </w:t>
      </w:r>
      <w:r w:rsidRPr="00A822B4">
        <w:rPr>
          <w:rFonts w:cs="Arial"/>
          <w:szCs w:val="22"/>
        </w:rPr>
        <w:t xml:space="preserve">The interpretation of “doing business in California” set by the California Revenue and Tax Code should not be adopted because the definition is too broad when applied to tracking, monitoring, and verifying company-related </w:t>
      </w:r>
      <w:r w:rsidR="006C3726">
        <w:rPr>
          <w:rFonts w:cs="Arial"/>
          <w:szCs w:val="22"/>
        </w:rPr>
        <w:t>GHG</w:t>
      </w:r>
      <w:r w:rsidRPr="00A822B4">
        <w:rPr>
          <w:rFonts w:cs="Arial"/>
          <w:szCs w:val="22"/>
        </w:rPr>
        <w:t xml:space="preserve"> emissions. Use of such a vague and overly broad definition could subject entities </w:t>
      </w:r>
      <w:r w:rsidR="008B1045" w:rsidRPr="00A822B4">
        <w:rPr>
          <w:rFonts w:cs="Arial"/>
          <w:szCs w:val="22"/>
        </w:rPr>
        <w:t>that do not actually do business or emit in the state</w:t>
      </w:r>
      <w:r w:rsidR="008B1045">
        <w:rPr>
          <w:rFonts w:cs="Arial"/>
          <w:szCs w:val="22"/>
        </w:rPr>
        <w:t xml:space="preserve"> of California</w:t>
      </w:r>
      <w:r w:rsidR="008B1045" w:rsidRPr="00A822B4">
        <w:rPr>
          <w:rFonts w:cs="Arial"/>
          <w:szCs w:val="22"/>
        </w:rPr>
        <w:t xml:space="preserve"> </w:t>
      </w:r>
      <w:r w:rsidRPr="00A822B4">
        <w:rPr>
          <w:rFonts w:cs="Arial"/>
          <w:szCs w:val="22"/>
        </w:rPr>
        <w:t>to the reporting requirement.</w:t>
      </w:r>
    </w:p>
    <w:p w14:paraId="16C00A27" w14:textId="5EEA7580" w:rsidR="005A5E22" w:rsidRPr="009F1BE2" w:rsidRDefault="002E35E1" w:rsidP="00AB175D">
      <w:pPr>
        <w:pStyle w:val="ListParagraph"/>
        <w:numPr>
          <w:ilvl w:val="0"/>
          <w:numId w:val="20"/>
        </w:numPr>
        <w:spacing w:after="240"/>
        <w:rPr>
          <w:rFonts w:cs="Arial"/>
          <w:b/>
          <w:bCs/>
        </w:rPr>
      </w:pPr>
      <w:r>
        <w:rPr>
          <w:b/>
          <w:bCs/>
        </w:rPr>
        <w:lastRenderedPageBreak/>
        <w:t xml:space="preserve">CARB Should Not </w:t>
      </w:r>
      <w:r w:rsidRPr="002E35E1">
        <w:rPr>
          <w:b/>
          <w:bCs/>
        </w:rPr>
        <w:t xml:space="preserve">Adopt the Interpretation Of “Doing Business </w:t>
      </w:r>
      <w:proofErr w:type="gramStart"/>
      <w:r w:rsidRPr="002E35E1">
        <w:rPr>
          <w:b/>
          <w:bCs/>
        </w:rPr>
        <w:t>In</w:t>
      </w:r>
      <w:proofErr w:type="gramEnd"/>
      <w:r w:rsidRPr="002E35E1">
        <w:rPr>
          <w:b/>
          <w:bCs/>
        </w:rPr>
        <w:t xml:space="preserve"> California” As Defined By The California Revenue And Tax Code</w:t>
      </w:r>
      <w:r w:rsidR="009D1C2A" w:rsidRPr="009F1BE2">
        <w:rPr>
          <w:rFonts w:cs="Arial"/>
          <w:b/>
          <w:bCs/>
        </w:rPr>
        <w:t>.</w:t>
      </w:r>
    </w:p>
    <w:p w14:paraId="71F7967B" w14:textId="77777777" w:rsidR="00EF342A" w:rsidRDefault="000F458D" w:rsidP="00E26F6E">
      <w:pPr>
        <w:spacing w:after="240"/>
        <w:ind w:left="-180"/>
        <w:rPr>
          <w:rFonts w:cs="Arial"/>
          <w:szCs w:val="22"/>
        </w:rPr>
      </w:pPr>
      <w:bookmarkStart w:id="0" w:name="_Hlk191629724"/>
      <w:r>
        <w:rPr>
          <w:rFonts w:cs="Arial"/>
          <w:szCs w:val="22"/>
        </w:rPr>
        <w:t>U</w:t>
      </w:r>
      <w:r w:rsidR="00E26F6E" w:rsidRPr="00A822B4">
        <w:rPr>
          <w:rFonts w:cs="Arial"/>
          <w:szCs w:val="22"/>
        </w:rPr>
        <w:t>nder the California Revenue and Tax Code definition, an entity qualifies as “doing business in California” even if its sole contact with the state is through payroll or property taxes.</w:t>
      </w:r>
      <w:r w:rsidR="00E26F6E" w:rsidRPr="00A822B4">
        <w:rPr>
          <w:rStyle w:val="FootnoteReference"/>
          <w:rFonts w:cs="Arial"/>
          <w:szCs w:val="22"/>
        </w:rPr>
        <w:footnoteReference w:id="7"/>
      </w:r>
      <w:r w:rsidR="00E26F6E" w:rsidRPr="00A822B4">
        <w:rPr>
          <w:rFonts w:cs="Arial"/>
          <w:szCs w:val="22"/>
        </w:rPr>
        <w:t xml:space="preserve"> While these two factors have a conceptual tie to the underlying purpose of the Revenue and Tax Code, an entity’s compensation to individuals within the state or property tax obligations to the state have, on their own, no bearing on whether the entity emits or has material emissions within the state.</w:t>
      </w:r>
      <w:r w:rsidR="00E26F6E" w:rsidRPr="00A822B4">
        <w:rPr>
          <w:rStyle w:val="FootnoteReference"/>
          <w:rFonts w:cs="Arial"/>
          <w:szCs w:val="22"/>
        </w:rPr>
        <w:footnoteReference w:id="8"/>
      </w:r>
      <w:r w:rsidR="00E26F6E" w:rsidRPr="00A822B4">
        <w:rPr>
          <w:rFonts w:cs="Arial"/>
          <w:szCs w:val="22"/>
        </w:rPr>
        <w:t xml:space="preserve"> </w:t>
      </w:r>
    </w:p>
    <w:p w14:paraId="49005CF3" w14:textId="44B1764B" w:rsidR="00EF342A" w:rsidRDefault="00EF342A" w:rsidP="00E26F6E">
      <w:pPr>
        <w:spacing w:after="240"/>
        <w:ind w:left="-180"/>
        <w:rPr>
          <w:rFonts w:cs="Arial"/>
          <w:szCs w:val="22"/>
        </w:rPr>
      </w:pPr>
      <w:r>
        <w:rPr>
          <w:rFonts w:cs="Arial"/>
          <w:szCs w:val="22"/>
        </w:rPr>
        <w:t xml:space="preserve">For example, one </w:t>
      </w:r>
      <w:r w:rsidR="006F44C6">
        <w:rPr>
          <w:rFonts w:cs="Arial"/>
          <w:szCs w:val="22"/>
        </w:rPr>
        <w:t xml:space="preserve">EEI </w:t>
      </w:r>
      <w:r>
        <w:rPr>
          <w:rFonts w:cs="Arial"/>
          <w:szCs w:val="22"/>
        </w:rPr>
        <w:t xml:space="preserve">member is an electric company that owns and operates generation, transmission and distribution assets that are primarily outside of California, with one small exception. This member company is a partial owner of a substation just inside the California border. The company’s share of the equipment is less than $5 million but easily surpasses the Tax Code’s 2024 threshold for real and tangible personal property doing business in California. While this low threshold might make sense for attribution of taxes, it makes no sense for triggering environmental reporting requirements in California. </w:t>
      </w:r>
      <w:proofErr w:type="gramStart"/>
      <w:r>
        <w:rPr>
          <w:rFonts w:cs="Arial"/>
          <w:szCs w:val="22"/>
        </w:rPr>
        <w:t>All of</w:t>
      </w:r>
      <w:proofErr w:type="gramEnd"/>
      <w:r>
        <w:rPr>
          <w:rFonts w:cs="Arial"/>
          <w:szCs w:val="22"/>
        </w:rPr>
        <w:t xml:space="preserve"> the company’s direct GHG emissions occur in states outside of California’s borders. This asset has no direct GHG emissions, and even if indirect emissions were to be considered, it would represent an exceedingly small percentage of the company’s overall emissions profile. No company should be subjected to California law simply because it owns a small portion of an asset that has no direct emissions.</w:t>
      </w:r>
    </w:p>
    <w:p w14:paraId="356B4ECC" w14:textId="4A371CC1" w:rsidR="00E26F6E" w:rsidRDefault="00E26F6E" w:rsidP="00E26F6E">
      <w:pPr>
        <w:spacing w:after="240"/>
        <w:ind w:left="-180"/>
        <w:rPr>
          <w:rFonts w:cs="Arial"/>
        </w:rPr>
      </w:pPr>
      <w:r w:rsidRPr="00A822B4">
        <w:rPr>
          <w:rFonts w:cs="Arial"/>
          <w:szCs w:val="22"/>
        </w:rPr>
        <w:t>As an</w:t>
      </w:r>
      <w:r w:rsidR="00AC2008">
        <w:rPr>
          <w:rFonts w:cs="Arial"/>
          <w:szCs w:val="22"/>
        </w:rPr>
        <w:t>other</w:t>
      </w:r>
      <w:r w:rsidRPr="00A822B4">
        <w:rPr>
          <w:rFonts w:cs="Arial"/>
          <w:szCs w:val="22"/>
        </w:rPr>
        <w:t xml:space="preserve"> example, an electric company </w:t>
      </w:r>
      <w:r>
        <w:rPr>
          <w:rFonts w:cs="Arial"/>
          <w:szCs w:val="22"/>
        </w:rPr>
        <w:t>with</w:t>
      </w:r>
      <w:r w:rsidRPr="00A822B4">
        <w:rPr>
          <w:rFonts w:cs="Arial"/>
          <w:szCs w:val="22"/>
        </w:rPr>
        <w:t xml:space="preserve"> generation, transmission, and distribution assets, as well as its retail sales, wholly outside the state of California may have employees who work remotely from California or may maintain </w:t>
      </w:r>
      <w:r>
        <w:rPr>
          <w:rFonts w:cs="Arial"/>
          <w:szCs w:val="22"/>
        </w:rPr>
        <w:t xml:space="preserve">an office or </w:t>
      </w:r>
      <w:r w:rsidRPr="00A822B4">
        <w:rPr>
          <w:rFonts w:cs="Arial"/>
          <w:szCs w:val="22"/>
        </w:rPr>
        <w:t>a corporate apartment in the state. Even though neither activity would meaningful</w:t>
      </w:r>
      <w:r>
        <w:rPr>
          <w:rFonts w:cs="Arial"/>
          <w:szCs w:val="22"/>
        </w:rPr>
        <w:t>ly</w:t>
      </w:r>
      <w:r w:rsidRPr="00A822B4">
        <w:rPr>
          <w:rFonts w:cs="Arial"/>
          <w:szCs w:val="22"/>
        </w:rPr>
        <w:t xml:space="preserve"> </w:t>
      </w:r>
      <w:r w:rsidR="006F44C6">
        <w:rPr>
          <w:rFonts w:cs="Arial"/>
          <w:szCs w:val="22"/>
        </w:rPr>
        <w:t>impact</w:t>
      </w:r>
      <w:r w:rsidRPr="00A822B4">
        <w:rPr>
          <w:rFonts w:cs="Arial"/>
          <w:szCs w:val="22"/>
        </w:rPr>
        <w:t xml:space="preserve"> the entity’s emissions </w:t>
      </w:r>
      <w:r w:rsidR="008B1045">
        <w:rPr>
          <w:rFonts w:cs="Arial"/>
          <w:szCs w:val="22"/>
        </w:rPr>
        <w:t xml:space="preserve">(or lack thereof) </w:t>
      </w:r>
      <w:r w:rsidRPr="00A822B4">
        <w:rPr>
          <w:rFonts w:cs="Arial"/>
          <w:szCs w:val="22"/>
        </w:rPr>
        <w:t>in California, these activities would subject the entity to the emissions reporting requirement if CARB adopt</w:t>
      </w:r>
      <w:r w:rsidR="006F44C6">
        <w:rPr>
          <w:rFonts w:cs="Arial"/>
          <w:szCs w:val="22"/>
        </w:rPr>
        <w:t>ed</w:t>
      </w:r>
      <w:r w:rsidRPr="00A822B4">
        <w:rPr>
          <w:rFonts w:cs="Arial"/>
          <w:szCs w:val="22"/>
        </w:rPr>
        <w:t xml:space="preserve"> the California Review and Tax Code definition of “doing business in California.”</w:t>
      </w:r>
      <w:bookmarkEnd w:id="0"/>
      <w:r w:rsidRPr="00A822B4">
        <w:rPr>
          <w:rFonts w:cs="Arial"/>
          <w:szCs w:val="22"/>
        </w:rPr>
        <w:t xml:space="preserve"> </w:t>
      </w:r>
    </w:p>
    <w:p w14:paraId="3B2E72FE" w14:textId="653234AB" w:rsidR="0004059E" w:rsidRDefault="0004059E" w:rsidP="0004059E">
      <w:pPr>
        <w:spacing w:after="240"/>
        <w:ind w:left="-180"/>
        <w:rPr>
          <w:rFonts w:cs="Arial"/>
        </w:rPr>
      </w:pPr>
      <w:r w:rsidRPr="00E2767F">
        <w:rPr>
          <w:rFonts w:cs="Arial"/>
        </w:rPr>
        <w:t xml:space="preserve">Generally, the incidental </w:t>
      </w:r>
      <w:r w:rsidR="00272648" w:rsidRPr="00E2767F">
        <w:rPr>
          <w:rFonts w:cs="Arial"/>
        </w:rPr>
        <w:t>GHG</w:t>
      </w:r>
      <w:r w:rsidRPr="00E2767F">
        <w:rPr>
          <w:rFonts w:cs="Arial"/>
        </w:rPr>
        <w:t xml:space="preserve"> emissions of employees working remotely or offsite do not have a significant </w:t>
      </w:r>
      <w:r w:rsidR="002E35E1" w:rsidRPr="00E2767F">
        <w:rPr>
          <w:rFonts w:cs="Arial"/>
        </w:rPr>
        <w:t>impact</w:t>
      </w:r>
      <w:r w:rsidRPr="00E2767F">
        <w:rPr>
          <w:rFonts w:cs="Arial"/>
        </w:rPr>
        <w:t xml:space="preserve"> on the entity’s overall emissions. Companies whose only potential ties to the state are through payroll or property tax would be more likely to decline to hire employees in California or maintain property in the state. Also, there is a potential that companies with smaller operations may consider leaving the state given overly burdensome reporting obligations and thereby decrease the state’s tax revenue, an unintended consequence of the disclosure.</w:t>
      </w:r>
    </w:p>
    <w:p w14:paraId="4B85117E" w14:textId="37147DDE" w:rsidR="008B1045" w:rsidRDefault="00515747" w:rsidP="00515747">
      <w:pPr>
        <w:spacing w:after="240"/>
        <w:ind w:left="-180"/>
        <w:rPr>
          <w:rFonts w:cs="Arial"/>
        </w:rPr>
      </w:pPr>
      <w:r w:rsidRPr="00A822B4">
        <w:rPr>
          <w:rFonts w:cs="Arial"/>
        </w:rPr>
        <w:t xml:space="preserve">Moreover, </w:t>
      </w:r>
      <w:r w:rsidR="0004059E">
        <w:rPr>
          <w:rFonts w:cs="Arial"/>
        </w:rPr>
        <w:t>subjecting</w:t>
      </w:r>
      <w:r w:rsidRPr="00A822B4">
        <w:rPr>
          <w:rFonts w:cs="Arial"/>
        </w:rPr>
        <w:t xml:space="preserve"> an entity that has no </w:t>
      </w:r>
      <w:r>
        <w:rPr>
          <w:rFonts w:cs="Arial"/>
        </w:rPr>
        <w:t xml:space="preserve">substantive </w:t>
      </w:r>
      <w:r w:rsidRPr="00A822B4">
        <w:rPr>
          <w:rFonts w:cs="Arial"/>
        </w:rPr>
        <w:t xml:space="preserve">physical </w:t>
      </w:r>
      <w:r w:rsidR="008B1045">
        <w:rPr>
          <w:rFonts w:cs="Arial"/>
        </w:rPr>
        <w:t xml:space="preserve">or workforce </w:t>
      </w:r>
      <w:r w:rsidRPr="00A822B4">
        <w:rPr>
          <w:rFonts w:cs="Arial"/>
        </w:rPr>
        <w:t xml:space="preserve">presence in the state to </w:t>
      </w:r>
      <w:r w:rsidR="0004059E">
        <w:rPr>
          <w:rFonts w:cs="Arial"/>
        </w:rPr>
        <w:t>these implementing regulations</w:t>
      </w:r>
      <w:r w:rsidRPr="00A822B4">
        <w:rPr>
          <w:rFonts w:cs="Arial"/>
        </w:rPr>
        <w:t xml:space="preserve"> </w:t>
      </w:r>
      <w:r w:rsidR="008E2583">
        <w:rPr>
          <w:rFonts w:cs="Arial"/>
        </w:rPr>
        <w:t>is not</w:t>
      </w:r>
      <w:r w:rsidRPr="00A822B4">
        <w:rPr>
          <w:rFonts w:cs="Arial"/>
        </w:rPr>
        <w:t xml:space="preserve"> consistent with the legislative intent</w:t>
      </w:r>
      <w:r w:rsidR="008B1045" w:rsidRPr="008B1045">
        <w:rPr>
          <w:rFonts w:cs="Arial"/>
        </w:rPr>
        <w:t xml:space="preserve"> </w:t>
      </w:r>
      <w:r w:rsidR="008B1045">
        <w:rPr>
          <w:rFonts w:cs="Arial"/>
        </w:rPr>
        <w:t>of SB 253 and 261</w:t>
      </w:r>
      <w:r w:rsidR="008B1045" w:rsidRPr="00A822B4">
        <w:rPr>
          <w:rFonts w:cs="Arial"/>
        </w:rPr>
        <w:t xml:space="preserve">. </w:t>
      </w:r>
      <w:r w:rsidR="008B1045">
        <w:rPr>
          <w:rFonts w:cs="Arial"/>
        </w:rPr>
        <w:t xml:space="preserve">Section 23101 of the California Revenue and Taxation Code was enacted for wholly different reasons than were SB 253 and 261 and using the definition in Section 23101 runs the risk of sweeping companies into those bills’ purview who have de </w:t>
      </w:r>
      <w:r w:rsidR="008B1045">
        <w:rPr>
          <w:rFonts w:cs="Arial"/>
        </w:rPr>
        <w:lastRenderedPageBreak/>
        <w:t xml:space="preserve">minimis business interests in the state. For example, some companies have remote employees in the state to whom they pay </w:t>
      </w:r>
      <w:r w:rsidR="006F44C6">
        <w:rPr>
          <w:rFonts w:cs="Arial"/>
        </w:rPr>
        <w:t xml:space="preserve">more than </w:t>
      </w:r>
      <w:r w:rsidR="008B1045">
        <w:rPr>
          <w:rFonts w:cs="Arial"/>
        </w:rPr>
        <w:t xml:space="preserve">$50,000 in compensation, yet have no other operations, nor emissions in California. Such companies should not be included in the requirements of SB 253 or 261. </w:t>
      </w:r>
    </w:p>
    <w:p w14:paraId="3A898ACB" w14:textId="64FAAE88" w:rsidR="00515747" w:rsidRDefault="00515747" w:rsidP="00515747">
      <w:pPr>
        <w:spacing w:after="240"/>
        <w:ind w:left="-180"/>
        <w:rPr>
          <w:rFonts w:cs="Arial"/>
        </w:rPr>
      </w:pPr>
      <w:r w:rsidRPr="00A822B4">
        <w:rPr>
          <w:rFonts w:cs="Arial"/>
        </w:rPr>
        <w:t xml:space="preserve">In </w:t>
      </w:r>
      <w:r w:rsidR="008B1045">
        <w:rPr>
          <w:rFonts w:cs="Arial"/>
        </w:rPr>
        <w:t xml:space="preserve">fact, in </w:t>
      </w:r>
      <w:r w:rsidRPr="00A822B4">
        <w:rPr>
          <w:rFonts w:cs="Arial"/>
        </w:rPr>
        <w:t xml:space="preserve">their </w:t>
      </w:r>
      <w:r w:rsidRPr="00885E83">
        <w:rPr>
          <w:rFonts w:cs="Arial"/>
        </w:rPr>
        <w:t>January 30, 2024</w:t>
      </w:r>
      <w:r w:rsidR="00816BCA" w:rsidRPr="00885E83">
        <w:rPr>
          <w:rFonts w:cs="Arial"/>
        </w:rPr>
        <w:t>,</w:t>
      </w:r>
      <w:r w:rsidRPr="00885E83">
        <w:rPr>
          <w:rFonts w:cs="Arial"/>
        </w:rPr>
        <w:t xml:space="preserve"> letter published in the Senate Journal,</w:t>
      </w:r>
      <w:r w:rsidR="0067149B" w:rsidRPr="00885E83">
        <w:rPr>
          <w:rStyle w:val="FootnoteReference"/>
          <w:rFonts w:cs="Arial"/>
        </w:rPr>
        <w:footnoteReference w:id="9"/>
      </w:r>
      <w:r w:rsidRPr="00A822B4">
        <w:rPr>
          <w:rFonts w:cs="Arial"/>
        </w:rPr>
        <w:t xml:space="preserve"> the lead sponsors of SB 253 and 261 explained that the legislative intent was not to include companies participating in the Western Energy Imbalance Market and the Extended Day Ahead Market within the scope of the reporting obligation. The letter further explains that the two bills “are not intended to include a business entity whose only activity within California consists of wholesale electricity transactions that occur in interstate commerce.” This specific explanation of legislative intent, as well as its implication that the reporting obligations </w:t>
      </w:r>
      <w:r w:rsidR="00816BCA">
        <w:rPr>
          <w:rFonts w:cs="Arial"/>
        </w:rPr>
        <w:t xml:space="preserve">should </w:t>
      </w:r>
      <w:r w:rsidRPr="00A822B4">
        <w:rPr>
          <w:rFonts w:cs="Arial"/>
        </w:rPr>
        <w:t>not be implemented in an overly broad manner, should be followed.</w:t>
      </w:r>
      <w:r w:rsidR="008B1045" w:rsidRPr="008B1045">
        <w:rPr>
          <w:rFonts w:cs="Arial"/>
        </w:rPr>
        <w:t xml:space="preserve"> </w:t>
      </w:r>
      <w:r w:rsidR="008B1045">
        <w:rPr>
          <w:rFonts w:cs="Arial"/>
        </w:rPr>
        <w:t>Therefore, CARB should not adopt the interpretation of “doing business in California” found in the Revenue and Tax Code section 23101 for implementation of SB 253 and 261</w:t>
      </w:r>
      <w:r w:rsidR="008B1045" w:rsidRPr="00A822B4">
        <w:rPr>
          <w:rFonts w:cs="Arial"/>
        </w:rPr>
        <w:t>.</w:t>
      </w:r>
    </w:p>
    <w:p w14:paraId="6EE50B2B" w14:textId="282D6C71" w:rsidR="005A5E22" w:rsidRPr="009F1BE2" w:rsidRDefault="005A5E22" w:rsidP="009F1BE2">
      <w:pPr>
        <w:pStyle w:val="ListParagraph"/>
        <w:numPr>
          <w:ilvl w:val="0"/>
          <w:numId w:val="20"/>
        </w:numPr>
        <w:spacing w:after="240"/>
        <w:rPr>
          <w:rFonts w:cs="Arial"/>
          <w:b/>
          <w:bCs/>
        </w:rPr>
      </w:pPr>
      <w:r w:rsidRPr="009F1BE2">
        <w:rPr>
          <w:rFonts w:cs="Arial"/>
          <w:b/>
          <w:bCs/>
        </w:rPr>
        <w:t>CARB Should Provide Clearer</w:t>
      </w:r>
      <w:r w:rsidR="009D1C2A" w:rsidRPr="009F1BE2">
        <w:rPr>
          <w:rFonts w:cs="Arial"/>
          <w:b/>
          <w:bCs/>
        </w:rPr>
        <w:t xml:space="preserve">, </w:t>
      </w:r>
      <w:r w:rsidRPr="009F1BE2">
        <w:rPr>
          <w:rFonts w:cs="Arial"/>
          <w:b/>
          <w:bCs/>
        </w:rPr>
        <w:t xml:space="preserve">More Focused Guidance </w:t>
      </w:r>
      <w:r w:rsidR="00885E83">
        <w:rPr>
          <w:rFonts w:cs="Arial"/>
          <w:b/>
          <w:bCs/>
        </w:rPr>
        <w:t>Regarding</w:t>
      </w:r>
      <w:r w:rsidR="009D1C2A" w:rsidRPr="009F1BE2">
        <w:rPr>
          <w:rFonts w:cs="Arial"/>
          <w:b/>
          <w:bCs/>
        </w:rPr>
        <w:t xml:space="preserve"> </w:t>
      </w:r>
      <w:r w:rsidRPr="009F1BE2">
        <w:rPr>
          <w:rFonts w:cs="Arial"/>
          <w:b/>
          <w:bCs/>
        </w:rPr>
        <w:t>Applicability</w:t>
      </w:r>
      <w:r w:rsidR="009D1C2A" w:rsidRPr="009F1BE2">
        <w:rPr>
          <w:rFonts w:cs="Arial"/>
          <w:b/>
          <w:bCs/>
        </w:rPr>
        <w:t>.</w:t>
      </w:r>
    </w:p>
    <w:p w14:paraId="6AF37C6D" w14:textId="71A5E6C4" w:rsidR="00F41B6E" w:rsidRPr="00A822B4" w:rsidRDefault="0037208D" w:rsidP="004F619F">
      <w:pPr>
        <w:spacing w:after="240"/>
        <w:ind w:left="-180"/>
        <w:rPr>
          <w:rFonts w:cs="Arial"/>
        </w:rPr>
      </w:pPr>
      <w:r w:rsidRPr="00A822B4">
        <w:rPr>
          <w:rFonts w:cs="Arial"/>
        </w:rPr>
        <w:t>CARB has clear regulatory authority over sources that emit within the state and should align the implementation of th</w:t>
      </w:r>
      <w:r w:rsidR="002323F0">
        <w:rPr>
          <w:rFonts w:cs="Arial"/>
        </w:rPr>
        <w:t>ese</w:t>
      </w:r>
      <w:r w:rsidRPr="00A822B4">
        <w:rPr>
          <w:rFonts w:cs="Arial"/>
        </w:rPr>
        <w:t xml:space="preserve"> rule</w:t>
      </w:r>
      <w:r w:rsidR="002323F0">
        <w:rPr>
          <w:rFonts w:cs="Arial"/>
        </w:rPr>
        <w:t>s</w:t>
      </w:r>
      <w:r w:rsidRPr="00A822B4">
        <w:rPr>
          <w:rFonts w:cs="Arial"/>
        </w:rPr>
        <w:t xml:space="preserve"> with its authority over entities that directly emit within the state.</w:t>
      </w:r>
      <w:r w:rsidR="00840632">
        <w:rPr>
          <w:rStyle w:val="FootnoteReference"/>
        </w:rPr>
        <w:footnoteReference w:id="10"/>
      </w:r>
      <w:r w:rsidR="00840632" w:rsidRPr="005D6197">
        <w:rPr>
          <w:rFonts w:cs="Arial"/>
        </w:rPr>
        <w:t xml:space="preserve"> </w:t>
      </w:r>
      <w:r w:rsidR="00F41B6E" w:rsidRPr="00A822B4">
        <w:rPr>
          <w:rFonts w:cs="Arial"/>
        </w:rPr>
        <w:t xml:space="preserve">As part of defining what it means to do business in California for the purposes of implementing SB 253 and 261, </w:t>
      </w:r>
      <w:r w:rsidR="00FB1AB7">
        <w:rPr>
          <w:rFonts w:cs="Arial"/>
        </w:rPr>
        <w:t>in addition to the revenue triggers contained in the rule,</w:t>
      </w:r>
      <w:r w:rsidR="00FB1AB7">
        <w:rPr>
          <w:rStyle w:val="FootnoteReference"/>
          <w:rFonts w:cs="Arial"/>
        </w:rPr>
        <w:footnoteReference w:id="11"/>
      </w:r>
      <w:r w:rsidR="00FB1AB7">
        <w:rPr>
          <w:rFonts w:cs="Arial"/>
        </w:rPr>
        <w:t xml:space="preserve"> </w:t>
      </w:r>
      <w:r w:rsidR="00F41B6E" w:rsidRPr="00A822B4">
        <w:rPr>
          <w:rFonts w:cs="Arial"/>
        </w:rPr>
        <w:t xml:space="preserve">CARB should: </w:t>
      </w:r>
    </w:p>
    <w:p w14:paraId="2966646C" w14:textId="5AE85B84" w:rsidR="009F1643" w:rsidRPr="00A822B4" w:rsidRDefault="00A6623E" w:rsidP="009F1643">
      <w:pPr>
        <w:pStyle w:val="ListParagraph"/>
        <w:numPr>
          <w:ilvl w:val="0"/>
          <w:numId w:val="14"/>
        </w:numPr>
        <w:spacing w:line="278" w:lineRule="auto"/>
        <w:rPr>
          <w:rFonts w:cs="Arial"/>
        </w:rPr>
      </w:pPr>
      <w:r>
        <w:rPr>
          <w:rFonts w:cs="Arial"/>
        </w:rPr>
        <w:t xml:space="preserve">Limit the application of the rules </w:t>
      </w:r>
      <w:r w:rsidR="009F1643">
        <w:rPr>
          <w:rFonts w:cs="Arial"/>
        </w:rPr>
        <w:t xml:space="preserve">to </w:t>
      </w:r>
      <w:r w:rsidR="009F1643" w:rsidRPr="00A822B4">
        <w:rPr>
          <w:rFonts w:cs="Arial"/>
        </w:rPr>
        <w:t xml:space="preserve">companies that have physical operations </w:t>
      </w:r>
      <w:r w:rsidR="00AC2008">
        <w:rPr>
          <w:rFonts w:cs="Arial"/>
        </w:rPr>
        <w:t>that</w:t>
      </w:r>
      <w:r w:rsidR="009F1643" w:rsidRPr="00A822B4">
        <w:rPr>
          <w:rFonts w:cs="Arial"/>
        </w:rPr>
        <w:t xml:space="preserve"> directly produce </w:t>
      </w:r>
      <w:r w:rsidR="00272648">
        <w:rPr>
          <w:rFonts w:cs="Arial"/>
        </w:rPr>
        <w:t>GHG</w:t>
      </w:r>
      <w:r w:rsidR="009F1643" w:rsidRPr="00A822B4">
        <w:rPr>
          <w:rFonts w:cs="Arial"/>
        </w:rPr>
        <w:t xml:space="preserve"> emissions in the state</w:t>
      </w:r>
      <w:r w:rsidR="006F5CC2">
        <w:rPr>
          <w:rFonts w:cs="Arial"/>
        </w:rPr>
        <w:t xml:space="preserve"> above </w:t>
      </w:r>
      <w:proofErr w:type="gramStart"/>
      <w:r w:rsidR="006F5CC2">
        <w:rPr>
          <w:rFonts w:cs="Arial"/>
        </w:rPr>
        <w:t>a de</w:t>
      </w:r>
      <w:proofErr w:type="gramEnd"/>
      <w:r w:rsidR="006F5CC2">
        <w:rPr>
          <w:rFonts w:cs="Arial"/>
        </w:rPr>
        <w:t xml:space="preserve"> minimis amount</w:t>
      </w:r>
      <w:r w:rsidR="009F1643" w:rsidRPr="00A822B4">
        <w:rPr>
          <w:rFonts w:cs="Arial"/>
        </w:rPr>
        <w:t xml:space="preserve">. </w:t>
      </w:r>
    </w:p>
    <w:p w14:paraId="58275C06" w14:textId="0AA5B892" w:rsidR="009F1643" w:rsidRDefault="009F1643" w:rsidP="009F1643">
      <w:pPr>
        <w:pStyle w:val="ListParagraph"/>
        <w:numPr>
          <w:ilvl w:val="0"/>
          <w:numId w:val="14"/>
        </w:numPr>
        <w:spacing w:line="278" w:lineRule="auto"/>
        <w:rPr>
          <w:rFonts w:cs="Arial"/>
        </w:rPr>
      </w:pPr>
      <w:r w:rsidRPr="00A822B4">
        <w:rPr>
          <w:rFonts w:cs="Arial"/>
        </w:rPr>
        <w:t xml:space="preserve">Include a de minimis exemption for companies not principally placed in California </w:t>
      </w:r>
      <w:r w:rsidR="00A6623E">
        <w:rPr>
          <w:rFonts w:cs="Arial"/>
        </w:rPr>
        <w:t>that</w:t>
      </w:r>
      <w:r w:rsidRPr="00A822B4">
        <w:rPr>
          <w:rFonts w:cs="Arial"/>
        </w:rPr>
        <w:t xml:space="preserve"> have 1 percent or less of their employees whose primary residence is in California.</w:t>
      </w:r>
      <w:r>
        <w:rPr>
          <w:rFonts w:cs="Arial"/>
        </w:rPr>
        <w:t xml:space="preserve"> </w:t>
      </w:r>
    </w:p>
    <w:p w14:paraId="41A7B0FA" w14:textId="0F9DF0C4" w:rsidR="002323F0" w:rsidRPr="00A822B4" w:rsidRDefault="002323F0" w:rsidP="009F1643">
      <w:pPr>
        <w:pStyle w:val="ListParagraph"/>
        <w:numPr>
          <w:ilvl w:val="0"/>
          <w:numId w:val="14"/>
        </w:numPr>
        <w:spacing w:line="278" w:lineRule="auto"/>
        <w:rPr>
          <w:rFonts w:cs="Arial"/>
        </w:rPr>
      </w:pPr>
      <w:r>
        <w:rPr>
          <w:rFonts w:cs="Arial"/>
        </w:rPr>
        <w:t>Include a specific exemption for an entity whose only activity within California consists of wholesale electricity transactions that occur in interstate commerce.</w:t>
      </w:r>
    </w:p>
    <w:p w14:paraId="14CEDEF0" w14:textId="2ABDDE0E" w:rsidR="00A6623E" w:rsidRDefault="006F350F" w:rsidP="006F350F">
      <w:pPr>
        <w:spacing w:after="240"/>
        <w:ind w:left="-180"/>
        <w:rPr>
          <w:rFonts w:ascii="Calibri" w:eastAsia="Times New Roman" w:hAnsi="Calibri" w:cs="Calibri"/>
          <w:i/>
          <w:iCs/>
        </w:rPr>
      </w:pPr>
      <w:r w:rsidRPr="00201BC1">
        <w:rPr>
          <w:rFonts w:cs="Arial"/>
        </w:rPr>
        <w:lastRenderedPageBreak/>
        <w:t xml:space="preserve">Other state laws in California have specific thresholds that are not relegated to California’s Revenue and Tax Code, </w:t>
      </w:r>
      <w:r w:rsidR="00922D7E">
        <w:rPr>
          <w:rFonts w:cs="Arial"/>
        </w:rPr>
        <w:t>such as</w:t>
      </w:r>
      <w:r w:rsidRPr="00201BC1">
        <w:rPr>
          <w:rFonts w:cs="Arial"/>
        </w:rPr>
        <w:t xml:space="preserve"> the California Consumer Privacy Act, which requires extraterritorial obligations to apply when 50</w:t>
      </w:r>
      <w:r>
        <w:rPr>
          <w:rFonts w:cs="Arial"/>
        </w:rPr>
        <w:t xml:space="preserve"> percent</w:t>
      </w:r>
      <w:r w:rsidRPr="00201BC1">
        <w:rPr>
          <w:rFonts w:cs="Arial"/>
        </w:rPr>
        <w:t xml:space="preserve"> or more of the annual revenue is made from California consumers.</w:t>
      </w:r>
      <w:r w:rsidRPr="00293A39">
        <w:rPr>
          <w:vertAlign w:val="superscript"/>
        </w:rPr>
        <w:footnoteReference w:id="12"/>
      </w:r>
      <w:r w:rsidRPr="00201BC1">
        <w:rPr>
          <w:rFonts w:cs="Arial"/>
        </w:rPr>
        <w:t xml:space="preserve"> </w:t>
      </w:r>
      <w:r w:rsidR="00124EFE">
        <w:rPr>
          <w:rFonts w:cs="Arial"/>
        </w:rPr>
        <w:t xml:space="preserve">CARB should </w:t>
      </w:r>
      <w:r w:rsidR="003E4322">
        <w:rPr>
          <w:rFonts w:cs="Arial"/>
        </w:rPr>
        <w:t xml:space="preserve">also </w:t>
      </w:r>
      <w:r w:rsidR="00124EFE">
        <w:rPr>
          <w:rFonts w:cs="Arial"/>
        </w:rPr>
        <w:t>provide clarification on the nature and scope of revenue measurement</w:t>
      </w:r>
      <w:r w:rsidR="00810820">
        <w:rPr>
          <w:rFonts w:cs="Arial"/>
        </w:rPr>
        <w:t xml:space="preserve"> used as a trigger for reporting</w:t>
      </w:r>
      <w:r w:rsidR="00124EFE">
        <w:rPr>
          <w:rFonts w:cs="Arial"/>
        </w:rPr>
        <w:t>. For example</w:t>
      </w:r>
      <w:r w:rsidR="00124EFE" w:rsidRPr="002E35E1">
        <w:rPr>
          <w:rFonts w:cs="Arial"/>
        </w:rPr>
        <w:t xml:space="preserve">, </w:t>
      </w:r>
      <w:r w:rsidR="00124EFE" w:rsidRPr="002E35E1">
        <w:rPr>
          <w:rFonts w:eastAsia="Times New Roman" w:cs="Arial"/>
        </w:rPr>
        <w:t>does the revenue measurement pertain to California-only generated revenues, U.S. generated revenues, or global revenues? For subsidiaries identified as 'doing business in California,' should revenue be measured on a consolidated basis for those entities, consolidated U.S. entities, or global group entities?</w:t>
      </w:r>
      <w:r w:rsidR="00124EFE" w:rsidRPr="002E35E1">
        <w:rPr>
          <w:rFonts w:ascii="Calibri" w:eastAsia="Times New Roman" w:hAnsi="Calibri" w:cs="Calibri"/>
          <w:i/>
          <w:iCs/>
        </w:rPr>
        <w:t xml:space="preserve"> </w:t>
      </w:r>
    </w:p>
    <w:p w14:paraId="165A1841" w14:textId="12A66720" w:rsidR="006F350F" w:rsidRDefault="006F350F" w:rsidP="006F350F">
      <w:pPr>
        <w:spacing w:after="240"/>
        <w:ind w:left="-180"/>
        <w:rPr>
          <w:rFonts w:cs="Arial"/>
          <w:szCs w:val="22"/>
        </w:rPr>
      </w:pPr>
      <w:r w:rsidRPr="00201BC1">
        <w:rPr>
          <w:rFonts w:cs="Arial"/>
        </w:rPr>
        <w:t xml:space="preserve">CARB’s definition of “doing business in California” similarly </w:t>
      </w:r>
      <w:r w:rsidRPr="003439A4">
        <w:rPr>
          <w:rFonts w:cs="Arial"/>
          <w:szCs w:val="22"/>
        </w:rPr>
        <w:t>should be narrowly tailored and should not include entities that do not directly emit within the state</w:t>
      </w:r>
      <w:r w:rsidR="003E4322">
        <w:rPr>
          <w:rFonts w:cs="Arial"/>
          <w:szCs w:val="22"/>
        </w:rPr>
        <w:t xml:space="preserve"> </w:t>
      </w:r>
      <w:r w:rsidR="00922D7E">
        <w:rPr>
          <w:rFonts w:cs="Arial"/>
        </w:rPr>
        <w:t>or that have a tenuous connection to the state and</w:t>
      </w:r>
      <w:r w:rsidR="007F5A45">
        <w:rPr>
          <w:rFonts w:cs="Arial"/>
        </w:rPr>
        <w:t>/or</w:t>
      </w:r>
      <w:r w:rsidR="00922D7E">
        <w:rPr>
          <w:rFonts w:cs="Arial"/>
        </w:rPr>
        <w:t xml:space="preserve"> GHG emissions within the state</w:t>
      </w:r>
      <w:r w:rsidR="007F5A45">
        <w:rPr>
          <w:rFonts w:cs="Arial"/>
        </w:rPr>
        <w:t xml:space="preserve"> (e.g., entities that engage in simple marketing activities or the sale of Renewable Energy Certificates through a commodities brokerage which may or may not end up in the California REC market)</w:t>
      </w:r>
      <w:r w:rsidRPr="003439A4">
        <w:rPr>
          <w:rFonts w:cs="Arial"/>
          <w:szCs w:val="22"/>
        </w:rPr>
        <w:t xml:space="preserve">. </w:t>
      </w:r>
    </w:p>
    <w:p w14:paraId="58E5793A" w14:textId="5630CC11" w:rsidR="00885E83" w:rsidRDefault="00001C09" w:rsidP="00DB52CF">
      <w:pPr>
        <w:pStyle w:val="Heading1"/>
        <w:numPr>
          <w:ilvl w:val="0"/>
          <w:numId w:val="16"/>
        </w:numPr>
        <w:rPr>
          <w:u w:val="none"/>
        </w:rPr>
      </w:pPr>
      <w:r>
        <w:rPr>
          <w:u w:val="none"/>
        </w:rPr>
        <w:t xml:space="preserve">CARB </w:t>
      </w:r>
      <w:r w:rsidRPr="002E35E1">
        <w:rPr>
          <w:u w:val="none"/>
        </w:rPr>
        <w:t>S</w:t>
      </w:r>
      <w:r w:rsidRPr="002E35E1">
        <w:rPr>
          <w:szCs w:val="22"/>
          <w:u w:val="none"/>
        </w:rPr>
        <w:t>hould Allow the Use of GHG Emissions Information Submitted to Other Widely Recognized Reporting Programs.</w:t>
      </w:r>
    </w:p>
    <w:p w14:paraId="1F273EEA" w14:textId="4F080EB3" w:rsidR="00F50601" w:rsidRDefault="00001C09" w:rsidP="00250B94">
      <w:pPr>
        <w:ind w:left="-180"/>
        <w:rPr>
          <w:rFonts w:cs="Arial"/>
          <w:szCs w:val="22"/>
        </w:rPr>
      </w:pPr>
      <w:r>
        <w:rPr>
          <w:rFonts w:cs="Arial"/>
          <w:szCs w:val="22"/>
        </w:rPr>
        <w:t>In the RFI, CARB acknowledges that the implementing regulations for SB 253 and SB 261 will rely “on protocols and standards published by external and potentially non-government</w:t>
      </w:r>
      <w:r w:rsidR="00F50601">
        <w:rPr>
          <w:rFonts w:cs="Arial"/>
          <w:szCs w:val="22"/>
        </w:rPr>
        <w:t>a</w:t>
      </w:r>
      <w:r>
        <w:rPr>
          <w:rFonts w:cs="Arial"/>
          <w:szCs w:val="22"/>
        </w:rPr>
        <w:t>l entities” and asks how it can ensure that reporting under the</w:t>
      </w:r>
      <w:r w:rsidR="00F50601">
        <w:rPr>
          <w:rFonts w:cs="Arial"/>
          <w:szCs w:val="22"/>
        </w:rPr>
        <w:t>se</w:t>
      </w:r>
      <w:r>
        <w:rPr>
          <w:rFonts w:cs="Arial"/>
          <w:szCs w:val="22"/>
        </w:rPr>
        <w:t xml:space="preserve"> laws minimizes a dupli</w:t>
      </w:r>
      <w:r w:rsidR="00F50601">
        <w:rPr>
          <w:rFonts w:cs="Arial"/>
          <w:szCs w:val="22"/>
        </w:rPr>
        <w:t>c</w:t>
      </w:r>
      <w:r>
        <w:rPr>
          <w:rFonts w:cs="Arial"/>
          <w:szCs w:val="22"/>
        </w:rPr>
        <w:t>a</w:t>
      </w:r>
      <w:r w:rsidR="00F50601">
        <w:rPr>
          <w:rFonts w:cs="Arial"/>
          <w:szCs w:val="22"/>
        </w:rPr>
        <w:t>t</w:t>
      </w:r>
      <w:r>
        <w:rPr>
          <w:rFonts w:cs="Arial"/>
          <w:szCs w:val="22"/>
        </w:rPr>
        <w:t>ion of effort for entities that are required to repo</w:t>
      </w:r>
      <w:r w:rsidR="00F50601">
        <w:rPr>
          <w:rFonts w:cs="Arial"/>
          <w:szCs w:val="22"/>
        </w:rPr>
        <w:t>r</w:t>
      </w:r>
      <w:r>
        <w:rPr>
          <w:rFonts w:cs="Arial"/>
          <w:szCs w:val="22"/>
        </w:rPr>
        <w:t>t GHG emissions or finan</w:t>
      </w:r>
      <w:r w:rsidR="00F50601">
        <w:rPr>
          <w:rFonts w:cs="Arial"/>
          <w:szCs w:val="22"/>
        </w:rPr>
        <w:t>c</w:t>
      </w:r>
      <w:r>
        <w:rPr>
          <w:rFonts w:cs="Arial"/>
          <w:szCs w:val="22"/>
        </w:rPr>
        <w:t>i</w:t>
      </w:r>
      <w:r w:rsidR="00F50601">
        <w:rPr>
          <w:rFonts w:cs="Arial"/>
          <w:szCs w:val="22"/>
        </w:rPr>
        <w:t>a</w:t>
      </w:r>
      <w:r>
        <w:rPr>
          <w:rFonts w:cs="Arial"/>
          <w:szCs w:val="22"/>
        </w:rPr>
        <w:t>l ri</w:t>
      </w:r>
      <w:r w:rsidR="00F50601">
        <w:rPr>
          <w:rFonts w:cs="Arial"/>
          <w:szCs w:val="22"/>
        </w:rPr>
        <w:t>s</w:t>
      </w:r>
      <w:r>
        <w:rPr>
          <w:rFonts w:cs="Arial"/>
          <w:szCs w:val="22"/>
        </w:rPr>
        <w:t xml:space="preserve">ks </w:t>
      </w:r>
      <w:r w:rsidR="00F50601">
        <w:rPr>
          <w:rFonts w:cs="Arial"/>
          <w:szCs w:val="22"/>
        </w:rPr>
        <w:t xml:space="preserve">under other mandatory </w:t>
      </w:r>
      <w:r>
        <w:rPr>
          <w:rFonts w:cs="Arial"/>
          <w:szCs w:val="22"/>
        </w:rPr>
        <w:t>program</w:t>
      </w:r>
      <w:r w:rsidR="00F50601">
        <w:rPr>
          <w:rFonts w:cs="Arial"/>
          <w:szCs w:val="22"/>
        </w:rPr>
        <w:t>s.</w:t>
      </w:r>
      <w:r w:rsidR="00F50601">
        <w:rPr>
          <w:rStyle w:val="FootnoteReference"/>
          <w:rFonts w:cs="Arial"/>
          <w:szCs w:val="22"/>
        </w:rPr>
        <w:footnoteReference w:id="13"/>
      </w:r>
      <w:r w:rsidR="00B36ECB" w:rsidRPr="00B36ECB">
        <w:rPr>
          <w:rFonts w:cs="Arial"/>
          <w:szCs w:val="22"/>
        </w:rPr>
        <w:t xml:space="preserve"> </w:t>
      </w:r>
      <w:r w:rsidR="00B36ECB">
        <w:rPr>
          <w:rFonts w:cs="Arial"/>
          <w:szCs w:val="22"/>
        </w:rPr>
        <w:t xml:space="preserve">CARB requires </w:t>
      </w:r>
      <w:r w:rsidR="00B36ECB" w:rsidRPr="00A822B4">
        <w:rPr>
          <w:rFonts w:cs="Arial"/>
          <w:szCs w:val="22"/>
        </w:rPr>
        <w:t xml:space="preserve">reporting entities to measure and report their </w:t>
      </w:r>
      <w:r w:rsidR="00B36ECB">
        <w:rPr>
          <w:rFonts w:cs="Arial"/>
          <w:szCs w:val="22"/>
        </w:rPr>
        <w:t>GHG</w:t>
      </w:r>
      <w:r w:rsidR="00B36ECB" w:rsidRPr="00A822B4">
        <w:rPr>
          <w:rFonts w:cs="Arial"/>
          <w:szCs w:val="22"/>
        </w:rPr>
        <w:t xml:space="preserve"> emissions in conformance with the </w:t>
      </w:r>
      <w:r w:rsidR="00B36ECB">
        <w:rPr>
          <w:rFonts w:cs="Arial"/>
          <w:szCs w:val="22"/>
        </w:rPr>
        <w:t>World Resources Institute</w:t>
      </w:r>
      <w:r w:rsidR="00B36ECB" w:rsidRPr="00A822B4">
        <w:rPr>
          <w:rFonts w:cs="Arial"/>
          <w:szCs w:val="22"/>
        </w:rPr>
        <w:t>/</w:t>
      </w:r>
      <w:r w:rsidR="00B36ECB">
        <w:rPr>
          <w:rFonts w:cs="Arial"/>
          <w:szCs w:val="22"/>
        </w:rPr>
        <w:t>World Business Council for Sustainable Development Greenhouse Gas</w:t>
      </w:r>
      <w:r w:rsidR="00B36ECB" w:rsidRPr="00A822B4">
        <w:rPr>
          <w:rFonts w:cs="Arial"/>
          <w:szCs w:val="22"/>
        </w:rPr>
        <w:t xml:space="preserve"> Protocol</w:t>
      </w:r>
      <w:r w:rsidR="00B36ECB">
        <w:rPr>
          <w:rFonts w:cs="Arial"/>
          <w:szCs w:val="22"/>
        </w:rPr>
        <w:t xml:space="preserve"> (the “Protocol”)</w:t>
      </w:r>
      <w:r w:rsidR="00E5680E">
        <w:rPr>
          <w:rFonts w:cs="Arial"/>
          <w:szCs w:val="22"/>
        </w:rPr>
        <w:t>.</w:t>
      </w:r>
    </w:p>
    <w:p w14:paraId="0D6A6969" w14:textId="77777777" w:rsidR="00F50601" w:rsidRDefault="00F50601" w:rsidP="00250B94">
      <w:pPr>
        <w:ind w:left="-180"/>
        <w:rPr>
          <w:rFonts w:cs="Arial"/>
          <w:szCs w:val="22"/>
        </w:rPr>
      </w:pPr>
    </w:p>
    <w:p w14:paraId="68038893" w14:textId="75FCADDF" w:rsidR="00250B94" w:rsidRDefault="00F50601" w:rsidP="00250B94">
      <w:pPr>
        <w:ind w:left="-180"/>
        <w:rPr>
          <w:rFonts w:cs="Arial"/>
          <w:szCs w:val="22"/>
        </w:rPr>
      </w:pPr>
      <w:r w:rsidRPr="00F032B1">
        <w:rPr>
          <w:rFonts w:cs="Arial"/>
          <w:szCs w:val="22"/>
        </w:rPr>
        <w:t xml:space="preserve">The rules </w:t>
      </w:r>
      <w:bookmarkStart w:id="1" w:name="_Hlk193027898"/>
      <w:r w:rsidRPr="00F032B1">
        <w:rPr>
          <w:rFonts w:cs="Arial"/>
          <w:szCs w:val="22"/>
        </w:rPr>
        <w:t>should</w:t>
      </w:r>
      <w:r>
        <w:rPr>
          <w:rFonts w:cs="Arial"/>
          <w:szCs w:val="22"/>
        </w:rPr>
        <w:t xml:space="preserve"> </w:t>
      </w:r>
      <w:r w:rsidRPr="00F032B1">
        <w:rPr>
          <w:rFonts w:cs="Arial"/>
          <w:szCs w:val="22"/>
        </w:rPr>
        <w:t>allow for use of the GHG emissions information submitted to other widely recognized reporting programs</w:t>
      </w:r>
      <w:bookmarkEnd w:id="1"/>
      <w:r w:rsidRPr="00F032B1">
        <w:rPr>
          <w:rFonts w:cs="Arial"/>
          <w:szCs w:val="22"/>
        </w:rPr>
        <w:t>, including</w:t>
      </w:r>
      <w:r w:rsidRPr="004B2628">
        <w:rPr>
          <w:rFonts w:cs="Arial"/>
          <w:szCs w:val="22"/>
        </w:rPr>
        <w:t xml:space="preserve"> the EPA Mandatory GHG Reporting Program under 40 CFR Part 98</w:t>
      </w:r>
      <w:r>
        <w:rPr>
          <w:rFonts w:cs="Arial"/>
          <w:szCs w:val="22"/>
        </w:rPr>
        <w:t>,</w:t>
      </w:r>
      <w:r w:rsidRPr="004B2628">
        <w:rPr>
          <w:rFonts w:cs="Arial"/>
          <w:szCs w:val="22"/>
        </w:rPr>
        <w:t xml:space="preserve"> other EPA emissions reporting programs under 40 CFR Part 60 and 40 CFR Part 75</w:t>
      </w:r>
      <w:r>
        <w:rPr>
          <w:rFonts w:cs="Arial"/>
          <w:szCs w:val="22"/>
        </w:rPr>
        <w:t>, and The Climate Registry</w:t>
      </w:r>
      <w:r w:rsidRPr="004B2628">
        <w:rPr>
          <w:rFonts w:cs="Arial"/>
          <w:szCs w:val="22"/>
        </w:rPr>
        <w:t>. Th</w:t>
      </w:r>
      <w:r w:rsidR="00AA43D6">
        <w:rPr>
          <w:rFonts w:cs="Arial"/>
          <w:szCs w:val="22"/>
        </w:rPr>
        <w:t>e</w:t>
      </w:r>
      <w:r w:rsidRPr="004B2628">
        <w:rPr>
          <w:rFonts w:cs="Arial"/>
          <w:szCs w:val="22"/>
        </w:rPr>
        <w:t xml:space="preserve"> information </w:t>
      </w:r>
      <w:r w:rsidR="00AA43D6">
        <w:rPr>
          <w:rFonts w:cs="Arial"/>
          <w:szCs w:val="22"/>
        </w:rPr>
        <w:t xml:space="preserve">reported under these regimes </w:t>
      </w:r>
      <w:r w:rsidRPr="004B2628">
        <w:rPr>
          <w:rFonts w:cs="Arial"/>
          <w:szCs w:val="22"/>
        </w:rPr>
        <w:t xml:space="preserve">is certified for compliance requirements at least annually. </w:t>
      </w:r>
      <w:r w:rsidR="00B40420">
        <w:rPr>
          <w:rFonts w:cs="Arial"/>
          <w:szCs w:val="22"/>
        </w:rPr>
        <w:t xml:space="preserve">Further, since </w:t>
      </w:r>
      <w:r w:rsidR="00B40420" w:rsidRPr="004B2628">
        <w:rPr>
          <w:rFonts w:cs="Arial"/>
          <w:szCs w:val="22"/>
        </w:rPr>
        <w:t xml:space="preserve">the Protocol </w:t>
      </w:r>
      <w:r w:rsidR="00B40420">
        <w:rPr>
          <w:rFonts w:cs="Arial"/>
          <w:szCs w:val="22"/>
        </w:rPr>
        <w:t>allows the</w:t>
      </w:r>
      <w:r w:rsidRPr="004B2628">
        <w:rPr>
          <w:rFonts w:cs="Arial"/>
          <w:szCs w:val="22"/>
        </w:rPr>
        <w:t xml:space="preserve"> use </w:t>
      </w:r>
      <w:r w:rsidR="00B40420">
        <w:rPr>
          <w:rFonts w:cs="Arial"/>
          <w:szCs w:val="22"/>
        </w:rPr>
        <w:t xml:space="preserve">of </w:t>
      </w:r>
      <w:r>
        <w:rPr>
          <w:rFonts w:cs="Arial"/>
          <w:szCs w:val="22"/>
        </w:rPr>
        <w:t xml:space="preserve">the EPA data </w:t>
      </w:r>
      <w:r w:rsidRPr="004B2628">
        <w:rPr>
          <w:rFonts w:cs="Arial"/>
          <w:szCs w:val="22"/>
        </w:rPr>
        <w:t>for emissions accounting purposes</w:t>
      </w:r>
      <w:r w:rsidR="00B40420">
        <w:rPr>
          <w:rFonts w:cs="Arial"/>
          <w:szCs w:val="22"/>
        </w:rPr>
        <w:t>, CARB should as well</w:t>
      </w:r>
      <w:r w:rsidRPr="00A822B4">
        <w:rPr>
          <w:rFonts w:cs="Arial"/>
          <w:szCs w:val="22"/>
        </w:rPr>
        <w:t>.</w:t>
      </w:r>
      <w:r>
        <w:rPr>
          <w:rFonts w:cs="Arial"/>
          <w:szCs w:val="22"/>
        </w:rPr>
        <w:t xml:space="preserve">  </w:t>
      </w:r>
    </w:p>
    <w:p w14:paraId="128912B2" w14:textId="77777777" w:rsidR="00250B94" w:rsidRPr="00E571F5" w:rsidRDefault="00250B94" w:rsidP="00250B94">
      <w:pPr>
        <w:ind w:left="-180"/>
      </w:pPr>
    </w:p>
    <w:p w14:paraId="78B1C022" w14:textId="4C835379" w:rsidR="00001C09" w:rsidRDefault="00F50601" w:rsidP="00001C09">
      <w:pPr>
        <w:pStyle w:val="Heading1"/>
        <w:numPr>
          <w:ilvl w:val="0"/>
          <w:numId w:val="16"/>
        </w:numPr>
        <w:rPr>
          <w:u w:val="none"/>
        </w:rPr>
      </w:pPr>
      <w:r>
        <w:rPr>
          <w:u w:val="none"/>
        </w:rPr>
        <w:t xml:space="preserve">CARB Should </w:t>
      </w:r>
      <w:r w:rsidR="00C3521F">
        <w:rPr>
          <w:u w:val="none"/>
        </w:rPr>
        <w:t xml:space="preserve">Limit Reporting of </w:t>
      </w:r>
      <w:r>
        <w:rPr>
          <w:u w:val="none"/>
        </w:rPr>
        <w:t xml:space="preserve">Scope </w:t>
      </w:r>
      <w:r w:rsidR="00C3521F">
        <w:rPr>
          <w:u w:val="none"/>
        </w:rPr>
        <w:t xml:space="preserve">3 Emissions </w:t>
      </w:r>
      <w:proofErr w:type="gramStart"/>
      <w:r w:rsidR="00C3521F">
        <w:rPr>
          <w:u w:val="none"/>
        </w:rPr>
        <w:t>And</w:t>
      </w:r>
      <w:proofErr w:type="gramEnd"/>
      <w:r w:rsidR="00C3521F">
        <w:rPr>
          <w:u w:val="none"/>
        </w:rPr>
        <w:t xml:space="preserve"> Provide Guidance On Scope 2 And Scope 3 Reporting Where There Is Ambiguity.</w:t>
      </w:r>
    </w:p>
    <w:p w14:paraId="5624D2DC" w14:textId="79A73141" w:rsidR="00001C09" w:rsidRDefault="00001C09" w:rsidP="00001C09">
      <w:pPr>
        <w:ind w:left="-180"/>
        <w:rPr>
          <w:rFonts w:cs="Arial"/>
          <w:szCs w:val="22"/>
        </w:rPr>
      </w:pPr>
      <w:r w:rsidRPr="00A822B4">
        <w:rPr>
          <w:rFonts w:cs="Arial"/>
          <w:szCs w:val="22"/>
        </w:rPr>
        <w:t xml:space="preserve">CARB seeks feedback on whether there are specific aspects of </w:t>
      </w:r>
      <w:r>
        <w:rPr>
          <w:rFonts w:cs="Arial"/>
          <w:szCs w:val="22"/>
        </w:rPr>
        <w:t>S</w:t>
      </w:r>
      <w:r w:rsidRPr="00A822B4">
        <w:rPr>
          <w:rFonts w:cs="Arial"/>
          <w:szCs w:val="22"/>
        </w:rPr>
        <w:t xml:space="preserve">cope 1, </w:t>
      </w:r>
      <w:r w:rsidR="00B40420">
        <w:rPr>
          <w:rFonts w:cs="Arial"/>
          <w:szCs w:val="22"/>
        </w:rPr>
        <w:t xml:space="preserve">Scope </w:t>
      </w:r>
      <w:r w:rsidRPr="00A822B4">
        <w:rPr>
          <w:rFonts w:cs="Arial"/>
          <w:szCs w:val="22"/>
        </w:rPr>
        <w:t>2</w:t>
      </w:r>
      <w:r>
        <w:rPr>
          <w:rFonts w:cs="Arial"/>
          <w:szCs w:val="22"/>
        </w:rPr>
        <w:t>,</w:t>
      </w:r>
      <w:r w:rsidRPr="00A822B4">
        <w:rPr>
          <w:rFonts w:cs="Arial"/>
          <w:szCs w:val="22"/>
        </w:rPr>
        <w:t xml:space="preserve"> or</w:t>
      </w:r>
      <w:r w:rsidR="00B40420">
        <w:rPr>
          <w:rFonts w:cs="Arial"/>
          <w:szCs w:val="22"/>
        </w:rPr>
        <w:t xml:space="preserve"> Scope</w:t>
      </w:r>
      <w:r w:rsidRPr="00A822B4">
        <w:rPr>
          <w:rFonts w:cs="Arial"/>
          <w:szCs w:val="22"/>
        </w:rPr>
        <w:t xml:space="preserve"> 3 reporting </w:t>
      </w:r>
      <w:r w:rsidR="006F44C6">
        <w:rPr>
          <w:rFonts w:cs="Arial"/>
          <w:szCs w:val="22"/>
        </w:rPr>
        <w:t>it</w:t>
      </w:r>
      <w:r w:rsidRPr="00A822B4">
        <w:rPr>
          <w:rFonts w:cs="Arial"/>
          <w:szCs w:val="22"/>
        </w:rPr>
        <w:t xml:space="preserve"> should consider standardizing</w:t>
      </w:r>
      <w:r>
        <w:rPr>
          <w:rFonts w:cs="Arial"/>
          <w:szCs w:val="22"/>
        </w:rPr>
        <w:t>,</w:t>
      </w:r>
      <w:r w:rsidRPr="00A822B4">
        <w:rPr>
          <w:rFonts w:cs="Arial"/>
          <w:szCs w:val="22"/>
        </w:rPr>
        <w:t xml:space="preserve"> given the current directive </w:t>
      </w:r>
      <w:r w:rsidR="00B36ECB">
        <w:rPr>
          <w:rFonts w:cs="Arial"/>
          <w:szCs w:val="22"/>
        </w:rPr>
        <w:t>to use the Protocol</w:t>
      </w:r>
      <w:r>
        <w:rPr>
          <w:rFonts w:cs="Arial"/>
          <w:szCs w:val="22"/>
        </w:rPr>
        <w:t xml:space="preserve">, </w:t>
      </w:r>
      <w:r w:rsidRPr="00120E02">
        <w:rPr>
          <w:rFonts w:cs="Arial"/>
          <w:szCs w:val="22"/>
        </w:rPr>
        <w:t xml:space="preserve">and what those aspects </w:t>
      </w:r>
      <w:r>
        <w:rPr>
          <w:rFonts w:cs="Arial"/>
          <w:szCs w:val="22"/>
        </w:rPr>
        <w:t>should</w:t>
      </w:r>
      <w:r w:rsidRPr="00120E02">
        <w:rPr>
          <w:rFonts w:cs="Arial"/>
          <w:szCs w:val="22"/>
        </w:rPr>
        <w:t xml:space="preserve"> be.</w:t>
      </w:r>
      <w:r w:rsidRPr="00120E02">
        <w:rPr>
          <w:rStyle w:val="FootnoteReference"/>
          <w:rFonts w:cs="Arial"/>
          <w:szCs w:val="22"/>
        </w:rPr>
        <w:footnoteReference w:id="14"/>
      </w:r>
      <w:r>
        <w:rPr>
          <w:rFonts w:cs="Arial"/>
          <w:szCs w:val="22"/>
        </w:rPr>
        <w:t xml:space="preserve"> CARB should allow companies to report </w:t>
      </w:r>
      <w:r>
        <w:rPr>
          <w:rFonts w:cs="Arial"/>
          <w:szCs w:val="22"/>
        </w:rPr>
        <w:lastRenderedPageBreak/>
        <w:t>Scope 3 emissions based on the materiality and relevance of those emissions to the company’s operations, and should provide guidance on areas of Scope 2 and Scope 3 reporting where there is ambiguity.</w:t>
      </w:r>
    </w:p>
    <w:p w14:paraId="0DA73E34" w14:textId="77777777" w:rsidR="00F50601" w:rsidRDefault="00F50601" w:rsidP="00001C09">
      <w:pPr>
        <w:ind w:left="-180"/>
        <w:rPr>
          <w:rFonts w:cs="Arial"/>
          <w:szCs w:val="22"/>
        </w:rPr>
      </w:pPr>
    </w:p>
    <w:p w14:paraId="6DA41C07" w14:textId="1C9FE1D7" w:rsidR="00E571F5" w:rsidRDefault="00E87630" w:rsidP="00001C09">
      <w:pPr>
        <w:pStyle w:val="Heading1"/>
        <w:numPr>
          <w:ilvl w:val="1"/>
          <w:numId w:val="29"/>
        </w:numPr>
        <w:rPr>
          <w:u w:val="none"/>
        </w:rPr>
      </w:pPr>
      <w:r w:rsidRPr="0045404A">
        <w:rPr>
          <w:u w:val="none"/>
        </w:rPr>
        <w:t xml:space="preserve">CARB Should Allow Companies </w:t>
      </w:r>
      <w:r w:rsidR="00C3521F">
        <w:rPr>
          <w:u w:val="none"/>
        </w:rPr>
        <w:t>t</w:t>
      </w:r>
      <w:r w:rsidRPr="0045404A">
        <w:rPr>
          <w:u w:val="none"/>
        </w:rPr>
        <w:t xml:space="preserve">o Report Scope 3 Categories Based </w:t>
      </w:r>
      <w:r w:rsidR="00C3521F">
        <w:rPr>
          <w:u w:val="none"/>
        </w:rPr>
        <w:t>o</w:t>
      </w:r>
      <w:r w:rsidRPr="0045404A">
        <w:rPr>
          <w:u w:val="none"/>
        </w:rPr>
        <w:t xml:space="preserve">n Materiality </w:t>
      </w:r>
      <w:r w:rsidR="00C3521F">
        <w:rPr>
          <w:u w:val="none"/>
        </w:rPr>
        <w:t>a</w:t>
      </w:r>
      <w:r w:rsidRPr="0045404A">
        <w:rPr>
          <w:u w:val="none"/>
        </w:rPr>
        <w:t xml:space="preserve">nd Relevance </w:t>
      </w:r>
      <w:proofErr w:type="gramStart"/>
      <w:r w:rsidRPr="0045404A">
        <w:rPr>
          <w:u w:val="none"/>
        </w:rPr>
        <w:t>To</w:t>
      </w:r>
      <w:proofErr w:type="gramEnd"/>
      <w:r w:rsidRPr="0045404A">
        <w:rPr>
          <w:u w:val="none"/>
        </w:rPr>
        <w:t xml:space="preserve"> The Company’s Operations.</w:t>
      </w:r>
      <w:r w:rsidR="00885E83" w:rsidRPr="00885E83">
        <w:rPr>
          <w:u w:val="none"/>
        </w:rPr>
        <w:t xml:space="preserve"> </w:t>
      </w:r>
    </w:p>
    <w:p w14:paraId="4D5EE861" w14:textId="72A306CD" w:rsidR="00E571F5" w:rsidRDefault="00E571F5" w:rsidP="00E571F5">
      <w:pPr>
        <w:spacing w:after="240"/>
        <w:ind w:left="-180"/>
        <w:rPr>
          <w:rFonts w:cs="Arial"/>
          <w:szCs w:val="22"/>
        </w:rPr>
      </w:pPr>
      <w:r w:rsidRPr="00120E02">
        <w:rPr>
          <w:rFonts w:cs="Arial"/>
          <w:szCs w:val="22"/>
        </w:rPr>
        <w:t>Scope 3 emissions data inherently contain uncertainties and reflect the interrelated nature of today’s upstream and downstream supply chains.</w:t>
      </w:r>
      <w:r>
        <w:rPr>
          <w:rFonts w:cs="Arial"/>
          <w:szCs w:val="22"/>
        </w:rPr>
        <w:t xml:space="preserve"> </w:t>
      </w:r>
      <w:r w:rsidRPr="004F2440">
        <w:rPr>
          <w:rFonts w:cs="Arial"/>
          <w:szCs w:val="22"/>
        </w:rPr>
        <w:t xml:space="preserve">A full scope 3 GHG emission inventory </w:t>
      </w:r>
      <w:r>
        <w:rPr>
          <w:rFonts w:cs="Arial"/>
          <w:szCs w:val="22"/>
        </w:rPr>
        <w:t>regardless of materiality and without defined boundaries</w:t>
      </w:r>
      <w:r w:rsidRPr="004F2440">
        <w:rPr>
          <w:rFonts w:cs="Arial"/>
          <w:szCs w:val="22"/>
        </w:rPr>
        <w:t xml:space="preserve"> would </w:t>
      </w:r>
      <w:r>
        <w:rPr>
          <w:rFonts w:cs="Arial"/>
          <w:szCs w:val="22"/>
        </w:rPr>
        <w:t xml:space="preserve">provide confusing and potentially misleading information, </w:t>
      </w:r>
      <w:r w:rsidRPr="004F2440">
        <w:rPr>
          <w:rFonts w:cs="Arial"/>
          <w:szCs w:val="22"/>
        </w:rPr>
        <w:t>includ</w:t>
      </w:r>
      <w:r>
        <w:rPr>
          <w:rFonts w:cs="Arial"/>
          <w:szCs w:val="22"/>
        </w:rPr>
        <w:t>ing</w:t>
      </w:r>
      <w:r w:rsidRPr="004F2440">
        <w:rPr>
          <w:rFonts w:cs="Arial"/>
          <w:szCs w:val="22"/>
        </w:rPr>
        <w:t xml:space="preserve"> information that is not relevant</w:t>
      </w:r>
      <w:r>
        <w:rPr>
          <w:rFonts w:cs="Arial"/>
          <w:szCs w:val="22"/>
        </w:rPr>
        <w:t>. Further, such an inventory</w:t>
      </w:r>
      <w:r w:rsidRPr="004F2440">
        <w:rPr>
          <w:rFonts w:cs="Arial"/>
          <w:szCs w:val="22"/>
        </w:rPr>
        <w:t xml:space="preserve"> would be impossible to obtain accurately given the inherent uncertainties within current Scope 3 emissions reporting</w:t>
      </w:r>
      <w:r w:rsidRPr="00093CB8">
        <w:rPr>
          <w:rFonts w:cs="Arial"/>
          <w:szCs w:val="22"/>
        </w:rPr>
        <w:t xml:space="preserve"> </w:t>
      </w:r>
      <w:r>
        <w:rPr>
          <w:rFonts w:cs="Arial"/>
          <w:szCs w:val="22"/>
        </w:rPr>
        <w:t xml:space="preserve">and </w:t>
      </w:r>
      <w:r w:rsidRPr="004F2440">
        <w:rPr>
          <w:rFonts w:cs="Arial"/>
          <w:szCs w:val="22"/>
        </w:rPr>
        <w:t xml:space="preserve">would involve significant effort to develop. </w:t>
      </w:r>
    </w:p>
    <w:p w14:paraId="4D05B797" w14:textId="0EE172ED" w:rsidR="00E571F5" w:rsidRDefault="00E571F5" w:rsidP="00E571F5">
      <w:pPr>
        <w:spacing w:after="240"/>
        <w:ind w:left="-180"/>
        <w:rPr>
          <w:rFonts w:cs="Arial"/>
        </w:rPr>
      </w:pPr>
      <w:r w:rsidRPr="004F2440">
        <w:rPr>
          <w:rFonts w:cs="Arial"/>
          <w:szCs w:val="22"/>
        </w:rPr>
        <w:t xml:space="preserve">As a result, </w:t>
      </w:r>
      <w:r w:rsidRPr="00683A86">
        <w:rPr>
          <w:rFonts w:cs="Arial"/>
          <w:szCs w:val="22"/>
        </w:rPr>
        <w:t xml:space="preserve">CARB should provide guidance on reporting boundaries for Scope 3 emissions data and only require companies to report either the emissions categories that are material to their overall </w:t>
      </w:r>
      <w:r w:rsidR="006C3726">
        <w:rPr>
          <w:rFonts w:cs="Arial"/>
          <w:szCs w:val="22"/>
        </w:rPr>
        <w:t>GHG</w:t>
      </w:r>
      <w:r w:rsidRPr="00683A86">
        <w:rPr>
          <w:rFonts w:cs="Arial"/>
          <w:szCs w:val="22"/>
        </w:rPr>
        <w:t xml:space="preserve"> emissions or the Scope 3 emissions </w:t>
      </w:r>
      <w:r>
        <w:rPr>
          <w:rFonts w:cs="Arial"/>
          <w:szCs w:val="22"/>
        </w:rPr>
        <w:t>categories</w:t>
      </w:r>
      <w:r w:rsidRPr="00683A86">
        <w:rPr>
          <w:rFonts w:cs="Arial"/>
          <w:szCs w:val="22"/>
        </w:rPr>
        <w:t xml:space="preserve"> where the company has a </w:t>
      </w:r>
      <w:r>
        <w:rPr>
          <w:rFonts w:cs="Arial"/>
          <w:szCs w:val="22"/>
        </w:rPr>
        <w:t xml:space="preserve">specific </w:t>
      </w:r>
      <w:r w:rsidRPr="00683A86">
        <w:rPr>
          <w:rFonts w:cs="Arial"/>
          <w:szCs w:val="22"/>
        </w:rPr>
        <w:t>reduction goal</w:t>
      </w:r>
      <w:r>
        <w:rPr>
          <w:rFonts w:cs="Arial"/>
          <w:szCs w:val="22"/>
        </w:rPr>
        <w:t xml:space="preserve"> or target</w:t>
      </w:r>
      <w:r w:rsidRPr="00683A86">
        <w:rPr>
          <w:rFonts w:cs="Arial"/>
          <w:szCs w:val="22"/>
        </w:rPr>
        <w:t>.</w:t>
      </w:r>
    </w:p>
    <w:p w14:paraId="6F60FA56" w14:textId="77777777" w:rsidR="00E571F5" w:rsidRDefault="00E571F5" w:rsidP="00E571F5">
      <w:pPr>
        <w:spacing w:after="240"/>
        <w:ind w:left="-180"/>
        <w:rPr>
          <w:rFonts w:cs="Arial"/>
        </w:rPr>
      </w:pPr>
      <w:r>
        <w:rPr>
          <w:rFonts w:cs="Arial"/>
        </w:rPr>
        <w:t>CARB should also l</w:t>
      </w:r>
      <w:r w:rsidRPr="009A6382">
        <w:rPr>
          <w:rFonts w:cs="Arial"/>
        </w:rPr>
        <w:t xml:space="preserve">imit the liability for reporting companies because of the inherent inconsistencies in </w:t>
      </w:r>
      <w:r>
        <w:rPr>
          <w:rFonts w:cs="Arial"/>
        </w:rPr>
        <w:t>s</w:t>
      </w:r>
      <w:r w:rsidRPr="009A6382">
        <w:rPr>
          <w:rFonts w:cs="Arial"/>
        </w:rPr>
        <w:t xml:space="preserve">cope 3 data and provide a safe harbor for the requirement, which protects companies from penalties for misstatements related to </w:t>
      </w:r>
      <w:r>
        <w:rPr>
          <w:rFonts w:cs="Arial"/>
        </w:rPr>
        <w:t>s</w:t>
      </w:r>
      <w:r w:rsidRPr="009A6382">
        <w:rPr>
          <w:rFonts w:cs="Arial"/>
        </w:rPr>
        <w:t>cope 3 disclosure made in good faith and with reasonable basis. This provision could be re</w:t>
      </w:r>
      <w:r>
        <w:rPr>
          <w:rFonts w:cs="Arial"/>
        </w:rPr>
        <w:t>evaluated</w:t>
      </w:r>
      <w:r w:rsidRPr="009A6382">
        <w:rPr>
          <w:rFonts w:cs="Arial"/>
        </w:rPr>
        <w:t xml:space="preserve"> when the rule is reviewed in 2030</w:t>
      </w:r>
      <w:r>
        <w:rPr>
          <w:rFonts w:cs="Arial"/>
        </w:rPr>
        <w:t>.</w:t>
      </w:r>
    </w:p>
    <w:p w14:paraId="585D5C00" w14:textId="2A55603A" w:rsidR="00E87630" w:rsidRPr="0045404A" w:rsidRDefault="00C3521F" w:rsidP="00001C09">
      <w:pPr>
        <w:pStyle w:val="Heading1"/>
        <w:numPr>
          <w:ilvl w:val="1"/>
          <w:numId w:val="29"/>
        </w:numPr>
        <w:rPr>
          <w:u w:val="none"/>
        </w:rPr>
      </w:pPr>
      <w:r w:rsidRPr="00C3521F">
        <w:rPr>
          <w:u w:val="none"/>
        </w:rPr>
        <w:t>Since</w:t>
      </w:r>
      <w:r w:rsidR="00885E83" w:rsidRPr="00C3521F">
        <w:rPr>
          <w:u w:val="none"/>
        </w:rPr>
        <w:t xml:space="preserve"> CARB </w:t>
      </w:r>
      <w:r w:rsidR="00B36ECB">
        <w:rPr>
          <w:u w:val="none"/>
        </w:rPr>
        <w:t xml:space="preserve">is Using </w:t>
      </w:r>
      <w:proofErr w:type="gramStart"/>
      <w:r w:rsidR="00B36ECB">
        <w:rPr>
          <w:u w:val="none"/>
        </w:rPr>
        <w:t>A</w:t>
      </w:r>
      <w:proofErr w:type="gramEnd"/>
      <w:r w:rsidR="00B36ECB">
        <w:rPr>
          <w:u w:val="none"/>
        </w:rPr>
        <w:t xml:space="preserve"> </w:t>
      </w:r>
      <w:r w:rsidR="00B36ECB" w:rsidRPr="0004212B">
        <w:rPr>
          <w:u w:val="none"/>
        </w:rPr>
        <w:t xml:space="preserve">Voluntary </w:t>
      </w:r>
      <w:r w:rsidR="006C3726">
        <w:rPr>
          <w:u w:val="none"/>
        </w:rPr>
        <w:t>GHG</w:t>
      </w:r>
      <w:r w:rsidR="00885E83" w:rsidRPr="0004212B">
        <w:rPr>
          <w:u w:val="none"/>
        </w:rPr>
        <w:t xml:space="preserve"> Emissions Reporting Standard Protocol Administered By An Outside Entity, It Should Provide Additional Guidance</w:t>
      </w:r>
      <w:r>
        <w:rPr>
          <w:u w:val="none"/>
        </w:rPr>
        <w:t>.</w:t>
      </w:r>
    </w:p>
    <w:p w14:paraId="78B427F7" w14:textId="63814EF6" w:rsidR="00E571F5" w:rsidRDefault="00E571F5" w:rsidP="00E571F5">
      <w:pPr>
        <w:spacing w:after="240"/>
        <w:ind w:left="-180"/>
        <w:rPr>
          <w:rFonts w:cs="Arial"/>
          <w:szCs w:val="22"/>
        </w:rPr>
      </w:pPr>
      <w:r w:rsidRPr="002E35E1">
        <w:rPr>
          <w:rFonts w:cs="Arial"/>
          <w:szCs w:val="22"/>
        </w:rPr>
        <w:t>Since CARB is using the Protocol as the basis for reporting, it should provide interpretative guidance where there is ambiguity on scope 2 and scope 3 reporting</w:t>
      </w:r>
      <w:r>
        <w:rPr>
          <w:rFonts w:cs="Arial"/>
          <w:szCs w:val="22"/>
        </w:rPr>
        <w:t>,</w:t>
      </w:r>
      <w:r w:rsidRPr="00D340B2">
        <w:rPr>
          <w:rFonts w:cs="Arial"/>
          <w:szCs w:val="22"/>
        </w:rPr>
        <w:t xml:space="preserve"> </w:t>
      </w:r>
      <w:r>
        <w:rPr>
          <w:rFonts w:cs="Arial"/>
          <w:szCs w:val="22"/>
        </w:rPr>
        <w:t xml:space="preserve">such as on T&amp;D line loss, </w:t>
      </w:r>
      <w:r w:rsidRPr="00E5341E">
        <w:rPr>
          <w:rFonts w:cs="Arial"/>
          <w:szCs w:val="22"/>
        </w:rPr>
        <w:t>the materiality language for Scope 3</w:t>
      </w:r>
      <w:r w:rsidR="002E35E1">
        <w:rPr>
          <w:rFonts w:cs="Arial"/>
          <w:szCs w:val="22"/>
        </w:rPr>
        <w:t xml:space="preserve"> discussed in section III. A. above</w:t>
      </w:r>
      <w:r>
        <w:rPr>
          <w:rFonts w:cs="Arial"/>
          <w:szCs w:val="22"/>
        </w:rPr>
        <w:t xml:space="preserve">, or how far </w:t>
      </w:r>
      <w:r w:rsidR="00001C09">
        <w:rPr>
          <w:rFonts w:cs="Arial"/>
          <w:szCs w:val="22"/>
        </w:rPr>
        <w:t xml:space="preserve">within a corporation </w:t>
      </w:r>
      <w:r>
        <w:rPr>
          <w:rFonts w:cs="Arial"/>
          <w:szCs w:val="22"/>
        </w:rPr>
        <w:t xml:space="preserve">the scope of reporting reaches. CARB should also ensure that the rulemaking </w:t>
      </w:r>
      <w:r w:rsidR="00B36ECB">
        <w:rPr>
          <w:rFonts w:cs="Arial"/>
          <w:szCs w:val="22"/>
        </w:rPr>
        <w:t xml:space="preserve">includes </w:t>
      </w:r>
      <w:r>
        <w:rPr>
          <w:rFonts w:cs="Arial"/>
          <w:szCs w:val="22"/>
        </w:rPr>
        <w:t>the flexibilities currently allowed by the Protocol permitting a reporting entity to establish their own operational, financial, or control boundaries.</w:t>
      </w:r>
    </w:p>
    <w:p w14:paraId="62C64289" w14:textId="71D122A1" w:rsidR="00F41B6E" w:rsidRPr="003439A4" w:rsidRDefault="00003034" w:rsidP="00001C09">
      <w:pPr>
        <w:pStyle w:val="Heading1"/>
        <w:numPr>
          <w:ilvl w:val="0"/>
          <w:numId w:val="16"/>
        </w:numPr>
        <w:rPr>
          <w:szCs w:val="22"/>
          <w:u w:val="none"/>
        </w:rPr>
      </w:pPr>
      <w:r w:rsidRPr="003439A4">
        <w:rPr>
          <w:szCs w:val="22"/>
          <w:u w:val="none"/>
        </w:rPr>
        <w:t>CARB</w:t>
      </w:r>
      <w:r w:rsidR="00BF5044" w:rsidRPr="003439A4">
        <w:rPr>
          <w:szCs w:val="22"/>
          <w:u w:val="none"/>
        </w:rPr>
        <w:t xml:space="preserve"> </w:t>
      </w:r>
      <w:r w:rsidR="003439A4" w:rsidRPr="003439A4">
        <w:rPr>
          <w:szCs w:val="22"/>
          <w:u w:val="none"/>
        </w:rPr>
        <w:t xml:space="preserve">Should Set </w:t>
      </w:r>
      <w:r w:rsidR="00124EFE">
        <w:rPr>
          <w:szCs w:val="22"/>
          <w:u w:val="none"/>
        </w:rPr>
        <w:t>t</w:t>
      </w:r>
      <w:r w:rsidR="009D1C2A" w:rsidRPr="003439A4">
        <w:rPr>
          <w:szCs w:val="22"/>
          <w:u w:val="none"/>
        </w:rPr>
        <w:t xml:space="preserve">he </w:t>
      </w:r>
      <w:r w:rsidR="003439A4" w:rsidRPr="003439A4">
        <w:rPr>
          <w:szCs w:val="22"/>
          <w:u w:val="none"/>
        </w:rPr>
        <w:t xml:space="preserve">Filing Date </w:t>
      </w:r>
      <w:proofErr w:type="gramStart"/>
      <w:r w:rsidR="009D1C2A" w:rsidRPr="003439A4">
        <w:rPr>
          <w:szCs w:val="22"/>
          <w:u w:val="none"/>
        </w:rPr>
        <w:t>For</w:t>
      </w:r>
      <w:proofErr w:type="gramEnd"/>
      <w:r w:rsidR="009D1C2A" w:rsidRPr="003439A4">
        <w:rPr>
          <w:szCs w:val="22"/>
          <w:u w:val="none"/>
        </w:rPr>
        <w:t xml:space="preserve"> </w:t>
      </w:r>
      <w:r w:rsidR="003439A4" w:rsidRPr="003439A4">
        <w:rPr>
          <w:szCs w:val="22"/>
          <w:u w:val="none"/>
        </w:rPr>
        <w:t xml:space="preserve">Reporting </w:t>
      </w:r>
      <w:r w:rsidR="00124EFE">
        <w:rPr>
          <w:szCs w:val="22"/>
          <w:u w:val="none"/>
        </w:rPr>
        <w:t xml:space="preserve">All </w:t>
      </w:r>
      <w:r w:rsidR="003439A4" w:rsidRPr="003439A4">
        <w:rPr>
          <w:szCs w:val="22"/>
          <w:u w:val="none"/>
        </w:rPr>
        <w:t xml:space="preserve">Emissions </w:t>
      </w:r>
      <w:r w:rsidR="009D1C2A">
        <w:rPr>
          <w:szCs w:val="22"/>
          <w:u w:val="none"/>
        </w:rPr>
        <w:t>I</w:t>
      </w:r>
      <w:r w:rsidR="009D1C2A" w:rsidRPr="003439A4">
        <w:rPr>
          <w:szCs w:val="22"/>
          <w:u w:val="none"/>
        </w:rPr>
        <w:t xml:space="preserve">n </w:t>
      </w:r>
      <w:r w:rsidR="009D1C2A">
        <w:rPr>
          <w:szCs w:val="22"/>
          <w:u w:val="none"/>
        </w:rPr>
        <w:t>T</w:t>
      </w:r>
      <w:r w:rsidR="009D1C2A" w:rsidRPr="003439A4">
        <w:rPr>
          <w:szCs w:val="22"/>
          <w:u w:val="none"/>
        </w:rPr>
        <w:t xml:space="preserve">he </w:t>
      </w:r>
      <w:r w:rsidR="003439A4" w:rsidRPr="003439A4">
        <w:rPr>
          <w:szCs w:val="22"/>
          <w:u w:val="none"/>
        </w:rPr>
        <w:t xml:space="preserve">Fourth Quarter </w:t>
      </w:r>
      <w:r w:rsidR="009D1C2A">
        <w:rPr>
          <w:szCs w:val="22"/>
          <w:u w:val="none"/>
        </w:rPr>
        <w:t>T</w:t>
      </w:r>
      <w:r w:rsidR="009D1C2A" w:rsidRPr="003439A4">
        <w:rPr>
          <w:szCs w:val="22"/>
          <w:u w:val="none"/>
        </w:rPr>
        <w:t xml:space="preserve">o </w:t>
      </w:r>
      <w:r w:rsidR="003439A4" w:rsidRPr="003439A4">
        <w:rPr>
          <w:szCs w:val="22"/>
          <w:u w:val="none"/>
        </w:rPr>
        <w:t xml:space="preserve">Allow Time </w:t>
      </w:r>
      <w:r w:rsidR="009D1C2A">
        <w:rPr>
          <w:szCs w:val="22"/>
          <w:u w:val="none"/>
        </w:rPr>
        <w:t>F</w:t>
      </w:r>
      <w:r w:rsidR="009D1C2A" w:rsidRPr="003439A4">
        <w:rPr>
          <w:szCs w:val="22"/>
          <w:u w:val="none"/>
        </w:rPr>
        <w:t xml:space="preserve">or </w:t>
      </w:r>
      <w:r w:rsidR="009D1C2A">
        <w:rPr>
          <w:szCs w:val="22"/>
          <w:u w:val="none"/>
        </w:rPr>
        <w:t>T</w:t>
      </w:r>
      <w:r w:rsidR="009D1C2A" w:rsidRPr="003439A4">
        <w:rPr>
          <w:szCs w:val="22"/>
          <w:u w:val="none"/>
        </w:rPr>
        <w:t xml:space="preserve">he </w:t>
      </w:r>
      <w:r w:rsidR="003439A4" w:rsidRPr="003439A4">
        <w:rPr>
          <w:szCs w:val="22"/>
          <w:u w:val="none"/>
        </w:rPr>
        <w:t xml:space="preserve">Preparation </w:t>
      </w:r>
      <w:r w:rsidR="009D1C2A">
        <w:rPr>
          <w:szCs w:val="22"/>
          <w:u w:val="none"/>
        </w:rPr>
        <w:t>O</w:t>
      </w:r>
      <w:r w:rsidR="009D1C2A" w:rsidRPr="003439A4">
        <w:rPr>
          <w:szCs w:val="22"/>
          <w:u w:val="none"/>
        </w:rPr>
        <w:t xml:space="preserve">f </w:t>
      </w:r>
      <w:r w:rsidR="003439A4" w:rsidRPr="003439A4">
        <w:rPr>
          <w:szCs w:val="22"/>
          <w:u w:val="none"/>
        </w:rPr>
        <w:t>Accurate And Verifiable Emissions Data</w:t>
      </w:r>
      <w:r w:rsidR="009D1C2A" w:rsidRPr="003439A4">
        <w:rPr>
          <w:szCs w:val="22"/>
          <w:u w:val="none"/>
        </w:rPr>
        <w:t>.</w:t>
      </w:r>
    </w:p>
    <w:p w14:paraId="48F5EF6B" w14:textId="1659AD03" w:rsidR="00070234" w:rsidRPr="00046890" w:rsidRDefault="00813C7C" w:rsidP="00070234">
      <w:pPr>
        <w:spacing w:after="240"/>
        <w:ind w:left="-180"/>
        <w:rPr>
          <w:rFonts w:cs="Arial"/>
        </w:rPr>
      </w:pPr>
      <w:r w:rsidRPr="00813C7C">
        <w:rPr>
          <w:rFonts w:cs="Arial"/>
          <w:szCs w:val="22"/>
        </w:rPr>
        <w:t>CARB seeks</w:t>
      </w:r>
      <w:r w:rsidR="00A9096C">
        <w:rPr>
          <w:rFonts w:cs="Arial"/>
          <w:szCs w:val="22"/>
        </w:rPr>
        <w:t xml:space="preserve"> input</w:t>
      </w:r>
      <w:r w:rsidR="008F1AA5">
        <w:rPr>
          <w:rFonts w:cs="Arial"/>
          <w:szCs w:val="22"/>
        </w:rPr>
        <w:t xml:space="preserve"> </w:t>
      </w:r>
      <w:r w:rsidR="00FB3DDD">
        <w:rPr>
          <w:rFonts w:cs="Arial"/>
          <w:szCs w:val="22"/>
        </w:rPr>
        <w:t xml:space="preserve">on what timeframe within a reporting year </w:t>
      </w:r>
      <w:r w:rsidR="00147B21">
        <w:rPr>
          <w:rFonts w:cs="Arial"/>
          <w:szCs w:val="22"/>
        </w:rPr>
        <w:t xml:space="preserve">is appropriate </w:t>
      </w:r>
      <w:r w:rsidR="00790EBA">
        <w:rPr>
          <w:rFonts w:cs="Arial"/>
          <w:szCs w:val="22"/>
        </w:rPr>
        <w:t>to ensure</w:t>
      </w:r>
      <w:r w:rsidR="00973D4C">
        <w:rPr>
          <w:rFonts w:cs="Arial"/>
          <w:szCs w:val="22"/>
        </w:rPr>
        <w:t xml:space="preserve"> appropriate</w:t>
      </w:r>
      <w:r w:rsidR="00FB1D0D">
        <w:rPr>
          <w:rFonts w:cs="Arial"/>
          <w:szCs w:val="22"/>
        </w:rPr>
        <w:t xml:space="preserve"> data </w:t>
      </w:r>
      <w:r w:rsidR="00973D4C">
        <w:rPr>
          <w:rFonts w:cs="Arial"/>
          <w:szCs w:val="22"/>
        </w:rPr>
        <w:t xml:space="preserve">is available and </w:t>
      </w:r>
      <w:r w:rsidR="00FB1D0D">
        <w:rPr>
          <w:rFonts w:cs="Arial"/>
          <w:szCs w:val="22"/>
        </w:rPr>
        <w:t>can meet the requirements for reporting</w:t>
      </w:r>
      <w:r w:rsidR="00124EFE">
        <w:rPr>
          <w:rFonts w:cs="Arial"/>
          <w:szCs w:val="22"/>
        </w:rPr>
        <w:t xml:space="preserve"> Scope 1, Scope 2 and Scope 3 emissions under</w:t>
      </w:r>
      <w:r w:rsidR="00FB1D0D">
        <w:rPr>
          <w:rFonts w:cs="Arial"/>
          <w:szCs w:val="22"/>
        </w:rPr>
        <w:t xml:space="preserve"> SB 261</w:t>
      </w:r>
      <w:r w:rsidR="00CA3246">
        <w:rPr>
          <w:rFonts w:cs="Arial"/>
          <w:szCs w:val="22"/>
        </w:rPr>
        <w:t>.</w:t>
      </w:r>
      <w:r w:rsidR="00FF1FAD">
        <w:rPr>
          <w:rStyle w:val="FootnoteReference"/>
          <w:rFonts w:cs="Arial"/>
          <w:szCs w:val="22"/>
        </w:rPr>
        <w:footnoteReference w:id="15"/>
      </w:r>
      <w:r w:rsidR="00CA3246">
        <w:rPr>
          <w:rFonts w:cs="Arial"/>
          <w:szCs w:val="22"/>
        </w:rPr>
        <w:t xml:space="preserve"> </w:t>
      </w:r>
      <w:r w:rsidR="00070234" w:rsidRPr="00A822B4">
        <w:rPr>
          <w:rFonts w:cs="Arial"/>
          <w:szCs w:val="22"/>
        </w:rPr>
        <w:t>T</w:t>
      </w:r>
      <w:r w:rsidR="00070234" w:rsidRPr="00046890">
        <w:rPr>
          <w:rFonts w:cs="Arial"/>
        </w:rPr>
        <w:t>he electric power industry typically takes two to three quarters to collect, finalize, and verify emissions inventories with a third</w:t>
      </w:r>
      <w:r w:rsidR="00070234">
        <w:rPr>
          <w:rFonts w:cs="Arial"/>
        </w:rPr>
        <w:t xml:space="preserve"> </w:t>
      </w:r>
      <w:r w:rsidR="00070234" w:rsidRPr="00046890">
        <w:rPr>
          <w:rFonts w:cs="Arial"/>
        </w:rPr>
        <w:t xml:space="preserve">party. Final raw data sets for most companies are not available until the second or third quarter. </w:t>
      </w:r>
      <w:r w:rsidR="00EE1ECA">
        <w:rPr>
          <w:rFonts w:cs="Arial"/>
        </w:rPr>
        <w:lastRenderedPageBreak/>
        <w:t>M</w:t>
      </w:r>
      <w:r w:rsidR="00070234" w:rsidRPr="00046890">
        <w:rPr>
          <w:rFonts w:cs="Arial"/>
        </w:rPr>
        <w:t xml:space="preserve">ore time is needed after the final data collection to perform the necessary calculations, obtain verifications of data from </w:t>
      </w:r>
      <w:r w:rsidR="00070234">
        <w:rPr>
          <w:rFonts w:cs="Arial"/>
        </w:rPr>
        <w:t>the U.S. Environmental Protection Agency (EPA)</w:t>
      </w:r>
      <w:r w:rsidR="00070234" w:rsidRPr="00046890">
        <w:rPr>
          <w:rFonts w:cs="Arial"/>
        </w:rPr>
        <w:t xml:space="preserve"> and other agencies, and get data assurance by a third party.</w:t>
      </w:r>
    </w:p>
    <w:p w14:paraId="72FAF61A" w14:textId="79A09CC3" w:rsidR="000023A2" w:rsidRPr="00E051AB" w:rsidRDefault="000023A2" w:rsidP="000023A2">
      <w:pPr>
        <w:spacing w:after="240"/>
        <w:ind w:left="-180"/>
        <w:rPr>
          <w:rFonts w:cs="Arial"/>
          <w:szCs w:val="22"/>
        </w:rPr>
      </w:pPr>
      <w:proofErr w:type="gramStart"/>
      <w:r w:rsidRPr="001164F9">
        <w:rPr>
          <w:rFonts w:cs="Arial"/>
        </w:rPr>
        <w:t>In order to</w:t>
      </w:r>
      <w:proofErr w:type="gramEnd"/>
      <w:r w:rsidRPr="001164F9">
        <w:rPr>
          <w:rFonts w:cs="Arial"/>
        </w:rPr>
        <w:t xml:space="preserve"> file the reports, the information must be gathered, reviewed, and assembled. It can be challenging to complete this process by the March 31 deadline. </w:t>
      </w:r>
      <w:r w:rsidR="00D340B2">
        <w:rPr>
          <w:rFonts w:cs="Arial"/>
        </w:rPr>
        <w:t xml:space="preserve">After the submission to EPA, the data then undergoes a third-party verification and assurance process, which can take time. </w:t>
      </w:r>
      <w:r w:rsidRPr="001164F9">
        <w:rPr>
          <w:rFonts w:cs="Arial"/>
        </w:rPr>
        <w:t>Moreover, the annual emissions data is not finalized with EPA until it is publicly published in October.</w:t>
      </w:r>
      <w:r w:rsidRPr="00046890">
        <w:rPr>
          <w:vertAlign w:val="superscript"/>
        </w:rPr>
        <w:footnoteReference w:id="16"/>
      </w:r>
      <w:r w:rsidRPr="001164F9">
        <w:rPr>
          <w:rFonts w:cs="Arial"/>
        </w:rPr>
        <w:t xml:space="preserve"> </w:t>
      </w:r>
      <w:r w:rsidR="00A82A1D">
        <w:rPr>
          <w:rFonts w:cs="Arial"/>
        </w:rPr>
        <w:t>It is also worth noting that the required reporting scop</w:t>
      </w:r>
      <w:r w:rsidR="008529EE">
        <w:rPr>
          <w:rFonts w:cs="Arial"/>
        </w:rPr>
        <w:t>e</w:t>
      </w:r>
      <w:r w:rsidR="00A82A1D">
        <w:rPr>
          <w:rFonts w:cs="Arial"/>
        </w:rPr>
        <w:t xml:space="preserve"> under </w:t>
      </w:r>
      <w:r w:rsidR="008529EE">
        <w:rPr>
          <w:rFonts w:cs="Arial"/>
        </w:rPr>
        <w:t xml:space="preserve">the </w:t>
      </w:r>
      <w:r w:rsidR="00A82A1D">
        <w:rPr>
          <w:rFonts w:cs="Arial"/>
        </w:rPr>
        <w:t xml:space="preserve">CARB </w:t>
      </w:r>
      <w:r w:rsidR="008529EE">
        <w:rPr>
          <w:rFonts w:cs="Arial"/>
        </w:rPr>
        <w:t>rules goes well beyond the data that is required to be reported to EPA.</w:t>
      </w:r>
      <w:r w:rsidR="00B91EEE">
        <w:rPr>
          <w:rFonts w:cs="Arial"/>
        </w:rPr>
        <w:t xml:space="preserve"> In addition, companies have varying year-end reconciliations, which further vary by calendar year versus fiscal year.</w:t>
      </w:r>
      <w:r w:rsidR="00E051AB" w:rsidRPr="00E051AB">
        <w:t xml:space="preserve"> </w:t>
      </w:r>
      <w:r w:rsidR="003D6E07">
        <w:t>As noted above, f</w:t>
      </w:r>
      <w:r w:rsidR="00E051AB" w:rsidRPr="00E051AB">
        <w:rPr>
          <w:rStyle w:val="cf01"/>
          <w:rFonts w:ascii="Arial" w:hAnsi="Arial" w:cs="Arial"/>
          <w:sz w:val="22"/>
          <w:szCs w:val="22"/>
        </w:rPr>
        <w:t>or entities that operate on a calendar</w:t>
      </w:r>
      <w:r w:rsidR="00E051AB">
        <w:rPr>
          <w:rStyle w:val="cf01"/>
          <w:rFonts w:ascii="Arial" w:hAnsi="Arial" w:cs="Arial"/>
          <w:sz w:val="22"/>
          <w:szCs w:val="22"/>
        </w:rPr>
        <w:t>-</w:t>
      </w:r>
      <w:r w:rsidR="00E051AB" w:rsidRPr="00E051AB">
        <w:rPr>
          <w:rStyle w:val="cf01"/>
          <w:rFonts w:ascii="Arial" w:hAnsi="Arial" w:cs="Arial"/>
          <w:sz w:val="22"/>
          <w:szCs w:val="22"/>
        </w:rPr>
        <w:t xml:space="preserve"> year schedule, unverified emissions data is </w:t>
      </w:r>
      <w:r w:rsidR="003D6E07">
        <w:rPr>
          <w:rStyle w:val="cf01"/>
          <w:rFonts w:ascii="Arial" w:hAnsi="Arial" w:cs="Arial"/>
          <w:sz w:val="22"/>
          <w:szCs w:val="22"/>
        </w:rPr>
        <w:t xml:space="preserve">generally </w:t>
      </w:r>
      <w:r w:rsidR="00E051AB" w:rsidRPr="00E051AB">
        <w:rPr>
          <w:rStyle w:val="cf01"/>
          <w:rFonts w:ascii="Arial" w:hAnsi="Arial" w:cs="Arial"/>
          <w:sz w:val="22"/>
          <w:szCs w:val="22"/>
        </w:rPr>
        <w:t xml:space="preserve">available for reporting by </w:t>
      </w:r>
      <w:r w:rsidR="003D6E07">
        <w:rPr>
          <w:rStyle w:val="cf01"/>
          <w:rFonts w:ascii="Arial" w:hAnsi="Arial" w:cs="Arial"/>
          <w:sz w:val="22"/>
          <w:szCs w:val="22"/>
        </w:rPr>
        <w:t xml:space="preserve">the </w:t>
      </w:r>
      <w:r w:rsidR="00E051AB" w:rsidRPr="00E051AB">
        <w:rPr>
          <w:rStyle w:val="cf01"/>
          <w:rFonts w:ascii="Arial" w:hAnsi="Arial" w:cs="Arial"/>
          <w:sz w:val="22"/>
          <w:szCs w:val="22"/>
        </w:rPr>
        <w:t xml:space="preserve">end of </w:t>
      </w:r>
      <w:r w:rsidR="003D6E07">
        <w:rPr>
          <w:rStyle w:val="cf01"/>
          <w:rFonts w:ascii="Arial" w:hAnsi="Arial" w:cs="Arial"/>
          <w:sz w:val="22"/>
          <w:szCs w:val="22"/>
        </w:rPr>
        <w:t>the second quarter</w:t>
      </w:r>
      <w:r w:rsidR="00E051AB" w:rsidRPr="00E051AB">
        <w:rPr>
          <w:rStyle w:val="cf01"/>
          <w:rFonts w:ascii="Arial" w:hAnsi="Arial" w:cs="Arial"/>
          <w:sz w:val="22"/>
          <w:szCs w:val="22"/>
        </w:rPr>
        <w:t xml:space="preserve"> for the previous calendar year. However, third party verified emissions data is generally unavailable until December 31st of the disclosing year and typically shared in the company’s disclosure in the following reporting year.</w:t>
      </w:r>
    </w:p>
    <w:p w14:paraId="0A654706" w14:textId="77777777" w:rsidR="00E051AB" w:rsidRDefault="00665A56" w:rsidP="00665A56">
      <w:pPr>
        <w:spacing w:after="240"/>
        <w:ind w:left="-180"/>
        <w:rPr>
          <w:rFonts w:cs="Arial"/>
          <w:szCs w:val="22"/>
        </w:rPr>
      </w:pPr>
      <w:r w:rsidRPr="00C8402E">
        <w:rPr>
          <w:rFonts w:cs="Arial"/>
          <w:szCs w:val="22"/>
        </w:rPr>
        <w:t xml:space="preserve">In addition to EPA reporting, several EEI members also comply with multiple </w:t>
      </w:r>
      <w:r w:rsidR="003408ED">
        <w:rPr>
          <w:rFonts w:cs="Arial"/>
          <w:szCs w:val="22"/>
        </w:rPr>
        <w:t xml:space="preserve">existing </w:t>
      </w:r>
      <w:r w:rsidRPr="00C8402E">
        <w:rPr>
          <w:rFonts w:cs="Arial"/>
          <w:szCs w:val="22"/>
        </w:rPr>
        <w:t xml:space="preserve">CARB reporting </w:t>
      </w:r>
      <w:r w:rsidRPr="009E2ABE">
        <w:rPr>
          <w:rFonts w:cs="Arial"/>
          <w:szCs w:val="22"/>
        </w:rPr>
        <w:t>deadlines in the second and third quarters.</w:t>
      </w:r>
      <w:r w:rsidRPr="00C8402E">
        <w:rPr>
          <w:rFonts w:cs="Arial"/>
          <w:szCs w:val="22"/>
        </w:rPr>
        <w:t xml:space="preserve"> Examples include the June 2 deadline for </w:t>
      </w:r>
      <w:r w:rsidR="00AC2008">
        <w:rPr>
          <w:rFonts w:cs="Arial"/>
          <w:szCs w:val="22"/>
        </w:rPr>
        <w:t>the CARB Mandatory GHG Reporting Rule (</w:t>
      </w:r>
      <w:r w:rsidRPr="00C8402E">
        <w:rPr>
          <w:rFonts w:cs="Arial"/>
          <w:szCs w:val="22"/>
        </w:rPr>
        <w:t>MRR</w:t>
      </w:r>
      <w:r w:rsidR="00AC2008">
        <w:rPr>
          <w:rFonts w:cs="Arial"/>
          <w:szCs w:val="22"/>
        </w:rPr>
        <w:t>)</w:t>
      </w:r>
      <w:r w:rsidRPr="00C8402E">
        <w:rPr>
          <w:rFonts w:cs="Arial"/>
          <w:szCs w:val="22"/>
          <w:vertAlign w:val="superscript"/>
        </w:rPr>
        <w:footnoteReference w:id="17"/>
      </w:r>
      <w:r w:rsidRPr="00C8402E">
        <w:rPr>
          <w:rFonts w:cs="Arial"/>
          <w:szCs w:val="22"/>
        </w:rPr>
        <w:t xml:space="preserve"> and the </w:t>
      </w:r>
      <w:r>
        <w:rPr>
          <w:rFonts w:cs="Arial"/>
          <w:szCs w:val="22"/>
        </w:rPr>
        <w:t>California Energy Commission</w:t>
      </w:r>
      <w:r w:rsidRPr="00C8402E">
        <w:rPr>
          <w:rFonts w:cs="Arial"/>
          <w:szCs w:val="22"/>
        </w:rPr>
        <w:t xml:space="preserve"> Power Source Disclosure Annual Reports, which were due July 29, 2024, and extended to August 30.</w:t>
      </w:r>
      <w:r w:rsidRPr="00C8402E">
        <w:rPr>
          <w:rFonts w:cs="Arial"/>
          <w:szCs w:val="22"/>
          <w:vertAlign w:val="superscript"/>
        </w:rPr>
        <w:footnoteReference w:id="18"/>
      </w:r>
      <w:r w:rsidRPr="00C8402E">
        <w:rPr>
          <w:rFonts w:cs="Arial"/>
          <w:szCs w:val="22"/>
        </w:rPr>
        <w:t xml:space="preserve"> </w:t>
      </w:r>
    </w:p>
    <w:p w14:paraId="6619A5BA" w14:textId="1E198486" w:rsidR="00665A56" w:rsidRPr="00C8402E" w:rsidRDefault="00E051AB" w:rsidP="00665A56">
      <w:pPr>
        <w:spacing w:after="240"/>
        <w:ind w:left="-180"/>
        <w:rPr>
          <w:rFonts w:cs="Arial"/>
        </w:rPr>
        <w:sectPr w:rsidR="00665A56" w:rsidRPr="00C8402E" w:rsidSect="00665A56">
          <w:type w:val="continuous"/>
          <w:pgSz w:w="12240" w:h="15840"/>
          <w:pgMar w:top="1440" w:right="1800" w:bottom="1440" w:left="1800" w:header="720" w:footer="720" w:gutter="0"/>
          <w:cols w:space="720"/>
          <w:docGrid w:linePitch="360"/>
        </w:sectPr>
      </w:pPr>
      <w:r>
        <w:rPr>
          <w:rFonts w:cs="Arial"/>
          <w:szCs w:val="22"/>
        </w:rPr>
        <w:t>Given the above</w:t>
      </w:r>
      <w:r w:rsidR="00665A56" w:rsidRPr="00C8402E">
        <w:rPr>
          <w:rFonts w:cs="Arial"/>
          <w:szCs w:val="22"/>
        </w:rPr>
        <w:t xml:space="preserve">, moving the reporting deadline to </w:t>
      </w:r>
      <w:r w:rsidR="00665A56">
        <w:rPr>
          <w:rFonts w:cs="Arial"/>
          <w:szCs w:val="22"/>
        </w:rPr>
        <w:t>the fourth quarter</w:t>
      </w:r>
      <w:r w:rsidR="00665A56" w:rsidRPr="00C8402E">
        <w:rPr>
          <w:rFonts w:cs="Arial"/>
          <w:szCs w:val="22"/>
        </w:rPr>
        <w:t xml:space="preserve"> would allow reporting entities, particularly those in California, the necessary time to properly verify and have the data assured by a third party before reporting it to the state.</w:t>
      </w:r>
      <w:r w:rsidR="00665A56" w:rsidRPr="00440027">
        <w:rPr>
          <w:rFonts w:cs="Arial"/>
        </w:rPr>
        <w:t xml:space="preserve"> </w:t>
      </w:r>
    </w:p>
    <w:p w14:paraId="61C13818" w14:textId="4F4186B1" w:rsidR="0071094C" w:rsidRDefault="0071094C" w:rsidP="00001C09">
      <w:pPr>
        <w:pStyle w:val="Heading1"/>
        <w:numPr>
          <w:ilvl w:val="0"/>
          <w:numId w:val="16"/>
        </w:numPr>
        <w:rPr>
          <w:u w:val="none"/>
        </w:rPr>
      </w:pPr>
      <w:r w:rsidRPr="0004212B">
        <w:rPr>
          <w:u w:val="none"/>
        </w:rPr>
        <w:t xml:space="preserve">CARB </w:t>
      </w:r>
      <w:r w:rsidR="00B977E9" w:rsidRPr="0004212B">
        <w:rPr>
          <w:u w:val="none"/>
        </w:rPr>
        <w:t xml:space="preserve">Should Include Flexibilities </w:t>
      </w:r>
      <w:r w:rsidR="0067149B">
        <w:rPr>
          <w:u w:val="none"/>
        </w:rPr>
        <w:t>i</w:t>
      </w:r>
      <w:r w:rsidR="00B977E9" w:rsidRPr="0004212B">
        <w:rPr>
          <w:u w:val="none"/>
        </w:rPr>
        <w:t xml:space="preserve">n The Reporting Timeline </w:t>
      </w:r>
      <w:r w:rsidR="0067149B">
        <w:rPr>
          <w:u w:val="none"/>
        </w:rPr>
        <w:t xml:space="preserve">and How Entities Disclose Their Financial Risks </w:t>
      </w:r>
      <w:r w:rsidR="00B977E9" w:rsidRPr="0004212B">
        <w:rPr>
          <w:u w:val="none"/>
        </w:rPr>
        <w:t xml:space="preserve">Under </w:t>
      </w:r>
      <w:r w:rsidRPr="0004212B">
        <w:rPr>
          <w:u w:val="none"/>
        </w:rPr>
        <w:t xml:space="preserve">SB </w:t>
      </w:r>
      <w:r w:rsidR="00B977E9" w:rsidRPr="0004212B">
        <w:rPr>
          <w:u w:val="none"/>
        </w:rPr>
        <w:t>261.</w:t>
      </w:r>
    </w:p>
    <w:p w14:paraId="5BCF14AD" w14:textId="3CC0EC44" w:rsidR="000A5C61" w:rsidRDefault="000A5C61" w:rsidP="00250B94">
      <w:pPr>
        <w:ind w:left="-180"/>
        <w:rPr>
          <w:rFonts w:cs="Arial"/>
          <w:szCs w:val="22"/>
        </w:rPr>
      </w:pPr>
      <w:r>
        <w:rPr>
          <w:rFonts w:cs="Arial"/>
          <w:szCs w:val="22"/>
        </w:rPr>
        <w:t>Regarding SB 261, CARB seeks input on whether to require a standardized reporting year or allow reporting within a two-year period and on a series of questions related to the Final Report Recommendations of the Task Force on Climate-related Financial Disclosure (TCFD).</w:t>
      </w:r>
      <w:r>
        <w:rPr>
          <w:rStyle w:val="FootnoteReference"/>
          <w:rFonts w:cs="Arial"/>
          <w:szCs w:val="22"/>
        </w:rPr>
        <w:footnoteReference w:id="19"/>
      </w:r>
      <w:r>
        <w:rPr>
          <w:rFonts w:cs="Arial"/>
          <w:szCs w:val="22"/>
        </w:rPr>
        <w:t xml:space="preserve"> </w:t>
      </w:r>
      <w:r w:rsidR="0067149B">
        <w:rPr>
          <w:rFonts w:cs="Arial"/>
          <w:szCs w:val="22"/>
        </w:rPr>
        <w:t xml:space="preserve">As explained below, CARB should include flexibilities in both the reporting timeline and in how entities disclose their financial risks. </w:t>
      </w:r>
    </w:p>
    <w:p w14:paraId="7478CB2B" w14:textId="77777777" w:rsidR="00C3521F" w:rsidRPr="000A5C61" w:rsidRDefault="00C3521F" w:rsidP="000A5C61"/>
    <w:p w14:paraId="53211A13" w14:textId="0B1C7551" w:rsidR="000A5C61" w:rsidRPr="0004212B" w:rsidRDefault="000A5C61" w:rsidP="00D340B2">
      <w:pPr>
        <w:pStyle w:val="Heading1"/>
        <w:numPr>
          <w:ilvl w:val="1"/>
          <w:numId w:val="25"/>
        </w:numPr>
        <w:rPr>
          <w:u w:val="none"/>
        </w:rPr>
      </w:pPr>
      <w:r w:rsidRPr="0004212B">
        <w:rPr>
          <w:u w:val="none"/>
        </w:rPr>
        <w:lastRenderedPageBreak/>
        <w:t xml:space="preserve">CARB Should Include Flexibilities </w:t>
      </w:r>
      <w:r w:rsidR="002E35E1">
        <w:rPr>
          <w:u w:val="none"/>
        </w:rPr>
        <w:t>i</w:t>
      </w:r>
      <w:r w:rsidRPr="0004212B">
        <w:rPr>
          <w:u w:val="none"/>
        </w:rPr>
        <w:t xml:space="preserve">n The Reporting Timeline </w:t>
      </w:r>
      <w:proofErr w:type="gramStart"/>
      <w:r w:rsidRPr="0004212B">
        <w:rPr>
          <w:u w:val="none"/>
        </w:rPr>
        <w:t>For</w:t>
      </w:r>
      <w:proofErr w:type="gramEnd"/>
      <w:r w:rsidRPr="0004212B">
        <w:rPr>
          <w:u w:val="none"/>
        </w:rPr>
        <w:t xml:space="preserve"> Requirements Under SB 261.</w:t>
      </w:r>
    </w:p>
    <w:p w14:paraId="550D229A" w14:textId="4ABE23BB" w:rsidR="0026061D" w:rsidRPr="00A822B4" w:rsidRDefault="0026061D" w:rsidP="0026061D">
      <w:pPr>
        <w:spacing w:after="240"/>
        <w:ind w:left="-180"/>
        <w:rPr>
          <w:rFonts w:cs="Arial"/>
          <w:szCs w:val="22"/>
        </w:rPr>
      </w:pPr>
      <w:r w:rsidRPr="00A822B4">
        <w:rPr>
          <w:rFonts w:cs="Arial"/>
          <w:szCs w:val="22"/>
        </w:rPr>
        <w:t xml:space="preserve">Companies currently face a variety of jurisdictional and government agency reporting requirements that have varying deadlines; CARB should </w:t>
      </w:r>
      <w:r w:rsidR="000F0EF2">
        <w:rPr>
          <w:rFonts w:cs="Arial"/>
          <w:szCs w:val="22"/>
        </w:rPr>
        <w:t>include flexibilities</w:t>
      </w:r>
      <w:r w:rsidR="00F81418">
        <w:rPr>
          <w:rFonts w:cs="Arial"/>
          <w:szCs w:val="22"/>
        </w:rPr>
        <w:t xml:space="preserve"> </w:t>
      </w:r>
      <w:r w:rsidRPr="00A822B4">
        <w:rPr>
          <w:rFonts w:cs="Arial"/>
          <w:szCs w:val="22"/>
        </w:rPr>
        <w:t>considering when the biennial report is due.</w:t>
      </w:r>
    </w:p>
    <w:p w14:paraId="6599D234" w14:textId="0A81D088" w:rsidR="003D76D3" w:rsidRDefault="004A64F6" w:rsidP="00AD1449">
      <w:pPr>
        <w:spacing w:after="240"/>
        <w:ind w:left="-180"/>
        <w:rPr>
          <w:rFonts w:cs="Arial"/>
        </w:rPr>
      </w:pPr>
      <w:r w:rsidRPr="003D76D3">
        <w:rPr>
          <w:rFonts w:cs="Arial"/>
          <w:szCs w:val="22"/>
        </w:rPr>
        <w:t xml:space="preserve">As outlined </w:t>
      </w:r>
      <w:r w:rsidR="009C5E66">
        <w:rPr>
          <w:rFonts w:cs="Arial"/>
          <w:szCs w:val="22"/>
        </w:rPr>
        <w:t xml:space="preserve">in section </w:t>
      </w:r>
      <w:r w:rsidR="00C3521F">
        <w:rPr>
          <w:rFonts w:cs="Arial"/>
          <w:szCs w:val="22"/>
        </w:rPr>
        <w:t>I</w:t>
      </w:r>
      <w:r w:rsidR="006F44C6">
        <w:rPr>
          <w:rFonts w:cs="Arial"/>
          <w:szCs w:val="22"/>
        </w:rPr>
        <w:t>V</w:t>
      </w:r>
      <w:r w:rsidR="002B7906">
        <w:rPr>
          <w:rFonts w:cs="Arial"/>
          <w:szCs w:val="22"/>
        </w:rPr>
        <w:t xml:space="preserve"> </w:t>
      </w:r>
      <w:r w:rsidRPr="003D76D3">
        <w:rPr>
          <w:rFonts w:cs="Arial"/>
          <w:szCs w:val="22"/>
        </w:rPr>
        <w:t>above, to provide the most accurate data in the most cost-efficient manner, the biennial report for climate-related financial risks and disclosure of adaptation and mitigation efforts should be due in the fourth quarter of an unstandardized reporting year to ensure all data is final, accurate, and verified.</w:t>
      </w:r>
      <w:r w:rsidR="00685BAA">
        <w:rPr>
          <w:rFonts w:cs="Arial"/>
          <w:szCs w:val="22"/>
        </w:rPr>
        <w:t xml:space="preserve"> </w:t>
      </w:r>
      <w:r w:rsidR="00685BAA" w:rsidRPr="003D76D3">
        <w:rPr>
          <w:rFonts w:cs="Arial"/>
        </w:rPr>
        <w:t>CARB should allow companies to report at any time within a two-year period to provide companies with enough time to perform a thorough materiality risk assessment and to prepare disclosures on their risk mitigation and adaptation efforts.</w:t>
      </w:r>
      <w:r w:rsidR="004D35E3">
        <w:rPr>
          <w:rFonts w:cs="Arial"/>
        </w:rPr>
        <w:t xml:space="preserve"> CARB should also provide a transition process for an entity that needs to move into reporting for a partial reporting period.</w:t>
      </w:r>
    </w:p>
    <w:p w14:paraId="24FC3ED7" w14:textId="367AFC00" w:rsidR="008C2868" w:rsidRPr="00507524" w:rsidRDefault="00740AEB" w:rsidP="00D340B2">
      <w:pPr>
        <w:pStyle w:val="Heading1"/>
        <w:numPr>
          <w:ilvl w:val="0"/>
          <w:numId w:val="28"/>
        </w:numPr>
      </w:pPr>
      <w:r w:rsidRPr="00507524">
        <w:t xml:space="preserve">CARB </w:t>
      </w:r>
      <w:r w:rsidR="00507524" w:rsidRPr="00507524">
        <w:t xml:space="preserve">Should Allow Flexibility </w:t>
      </w:r>
      <w:proofErr w:type="gramStart"/>
      <w:r w:rsidR="00507524" w:rsidRPr="00507524">
        <w:t>In</w:t>
      </w:r>
      <w:proofErr w:type="gramEnd"/>
      <w:r w:rsidR="00507524" w:rsidRPr="00507524">
        <w:t xml:space="preserve"> How Entities Disclose Their Climate Financial Risks Under </w:t>
      </w:r>
      <w:r w:rsidR="003F25B1" w:rsidRPr="00507524">
        <w:t xml:space="preserve">SB </w:t>
      </w:r>
      <w:r w:rsidR="00507524" w:rsidRPr="00507524">
        <w:t>261 To Allow For Existing Approaches To Preparing Climate Financial Risk Disclosures.</w:t>
      </w:r>
      <w:r w:rsidR="00C417B8">
        <w:rPr>
          <w:rStyle w:val="FootnoteReference"/>
        </w:rPr>
        <w:footnoteReference w:id="20"/>
      </w:r>
      <w:r w:rsidR="00507524" w:rsidRPr="00507524">
        <w:t xml:space="preserve"> </w:t>
      </w:r>
    </w:p>
    <w:p w14:paraId="0B6C523E" w14:textId="5EE5EB8A" w:rsidR="00573A73" w:rsidRDefault="00D00441" w:rsidP="0087182E">
      <w:pPr>
        <w:spacing w:after="240"/>
        <w:ind w:left="-180"/>
        <w:rPr>
          <w:rFonts w:cs="Arial"/>
        </w:rPr>
      </w:pPr>
      <w:r w:rsidRPr="003D76D3">
        <w:rPr>
          <w:rFonts w:cs="Arial"/>
        </w:rPr>
        <w:t xml:space="preserve">Overall, the electric power sector is supportive of the </w:t>
      </w:r>
      <w:r w:rsidR="00F82374">
        <w:rPr>
          <w:rFonts w:cs="Arial"/>
        </w:rPr>
        <w:t>Task Force on Climate</w:t>
      </w:r>
      <w:r w:rsidR="004A4E81">
        <w:rPr>
          <w:rFonts w:cs="Arial"/>
        </w:rPr>
        <w:t>-related Financial Disclosures</w:t>
      </w:r>
      <w:r w:rsidR="002C57F5">
        <w:rPr>
          <w:rFonts w:cs="Arial"/>
        </w:rPr>
        <w:t xml:space="preserve"> (</w:t>
      </w:r>
      <w:r w:rsidRPr="003D76D3">
        <w:rPr>
          <w:rFonts w:cs="Arial"/>
        </w:rPr>
        <w:t>TCFD</w:t>
      </w:r>
      <w:r w:rsidR="002C57F5">
        <w:rPr>
          <w:rFonts w:cs="Arial"/>
        </w:rPr>
        <w:t>)</w:t>
      </w:r>
      <w:r w:rsidRPr="003D76D3">
        <w:rPr>
          <w:rFonts w:cs="Arial"/>
        </w:rPr>
        <w:t xml:space="preserve"> framework</w:t>
      </w:r>
      <w:r>
        <w:rPr>
          <w:rFonts w:cs="Arial"/>
        </w:rPr>
        <w:t xml:space="preserve">. </w:t>
      </w:r>
      <w:r w:rsidR="00573A73">
        <w:rPr>
          <w:rFonts w:cs="Arial"/>
        </w:rPr>
        <w:t>However, CARB should allow companies flexibility in how they disclose their climate risks in the biennial climate-related financial risk report.</w:t>
      </w:r>
    </w:p>
    <w:p w14:paraId="3887904F" w14:textId="54CAE4B0" w:rsidR="0087182E" w:rsidRDefault="0087182E" w:rsidP="0087182E">
      <w:pPr>
        <w:spacing w:after="240"/>
        <w:ind w:left="-180"/>
        <w:rPr>
          <w:rFonts w:cs="Arial"/>
          <w:szCs w:val="22"/>
        </w:rPr>
      </w:pPr>
      <w:r w:rsidRPr="003D76D3">
        <w:rPr>
          <w:rFonts w:cs="Arial"/>
        </w:rPr>
        <w:t>Th</w:t>
      </w:r>
      <w:r w:rsidR="00573A73">
        <w:rPr>
          <w:rFonts w:cs="Arial"/>
        </w:rPr>
        <w:t xml:space="preserve">e EEI ESG template described above </w:t>
      </w:r>
      <w:r w:rsidRPr="003D76D3">
        <w:rPr>
          <w:rFonts w:cs="Arial"/>
        </w:rPr>
        <w:t xml:space="preserve">provides a standardized way for members to report generation and emissions information </w:t>
      </w:r>
      <w:r w:rsidR="002323F0">
        <w:rPr>
          <w:rFonts w:cs="Arial"/>
        </w:rPr>
        <w:t xml:space="preserve">material to the utility industry </w:t>
      </w:r>
      <w:r w:rsidRPr="003D76D3">
        <w:rPr>
          <w:rFonts w:cs="Arial"/>
        </w:rPr>
        <w:t xml:space="preserve">and </w:t>
      </w:r>
      <w:r>
        <w:rPr>
          <w:rFonts w:cs="Arial"/>
        </w:rPr>
        <w:t xml:space="preserve">to </w:t>
      </w:r>
      <w:r w:rsidRPr="003D76D3">
        <w:rPr>
          <w:rFonts w:cs="Arial"/>
        </w:rPr>
        <w:t xml:space="preserve">describe their </w:t>
      </w:r>
      <w:r>
        <w:rPr>
          <w:rFonts w:cs="Arial"/>
        </w:rPr>
        <w:t>emissions</w:t>
      </w:r>
      <w:r w:rsidRPr="003D76D3">
        <w:rPr>
          <w:rFonts w:cs="Arial"/>
        </w:rPr>
        <w:t xml:space="preserve"> reduction goals and strategies. Investors and other stakeholders, </w:t>
      </w:r>
      <w:r>
        <w:rPr>
          <w:rFonts w:cs="Arial"/>
        </w:rPr>
        <w:t>including</w:t>
      </w:r>
      <w:r w:rsidRPr="003D76D3">
        <w:rPr>
          <w:rFonts w:cs="Arial"/>
        </w:rPr>
        <w:t xml:space="preserve"> </w:t>
      </w:r>
      <w:r>
        <w:rPr>
          <w:rFonts w:cs="Arial"/>
        </w:rPr>
        <w:t>TCFD,</w:t>
      </w:r>
      <w:r w:rsidRPr="003D76D3">
        <w:rPr>
          <w:rFonts w:cs="Arial"/>
        </w:rPr>
        <w:t xml:space="preserve"> have </w:t>
      </w:r>
      <w:r w:rsidR="00816BCA">
        <w:rPr>
          <w:rFonts w:cs="Arial"/>
        </w:rPr>
        <w:t>acclaimed</w:t>
      </w:r>
      <w:r w:rsidRPr="003D76D3">
        <w:rPr>
          <w:rFonts w:cs="Arial"/>
        </w:rPr>
        <w:t xml:space="preserve"> the template as an example of how to translate TCFD guidance into a practical</w:t>
      </w:r>
      <w:r w:rsidR="00BD44D7">
        <w:rPr>
          <w:rFonts w:cs="Arial"/>
        </w:rPr>
        <w:t xml:space="preserve"> sustainability and climate-related</w:t>
      </w:r>
      <w:r w:rsidRPr="003D76D3">
        <w:rPr>
          <w:rFonts w:cs="Arial"/>
        </w:rPr>
        <w:t xml:space="preserve"> report that provides the information investors need to assess climate risk in their investment decision</w:t>
      </w:r>
      <w:r>
        <w:rPr>
          <w:rFonts w:cs="Arial"/>
        </w:rPr>
        <w:t>s</w:t>
      </w:r>
      <w:r w:rsidRPr="003D76D3">
        <w:rPr>
          <w:rFonts w:cs="Arial"/>
        </w:rPr>
        <w:t>.</w:t>
      </w:r>
    </w:p>
    <w:p w14:paraId="0BEAFB44" w14:textId="2FD2FB50" w:rsidR="003D76D3" w:rsidRDefault="00B901AE" w:rsidP="00B901AE">
      <w:pPr>
        <w:spacing w:after="240"/>
        <w:ind w:left="-180"/>
        <w:rPr>
          <w:rFonts w:cs="Arial"/>
        </w:rPr>
      </w:pPr>
      <w:r w:rsidRPr="003D76D3">
        <w:rPr>
          <w:rFonts w:cs="Arial"/>
        </w:rPr>
        <w:t xml:space="preserve">TCFD was fully incorporated into the </w:t>
      </w:r>
      <w:r>
        <w:rPr>
          <w:rFonts w:cs="Arial"/>
        </w:rPr>
        <w:t>International Sustainability Standards Board (</w:t>
      </w:r>
      <w:r w:rsidRPr="003D76D3">
        <w:rPr>
          <w:rFonts w:cs="Arial"/>
        </w:rPr>
        <w:t>ISSB</w:t>
      </w:r>
      <w:r>
        <w:rPr>
          <w:rFonts w:cs="Arial"/>
        </w:rPr>
        <w:t>)</w:t>
      </w:r>
      <w:r w:rsidRPr="003D76D3">
        <w:rPr>
          <w:rFonts w:cs="Arial"/>
        </w:rPr>
        <w:t xml:space="preserve"> Standards in July 2023 and </w:t>
      </w:r>
      <w:r>
        <w:rPr>
          <w:rFonts w:cs="Arial"/>
        </w:rPr>
        <w:t xml:space="preserve">was </w:t>
      </w:r>
      <w:r w:rsidRPr="003D76D3">
        <w:rPr>
          <w:rFonts w:cs="Arial"/>
        </w:rPr>
        <w:t>subsequently disbanded in October 2023.</w:t>
      </w:r>
      <w:r w:rsidRPr="00A822B4">
        <w:rPr>
          <w:rStyle w:val="FootnoteReference"/>
          <w:rFonts w:cs="Arial"/>
        </w:rPr>
        <w:footnoteReference w:id="21"/>
      </w:r>
      <w:r w:rsidRPr="003D76D3">
        <w:rPr>
          <w:rFonts w:cs="Arial"/>
        </w:rPr>
        <w:t xml:space="preserve"> While the electric power industry supports the use of </w:t>
      </w:r>
      <w:r w:rsidR="002323F0">
        <w:rPr>
          <w:rFonts w:cs="Arial"/>
        </w:rPr>
        <w:t xml:space="preserve">the </w:t>
      </w:r>
      <w:r w:rsidRPr="003D76D3">
        <w:rPr>
          <w:rFonts w:cs="Arial"/>
        </w:rPr>
        <w:t>TCFD framework in reporting climate-related risks, the rules for SB 261 should not be merely relegated to the ISSB but instead should provide a flexible foundational framework based on the original TCFD principles.</w:t>
      </w:r>
      <w:r w:rsidR="00CC4950">
        <w:rPr>
          <w:rFonts w:cs="Arial"/>
        </w:rPr>
        <w:t xml:space="preserve"> </w:t>
      </w:r>
      <w:r w:rsidR="00BF338E">
        <w:rPr>
          <w:rFonts w:cs="Arial"/>
        </w:rPr>
        <w:t xml:space="preserve">This would ensure that </w:t>
      </w:r>
      <w:r w:rsidR="00F57E1E">
        <w:rPr>
          <w:rFonts w:cs="Arial"/>
        </w:rPr>
        <w:t xml:space="preserve">any changes in compliance </w:t>
      </w:r>
      <w:r w:rsidR="00E670A7">
        <w:rPr>
          <w:rFonts w:cs="Arial"/>
        </w:rPr>
        <w:t xml:space="preserve">would be </w:t>
      </w:r>
      <w:r w:rsidR="00541426">
        <w:rPr>
          <w:rFonts w:cs="Arial"/>
        </w:rPr>
        <w:t xml:space="preserve">subject to the </w:t>
      </w:r>
      <w:r w:rsidR="00541426" w:rsidRPr="00541426">
        <w:rPr>
          <w:rFonts w:cs="Arial"/>
        </w:rPr>
        <w:t>mandated notice and comment period</w:t>
      </w:r>
      <w:r w:rsidR="004957D2">
        <w:rPr>
          <w:rFonts w:cs="Arial"/>
        </w:rPr>
        <w:t>.</w:t>
      </w:r>
      <w:r w:rsidR="00541426">
        <w:rPr>
          <w:rFonts w:cs="Arial"/>
        </w:rPr>
        <w:t xml:space="preserve"> </w:t>
      </w:r>
      <w:r w:rsidR="00792B60">
        <w:rPr>
          <w:rFonts w:cs="Arial"/>
        </w:rPr>
        <w:t>R</w:t>
      </w:r>
      <w:r w:rsidR="00792B60" w:rsidRPr="00D3340B">
        <w:rPr>
          <w:rFonts w:cs="Arial"/>
        </w:rPr>
        <w:t xml:space="preserve">elegating the rules </w:t>
      </w:r>
      <w:r w:rsidR="00792B60">
        <w:rPr>
          <w:rFonts w:cs="Arial"/>
        </w:rPr>
        <w:t xml:space="preserve">exclusively </w:t>
      </w:r>
      <w:r w:rsidR="00792B60" w:rsidRPr="00D3340B">
        <w:rPr>
          <w:rFonts w:cs="Arial"/>
        </w:rPr>
        <w:t xml:space="preserve">to ISSB </w:t>
      </w:r>
      <w:r w:rsidR="00792B60">
        <w:rPr>
          <w:rFonts w:cs="Arial"/>
        </w:rPr>
        <w:t xml:space="preserve">could subject reporting entities to </w:t>
      </w:r>
      <w:r w:rsidR="00792B60" w:rsidRPr="00D3340B">
        <w:rPr>
          <w:rFonts w:cs="Arial"/>
        </w:rPr>
        <w:t>the new requirements regardless of practicality and materiality and without a mandated notice and comment period.</w:t>
      </w:r>
      <w:r w:rsidR="00792B60" w:rsidRPr="00792B60">
        <w:rPr>
          <w:rFonts w:cs="Arial"/>
        </w:rPr>
        <w:t xml:space="preserve"> </w:t>
      </w:r>
      <w:r w:rsidR="00792B60" w:rsidRPr="00D3340B">
        <w:rPr>
          <w:rFonts w:cs="Arial"/>
        </w:rPr>
        <w:t>This could lead to undue cost burdens and increased liability</w:t>
      </w:r>
      <w:r w:rsidR="00792B60">
        <w:rPr>
          <w:rFonts w:cs="Arial"/>
        </w:rPr>
        <w:t xml:space="preserve"> exposure.</w:t>
      </w:r>
    </w:p>
    <w:p w14:paraId="4647E29E" w14:textId="77777777" w:rsidR="003D6E07" w:rsidRDefault="003D6E07" w:rsidP="00B901AE">
      <w:pPr>
        <w:spacing w:after="240"/>
        <w:ind w:left="-180"/>
        <w:rPr>
          <w:rFonts w:cs="Arial"/>
          <w:szCs w:val="22"/>
        </w:rPr>
      </w:pPr>
    </w:p>
    <w:p w14:paraId="05044FEE" w14:textId="3357C583" w:rsidR="005E0B4C" w:rsidRPr="000E743C" w:rsidRDefault="005E0B4C" w:rsidP="00001C09">
      <w:pPr>
        <w:pStyle w:val="Heading1"/>
        <w:numPr>
          <w:ilvl w:val="0"/>
          <w:numId w:val="16"/>
        </w:numPr>
        <w:tabs>
          <w:tab w:val="left" w:pos="5955"/>
        </w:tabs>
        <w:rPr>
          <w:u w:val="none"/>
        </w:rPr>
      </w:pPr>
      <w:r w:rsidRPr="000E743C">
        <w:rPr>
          <w:u w:val="none"/>
        </w:rPr>
        <w:lastRenderedPageBreak/>
        <w:t>Other Considerations</w:t>
      </w:r>
    </w:p>
    <w:p w14:paraId="37824D2A" w14:textId="7D59896C" w:rsidR="005E0B4C" w:rsidRPr="002D3D87" w:rsidRDefault="005E0B4C" w:rsidP="002D3D87">
      <w:pPr>
        <w:spacing w:after="240"/>
        <w:ind w:left="-180"/>
        <w:rPr>
          <w:rFonts w:cs="Arial"/>
        </w:rPr>
      </w:pPr>
      <w:r w:rsidRPr="002D3D87">
        <w:rPr>
          <w:rFonts w:cs="Arial"/>
        </w:rPr>
        <w:t xml:space="preserve">CARB should exclude the assurance requirement where data has already been verified </w:t>
      </w:r>
      <w:r w:rsidR="00197D7C">
        <w:rPr>
          <w:rFonts w:cs="Arial"/>
        </w:rPr>
        <w:t xml:space="preserve">through </w:t>
      </w:r>
      <w:r w:rsidRPr="002D3D87">
        <w:rPr>
          <w:rFonts w:cs="Arial"/>
        </w:rPr>
        <w:t>compli</w:t>
      </w:r>
      <w:r w:rsidR="00197D7C">
        <w:rPr>
          <w:rFonts w:cs="Arial"/>
        </w:rPr>
        <w:t>a</w:t>
      </w:r>
      <w:r w:rsidRPr="002D3D87">
        <w:rPr>
          <w:rFonts w:cs="Arial"/>
        </w:rPr>
        <w:t>n</w:t>
      </w:r>
      <w:r w:rsidR="00197D7C">
        <w:rPr>
          <w:rFonts w:cs="Arial"/>
        </w:rPr>
        <w:t>ce</w:t>
      </w:r>
      <w:r w:rsidRPr="002D3D87">
        <w:rPr>
          <w:rFonts w:cs="Arial"/>
        </w:rPr>
        <w:t xml:space="preserve"> with other frameworks and programs, </w:t>
      </w:r>
      <w:r w:rsidR="004B4E52">
        <w:rPr>
          <w:rFonts w:cs="Arial"/>
        </w:rPr>
        <w:t xml:space="preserve">such as the EPA GHG Reporting Program or The Climate Registry. This </w:t>
      </w:r>
      <w:r w:rsidRPr="002D3D87">
        <w:rPr>
          <w:rFonts w:cs="Arial"/>
        </w:rPr>
        <w:t>will significantly reduce compliance costs.</w:t>
      </w:r>
      <w:r w:rsidR="00AA43D6" w:rsidRPr="00AA43D6">
        <w:rPr>
          <w:rFonts w:eastAsia="Arial" w:cs="Arial"/>
        </w:rPr>
        <w:t xml:space="preserve"> </w:t>
      </w:r>
      <w:r w:rsidR="00AA43D6" w:rsidRPr="62CB698C">
        <w:rPr>
          <w:rFonts w:eastAsia="Arial" w:cs="Arial"/>
        </w:rPr>
        <w:t>The “reasonable assurance” standard is appropriate for Scope 1 and 2 emissions.  However, “limited assurance” standard is more appropriate for Scope 3 emissions, because reporters have no control over the source of these emissions, have limited capability to verify the methodologies used by others to calculate the emissions provided to them, and may need to rely on inaccurate or incomplete data to calculate certain Scope 3 emission categories.</w:t>
      </w:r>
    </w:p>
    <w:p w14:paraId="3573D181" w14:textId="579512F2" w:rsidR="00F35F6D" w:rsidRPr="002D3D87" w:rsidRDefault="005E0B4C" w:rsidP="002D3D87">
      <w:pPr>
        <w:spacing w:after="240"/>
        <w:ind w:left="-180"/>
        <w:rPr>
          <w:rFonts w:cs="Arial"/>
        </w:rPr>
        <w:sectPr w:rsidR="00F35F6D" w:rsidRPr="002D3D87" w:rsidSect="00806285">
          <w:headerReference w:type="first" r:id="rId14"/>
          <w:type w:val="continuous"/>
          <w:pgSz w:w="12240" w:h="15840"/>
          <w:pgMar w:top="1440" w:right="1800" w:bottom="1440" w:left="1800" w:header="720" w:footer="720" w:gutter="0"/>
          <w:cols w:space="720"/>
          <w:titlePg/>
          <w:docGrid w:linePitch="360"/>
        </w:sectPr>
      </w:pPr>
      <w:r w:rsidRPr="002D3D87">
        <w:rPr>
          <w:rFonts w:cs="Arial"/>
        </w:rPr>
        <w:t xml:space="preserve">The rulemaking timeline provided in the legislation is not enough time for CARB to develop a durable rule that is appropriate, </w:t>
      </w:r>
      <w:r w:rsidR="006C56F3">
        <w:rPr>
          <w:rFonts w:cs="Arial"/>
        </w:rPr>
        <w:t xml:space="preserve">reasonable, </w:t>
      </w:r>
      <w:r w:rsidRPr="002D3D87">
        <w:rPr>
          <w:rFonts w:cs="Arial"/>
        </w:rPr>
        <w:t xml:space="preserve">effective, and satisfies the legislative intent. CARB should seek legislative authority to extend the rulemaking period beyond the </w:t>
      </w:r>
      <w:r w:rsidR="006C56F3">
        <w:rPr>
          <w:rFonts w:cs="Arial"/>
        </w:rPr>
        <w:t xml:space="preserve">current July 1, </w:t>
      </w:r>
      <w:r w:rsidR="002E35E1">
        <w:rPr>
          <w:rFonts w:cs="Arial"/>
        </w:rPr>
        <w:t>2025,</w:t>
      </w:r>
      <w:r w:rsidR="006C56F3">
        <w:rPr>
          <w:rFonts w:cs="Arial"/>
        </w:rPr>
        <w:t xml:space="preserve"> deadline</w:t>
      </w:r>
      <w:r w:rsidRPr="002D3D87">
        <w:rPr>
          <w:rFonts w:cs="Arial"/>
        </w:rPr>
        <w:t>.</w:t>
      </w:r>
    </w:p>
    <w:p w14:paraId="22BD844D" w14:textId="26791A85" w:rsidR="00D90FEE" w:rsidRPr="00A004E3" w:rsidRDefault="00D90FEE" w:rsidP="00BC719C">
      <w:pPr>
        <w:pStyle w:val="Heading1"/>
        <w:rPr>
          <w:u w:val="none"/>
        </w:rPr>
      </w:pPr>
      <w:r w:rsidRPr="00A004E3">
        <w:rPr>
          <w:u w:val="none"/>
        </w:rPr>
        <w:t>Conclusion</w:t>
      </w:r>
    </w:p>
    <w:p w14:paraId="1F6B9ADC" w14:textId="4B35F907" w:rsidR="00F86E48" w:rsidRPr="00A822B4" w:rsidRDefault="00DB16B5" w:rsidP="00F86E48">
      <w:pPr>
        <w:spacing w:after="240"/>
        <w:ind w:left="-180"/>
        <w:rPr>
          <w:rFonts w:cs="Arial"/>
        </w:rPr>
      </w:pPr>
      <w:r>
        <w:rPr>
          <w:rFonts w:cs="Arial"/>
        </w:rPr>
        <w:t xml:space="preserve">EEI understands </w:t>
      </w:r>
      <w:r w:rsidR="00F86E48" w:rsidRPr="00A822B4">
        <w:rPr>
          <w:rFonts w:cs="Arial"/>
        </w:rPr>
        <w:t>California</w:t>
      </w:r>
      <w:r>
        <w:rPr>
          <w:rFonts w:cs="Arial"/>
        </w:rPr>
        <w:t>’s drive</w:t>
      </w:r>
      <w:r w:rsidR="00F86E48" w:rsidRPr="00A822B4">
        <w:rPr>
          <w:rFonts w:cs="Arial"/>
        </w:rPr>
        <w:t xml:space="preserve"> to enhance climate-related disclosure and </w:t>
      </w:r>
      <w:r>
        <w:rPr>
          <w:rFonts w:cs="Arial"/>
        </w:rPr>
        <w:t xml:space="preserve">appreciates its efforts to </w:t>
      </w:r>
      <w:r w:rsidR="00F86E48" w:rsidRPr="00A822B4">
        <w:rPr>
          <w:rFonts w:cs="Arial"/>
        </w:rPr>
        <w:t xml:space="preserve">solicit input from stakeholders on a range of key issues as it develops climate disclosure requirements. EEI </w:t>
      </w:r>
      <w:r>
        <w:rPr>
          <w:rFonts w:cs="Arial"/>
        </w:rPr>
        <w:t xml:space="preserve">also </w:t>
      </w:r>
      <w:r w:rsidR="00F86E48" w:rsidRPr="00A822B4">
        <w:rPr>
          <w:rFonts w:cs="Arial"/>
        </w:rPr>
        <w:t xml:space="preserve">appreciates the opportunity to provide constructive feedback and offers the recommendations above </w:t>
      </w:r>
      <w:r w:rsidR="006C56F3">
        <w:rPr>
          <w:rFonts w:cs="Arial"/>
        </w:rPr>
        <w:t>as</w:t>
      </w:r>
      <w:r w:rsidR="00F86E48" w:rsidRPr="00A822B4">
        <w:rPr>
          <w:rFonts w:cs="Arial"/>
        </w:rPr>
        <w:t xml:space="preserve"> CARB </w:t>
      </w:r>
      <w:r w:rsidR="006C56F3">
        <w:rPr>
          <w:rFonts w:cs="Arial"/>
        </w:rPr>
        <w:t xml:space="preserve">works to </w:t>
      </w:r>
      <w:r w:rsidR="00F86E48" w:rsidRPr="00A822B4">
        <w:rPr>
          <w:rFonts w:cs="Arial"/>
        </w:rPr>
        <w:t>develop durable rule</w:t>
      </w:r>
      <w:r w:rsidR="006C56F3">
        <w:rPr>
          <w:rFonts w:cs="Arial"/>
        </w:rPr>
        <w:t>s</w:t>
      </w:r>
      <w:r w:rsidR="00F86E48" w:rsidRPr="00A822B4">
        <w:rPr>
          <w:rFonts w:cs="Arial"/>
        </w:rPr>
        <w:t xml:space="preserve"> that provide useful, accurate, and concise reporting. These recommendations include providing a clear and concise definition for “doing business in California” instead of relying on </w:t>
      </w:r>
      <w:r w:rsidR="003D6E07">
        <w:rPr>
          <w:rFonts w:cs="Arial"/>
        </w:rPr>
        <w:t xml:space="preserve">an </w:t>
      </w:r>
      <w:r w:rsidR="00F86E48" w:rsidRPr="00A822B4">
        <w:rPr>
          <w:rFonts w:cs="Arial"/>
        </w:rPr>
        <w:t xml:space="preserve">existing tax code not </w:t>
      </w:r>
      <w:r w:rsidR="00272648">
        <w:rPr>
          <w:rFonts w:cs="Arial"/>
        </w:rPr>
        <w:t xml:space="preserve">enacted for </w:t>
      </w:r>
      <w:r w:rsidR="00F86E48" w:rsidRPr="00A822B4">
        <w:rPr>
          <w:rFonts w:cs="Arial"/>
        </w:rPr>
        <w:t>purpose</w:t>
      </w:r>
      <w:r w:rsidR="00272648">
        <w:rPr>
          <w:rFonts w:cs="Arial"/>
        </w:rPr>
        <w:t>s of</w:t>
      </w:r>
      <w:r w:rsidR="00F86E48" w:rsidRPr="00A822B4">
        <w:rPr>
          <w:rFonts w:cs="Arial"/>
        </w:rPr>
        <w:t xml:space="preserve"> this rule. CARB should also consider the reporting deadlines for both SB 253 and 261 and be mindful of the competing mandatory </w:t>
      </w:r>
      <w:r w:rsidR="006C56F3">
        <w:rPr>
          <w:rFonts w:cs="Arial"/>
        </w:rPr>
        <w:t xml:space="preserve">and voluntary </w:t>
      </w:r>
      <w:r w:rsidR="00EF342A">
        <w:rPr>
          <w:rFonts w:cs="Arial"/>
        </w:rPr>
        <w:t xml:space="preserve">federal and state </w:t>
      </w:r>
      <w:r w:rsidR="00F86E48" w:rsidRPr="00A822B4">
        <w:rPr>
          <w:rFonts w:cs="Arial"/>
        </w:rPr>
        <w:t xml:space="preserve">disclosure requirements that already exist. CARB must also provide </w:t>
      </w:r>
      <w:r w:rsidR="009B2065">
        <w:rPr>
          <w:rFonts w:cs="Arial"/>
        </w:rPr>
        <w:t xml:space="preserve">flexibility in the standards used to calculate Scope 1, Scope 2 and Scope 3 emissions. CARB also needs to provide </w:t>
      </w:r>
      <w:r w:rsidR="00F86E48" w:rsidRPr="00A822B4">
        <w:rPr>
          <w:rFonts w:cs="Arial"/>
        </w:rPr>
        <w:t xml:space="preserve">clearer guidance on </w:t>
      </w:r>
      <w:r w:rsidR="006F5CC2">
        <w:rPr>
          <w:rFonts w:cs="Arial"/>
        </w:rPr>
        <w:t>S</w:t>
      </w:r>
      <w:r w:rsidR="00F86E48" w:rsidRPr="00A822B4">
        <w:rPr>
          <w:rFonts w:cs="Arial"/>
        </w:rPr>
        <w:t xml:space="preserve">cope 2 and </w:t>
      </w:r>
      <w:r w:rsidR="006F5CC2">
        <w:rPr>
          <w:rFonts w:cs="Arial"/>
        </w:rPr>
        <w:t>S</w:t>
      </w:r>
      <w:r w:rsidR="00F86E48" w:rsidRPr="00A822B4">
        <w:rPr>
          <w:rFonts w:cs="Arial"/>
        </w:rPr>
        <w:t>cope 3 reporting</w:t>
      </w:r>
      <w:r w:rsidR="009B2065">
        <w:rPr>
          <w:rFonts w:cs="Arial"/>
        </w:rPr>
        <w:t xml:space="preserve"> (including</w:t>
      </w:r>
      <w:r w:rsidR="009B2065" w:rsidRPr="009B2065">
        <w:rPr>
          <w:rFonts w:cs="Arial"/>
        </w:rPr>
        <w:t xml:space="preserve"> </w:t>
      </w:r>
      <w:r w:rsidR="009B2065">
        <w:rPr>
          <w:rFonts w:cs="Arial"/>
        </w:rPr>
        <w:t>materiality)</w:t>
      </w:r>
      <w:r w:rsidR="00F86E48" w:rsidRPr="00A822B4">
        <w:rPr>
          <w:rFonts w:cs="Arial"/>
        </w:rPr>
        <w:t xml:space="preserve">, as well as on the many considerations that exist when relegating the reporting standard to an external entity. Lastly, </w:t>
      </w:r>
      <w:r>
        <w:rPr>
          <w:rFonts w:cs="Arial"/>
        </w:rPr>
        <w:t xml:space="preserve">EEI recommends that </w:t>
      </w:r>
      <w:r w:rsidR="00F86E48" w:rsidRPr="00A822B4">
        <w:rPr>
          <w:rFonts w:cs="Arial"/>
        </w:rPr>
        <w:t>CARB seek legislative authority for an extension of the rulemaking process</w:t>
      </w:r>
      <w:r w:rsidR="00F86E48">
        <w:rPr>
          <w:rFonts w:cs="Arial"/>
        </w:rPr>
        <w:t>,</w:t>
      </w:r>
      <w:r w:rsidR="00F86E48" w:rsidRPr="00A822B4">
        <w:rPr>
          <w:rFonts w:cs="Arial"/>
        </w:rPr>
        <w:t xml:space="preserve"> as the current timeline is too short to provide rules that are durable</w:t>
      </w:r>
      <w:r w:rsidR="00F86E48">
        <w:rPr>
          <w:rFonts w:cs="Arial"/>
        </w:rPr>
        <w:t xml:space="preserve"> and</w:t>
      </w:r>
      <w:r w:rsidR="00F86E48" w:rsidRPr="00A822B4">
        <w:rPr>
          <w:rFonts w:cs="Arial"/>
        </w:rPr>
        <w:t xml:space="preserve"> appropriate for the legislation’s intent and consider the many nuances of reporting emissions data.</w:t>
      </w:r>
    </w:p>
    <w:p w14:paraId="45792413" w14:textId="5A00D64B" w:rsidR="00E362EE" w:rsidRDefault="00F35F6D" w:rsidP="00AE356A">
      <w:pPr>
        <w:spacing w:after="240"/>
        <w:ind w:left="-180"/>
        <w:rPr>
          <w:rFonts w:cs="Arial"/>
        </w:rPr>
      </w:pPr>
      <w:r w:rsidRPr="00A822B4">
        <w:rPr>
          <w:rFonts w:cs="Arial"/>
        </w:rPr>
        <w:t xml:space="preserve">With these improvements, the rule will better balance the burden it imposes with the benefits it provides </w:t>
      </w:r>
      <w:r w:rsidR="006C56F3">
        <w:rPr>
          <w:rFonts w:cs="Arial"/>
        </w:rPr>
        <w:t xml:space="preserve">to California </w:t>
      </w:r>
      <w:r w:rsidR="00402623" w:rsidRPr="00A822B4">
        <w:rPr>
          <w:rFonts w:cs="Arial"/>
        </w:rPr>
        <w:t>by</w:t>
      </w:r>
      <w:r w:rsidRPr="00A822B4">
        <w:rPr>
          <w:rFonts w:cs="Arial"/>
        </w:rPr>
        <w:t xml:space="preserve"> giving investors, consumers, and the public more reliable, comparable, and useful information for making informed decisions.</w:t>
      </w:r>
      <w:r w:rsidR="00E362EE">
        <w:rPr>
          <w:rFonts w:cs="Arial"/>
        </w:rPr>
        <w:t xml:space="preserve"> Potentially affected businesses need clear direction on applicability, requirements, costs, and timelines for completing the new disclosure requirements. Providing certainty and clarity in the form of brightline exclusions, definitions and off-ramps will help to narrow the focus to those businesses whose operations are most applicable. </w:t>
      </w:r>
    </w:p>
    <w:p w14:paraId="0941F2B2" w14:textId="54D68A01" w:rsidR="00AE356A" w:rsidRDefault="00AE356A" w:rsidP="00AE356A">
      <w:pPr>
        <w:spacing w:after="240"/>
        <w:ind w:left="-180"/>
        <w:rPr>
          <w:rFonts w:eastAsia="Arial"/>
          <w:szCs w:val="22"/>
        </w:rPr>
      </w:pPr>
      <w:r w:rsidRPr="00A822B4">
        <w:rPr>
          <w:rFonts w:cs="Arial"/>
        </w:rPr>
        <w:t>EEI would be happy to discuss any questions about our recommendations at CARB</w:t>
      </w:r>
      <w:r>
        <w:rPr>
          <w:rFonts w:cs="Arial"/>
        </w:rPr>
        <w:t>’</w:t>
      </w:r>
      <w:r w:rsidRPr="00A822B4">
        <w:rPr>
          <w:rFonts w:cs="Arial"/>
        </w:rPr>
        <w:t xml:space="preserve">s convenience. </w:t>
      </w:r>
    </w:p>
    <w:p w14:paraId="2108E3DC" w14:textId="7E4FDF1F" w:rsidR="00197D7C" w:rsidRPr="00A822B4" w:rsidRDefault="00C424A4" w:rsidP="002D3D87">
      <w:pPr>
        <w:spacing w:after="240"/>
        <w:ind w:left="-180"/>
        <w:rPr>
          <w:rFonts w:eastAsia="Arial"/>
          <w:szCs w:val="22"/>
        </w:rPr>
      </w:pPr>
      <w:r w:rsidRPr="002D3D87">
        <w:rPr>
          <w:rFonts w:cs="Arial"/>
        </w:rPr>
        <w:lastRenderedPageBreak/>
        <w:t xml:space="preserve">Thank you for the opportunity to provide comments on the questions that you raised, and we look forward to </w:t>
      </w:r>
      <w:r w:rsidR="006C56F3">
        <w:rPr>
          <w:rFonts w:cs="Arial"/>
        </w:rPr>
        <w:t>continuing to provide feedback to</w:t>
      </w:r>
      <w:r w:rsidRPr="002D3D87">
        <w:rPr>
          <w:rFonts w:cs="Arial"/>
        </w:rPr>
        <w:t xml:space="preserve"> </w:t>
      </w:r>
      <w:r w:rsidR="001F561A">
        <w:rPr>
          <w:rFonts w:cs="Arial"/>
        </w:rPr>
        <w:t>CARB</w:t>
      </w:r>
      <w:r w:rsidRPr="002D3D87">
        <w:rPr>
          <w:rFonts w:cs="Arial"/>
        </w:rPr>
        <w:t xml:space="preserve"> as it </w:t>
      </w:r>
      <w:r w:rsidR="006C56F3">
        <w:rPr>
          <w:rFonts w:cs="Arial"/>
        </w:rPr>
        <w:t>works to develop these rules</w:t>
      </w:r>
      <w:r w:rsidRPr="002D3D87">
        <w:rPr>
          <w:rFonts w:cs="Arial"/>
        </w:rPr>
        <w:t>.</w:t>
      </w:r>
    </w:p>
    <w:p w14:paraId="6B034FA2" w14:textId="5AC15C9E" w:rsidR="00465E80" w:rsidRDefault="00814554" w:rsidP="006C6699">
      <w:pPr>
        <w:spacing w:after="240"/>
        <w:ind w:left="-180"/>
        <w:rPr>
          <w:rFonts w:cs="Arial"/>
        </w:rPr>
      </w:pPr>
      <w:r w:rsidRPr="00D852A5">
        <w:rPr>
          <w:rFonts w:cs="Arial"/>
        </w:rPr>
        <w:t>Respectfully Submitted,</w:t>
      </w:r>
    </w:p>
    <w:p w14:paraId="71363B6B" w14:textId="67864B08" w:rsidR="00814554" w:rsidRDefault="001D1636" w:rsidP="00DB7B6F">
      <w:pPr>
        <w:ind w:left="-180"/>
        <w:rPr>
          <w:rFonts w:eastAsia="Arial" w:cs="Arial"/>
          <w:szCs w:val="22"/>
        </w:rPr>
      </w:pPr>
      <w:r>
        <w:rPr>
          <w:rFonts w:eastAsia="Arial" w:cs="Arial"/>
          <w:szCs w:val="22"/>
        </w:rPr>
        <w:t>/s/</w:t>
      </w:r>
    </w:p>
    <w:p w14:paraId="32B659B9" w14:textId="77777777" w:rsidR="001D1636" w:rsidRDefault="001D1636" w:rsidP="00DB7B6F">
      <w:pPr>
        <w:ind w:left="-180"/>
        <w:rPr>
          <w:rFonts w:eastAsia="Arial" w:cs="Arial"/>
          <w:szCs w:val="22"/>
        </w:rPr>
      </w:pPr>
    </w:p>
    <w:p w14:paraId="54C719D1" w14:textId="4DC669F9" w:rsidR="001D1636" w:rsidRDefault="001D1636" w:rsidP="00DB7B6F">
      <w:pPr>
        <w:ind w:left="-180"/>
        <w:rPr>
          <w:rFonts w:eastAsia="Arial" w:cs="Arial"/>
          <w:szCs w:val="22"/>
        </w:rPr>
      </w:pPr>
      <w:r>
        <w:rPr>
          <w:rFonts w:eastAsia="Arial" w:cs="Arial"/>
          <w:szCs w:val="22"/>
        </w:rPr>
        <w:t>Alex Bond</w:t>
      </w:r>
    </w:p>
    <w:p w14:paraId="52A13F5B" w14:textId="5F88BD88" w:rsidR="001D1636" w:rsidRDefault="001D1636" w:rsidP="00DB7B6F">
      <w:pPr>
        <w:ind w:left="-180"/>
        <w:rPr>
          <w:rFonts w:eastAsia="Arial" w:cs="Arial"/>
          <w:szCs w:val="22"/>
        </w:rPr>
      </w:pPr>
      <w:r>
        <w:rPr>
          <w:rFonts w:eastAsia="Arial" w:cs="Arial"/>
          <w:szCs w:val="22"/>
        </w:rPr>
        <w:t xml:space="preserve">Executive Director, </w:t>
      </w:r>
      <w:r w:rsidR="007C644E">
        <w:rPr>
          <w:rFonts w:eastAsia="Arial" w:cs="Arial"/>
          <w:szCs w:val="22"/>
        </w:rPr>
        <w:t xml:space="preserve">Legal and </w:t>
      </w:r>
      <w:r>
        <w:rPr>
          <w:rFonts w:eastAsia="Arial" w:cs="Arial"/>
          <w:szCs w:val="22"/>
        </w:rPr>
        <w:t xml:space="preserve">Clean Energy </w:t>
      </w:r>
      <w:r w:rsidR="007C644E">
        <w:rPr>
          <w:rFonts w:eastAsia="Arial" w:cs="Arial"/>
          <w:szCs w:val="22"/>
        </w:rPr>
        <w:t>Policy</w:t>
      </w:r>
    </w:p>
    <w:p w14:paraId="0380DFC4" w14:textId="1CCFD5E0" w:rsidR="001D1636" w:rsidRDefault="001D1636" w:rsidP="00DB7B6F">
      <w:pPr>
        <w:ind w:left="-180"/>
        <w:rPr>
          <w:rFonts w:eastAsia="Arial" w:cs="Arial"/>
          <w:szCs w:val="22"/>
        </w:rPr>
      </w:pPr>
      <w:r>
        <w:rPr>
          <w:rFonts w:eastAsia="Arial" w:cs="Arial"/>
          <w:szCs w:val="22"/>
        </w:rPr>
        <w:t>Edison Electric Institute</w:t>
      </w:r>
    </w:p>
    <w:p w14:paraId="53A5EC50" w14:textId="77777777" w:rsidR="001D1636" w:rsidRDefault="001D1636" w:rsidP="00DB7B6F">
      <w:pPr>
        <w:ind w:left="-180"/>
        <w:rPr>
          <w:rFonts w:eastAsia="Arial" w:cs="Arial"/>
          <w:szCs w:val="22"/>
        </w:rPr>
      </w:pPr>
    </w:p>
    <w:p w14:paraId="11073274" w14:textId="77777777" w:rsidR="001D1636" w:rsidRPr="00A822B4" w:rsidRDefault="001D1636" w:rsidP="00DB7B6F">
      <w:pPr>
        <w:ind w:left="-180"/>
        <w:rPr>
          <w:rFonts w:eastAsia="Arial" w:cs="Arial"/>
          <w:szCs w:val="22"/>
        </w:rPr>
      </w:pPr>
    </w:p>
    <w:sectPr w:rsidR="001D1636" w:rsidRPr="00A822B4" w:rsidSect="00F773EC">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5C42B" w14:textId="77777777" w:rsidR="00C57827" w:rsidRDefault="00C57827" w:rsidP="00275A74">
      <w:r>
        <w:separator/>
      </w:r>
    </w:p>
  </w:endnote>
  <w:endnote w:type="continuationSeparator" w:id="0">
    <w:p w14:paraId="39A66EA9" w14:textId="77777777" w:rsidR="00C57827" w:rsidRDefault="00C57827" w:rsidP="0027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C982B" w14:textId="77777777" w:rsidR="00C57827" w:rsidRDefault="00C57827" w:rsidP="00275A74">
      <w:r>
        <w:separator/>
      </w:r>
    </w:p>
  </w:footnote>
  <w:footnote w:type="continuationSeparator" w:id="0">
    <w:p w14:paraId="3DCF6751" w14:textId="77777777" w:rsidR="00C57827" w:rsidRDefault="00C57827" w:rsidP="00275A74">
      <w:r>
        <w:continuationSeparator/>
      </w:r>
    </w:p>
  </w:footnote>
  <w:footnote w:id="1">
    <w:p w14:paraId="18A9DB7B" w14:textId="77777777" w:rsidR="00B81DC2" w:rsidRDefault="00B81DC2" w:rsidP="00B81DC2">
      <w:pPr>
        <w:pStyle w:val="FootnoteText"/>
      </w:pPr>
      <w:r>
        <w:rPr>
          <w:rStyle w:val="FootnoteReference"/>
        </w:rPr>
        <w:footnoteRef/>
      </w:r>
      <w:r>
        <w:t xml:space="preserve"> </w:t>
      </w:r>
      <w:hyperlink r:id="rId1" w:history="1">
        <w:r w:rsidRPr="00C73FBD">
          <w:rPr>
            <w:rStyle w:val="Hyperlink"/>
            <w:rFonts w:cs="Arial"/>
            <w:szCs w:val="22"/>
          </w:rPr>
          <w:t>https://ww2.arb.ca.gov/sites/default/files/2025-01/ClimateDisclosureQs_Dec2024_v2.pdf</w:t>
        </w:r>
      </w:hyperlink>
      <w:r>
        <w:rPr>
          <w:rFonts w:cs="Arial"/>
          <w:szCs w:val="22"/>
        </w:rPr>
        <w:t xml:space="preserve"> </w:t>
      </w:r>
    </w:p>
  </w:footnote>
  <w:footnote w:id="2">
    <w:p w14:paraId="342A3291" w14:textId="77777777" w:rsidR="00573A73" w:rsidRDefault="00573A73" w:rsidP="00573A73">
      <w:pPr>
        <w:pStyle w:val="FootnoteText"/>
      </w:pPr>
      <w:r>
        <w:rPr>
          <w:rStyle w:val="FootnoteReference"/>
        </w:rPr>
        <w:footnoteRef/>
      </w:r>
      <w:r>
        <w:t xml:space="preserve"> See EEI ESG/Sustainability, </w:t>
      </w:r>
      <w:hyperlink r:id="rId2" w:history="1">
        <w:r w:rsidRPr="000C714F">
          <w:rPr>
            <w:rStyle w:val="Hyperlink"/>
          </w:rPr>
          <w:t>https://www.eei.org/issues-and-policy/esg-sustainability</w:t>
        </w:r>
      </w:hyperlink>
      <w:r>
        <w:t xml:space="preserve"> </w:t>
      </w:r>
    </w:p>
    <w:p w14:paraId="550C9BE2" w14:textId="77777777" w:rsidR="002B6407" w:rsidRDefault="002B6407" w:rsidP="00573A73">
      <w:pPr>
        <w:pStyle w:val="FootnoteText"/>
      </w:pPr>
    </w:p>
  </w:footnote>
  <w:footnote w:id="3">
    <w:p w14:paraId="51E2BC31" w14:textId="77777777" w:rsidR="00573A73" w:rsidRDefault="00573A73" w:rsidP="00573A73">
      <w:pPr>
        <w:pStyle w:val="FootnoteText"/>
      </w:pPr>
      <w:r>
        <w:rPr>
          <w:rStyle w:val="FootnoteReference"/>
        </w:rPr>
        <w:footnoteRef/>
      </w:r>
      <w:r>
        <w:t xml:space="preserve"> See </w:t>
      </w:r>
      <w:r w:rsidRPr="005E3EDC">
        <w:t>EEI 2018 white paper describing the initiative</w:t>
      </w:r>
      <w:r>
        <w:t xml:space="preserve">, </w:t>
      </w:r>
      <w:hyperlink r:id="rId3" w:history="1">
        <w:r w:rsidRPr="000C714F">
          <w:rPr>
            <w:rStyle w:val="Hyperlink"/>
          </w:rPr>
          <w:t>https://www.eei.org/-/media/Project/EEI/Documents/Issues-and-Policy/Finance-And-Tax/EEI-ESG-White-Paper.pdf?la=en&amp;hash=479E0EEA210720D15295607217FED498AD5A80F9</w:t>
        </w:r>
      </w:hyperlink>
      <w:r>
        <w:t xml:space="preserve"> </w:t>
      </w:r>
    </w:p>
  </w:footnote>
  <w:footnote w:id="4">
    <w:p w14:paraId="1134E54A" w14:textId="77777777" w:rsidR="002B6407" w:rsidRDefault="002B6407" w:rsidP="00573A73">
      <w:pPr>
        <w:pStyle w:val="FootnoteText"/>
      </w:pPr>
    </w:p>
    <w:p w14:paraId="025A83A3" w14:textId="6E8F797F" w:rsidR="00573A73" w:rsidRDefault="00573A73" w:rsidP="00573A73">
      <w:pPr>
        <w:pStyle w:val="FootnoteText"/>
      </w:pPr>
      <w:r>
        <w:rPr>
          <w:rStyle w:val="FootnoteReference"/>
        </w:rPr>
        <w:footnoteRef/>
      </w:r>
      <w:r>
        <w:t xml:space="preserve"> See </w:t>
      </w:r>
      <w:r w:rsidRPr="002C4932">
        <w:t>Introduction and qualitative section</w:t>
      </w:r>
      <w:r>
        <w:t xml:space="preserve">, </w:t>
      </w:r>
      <w:hyperlink r:id="rId4" w:history="1">
        <w:r w:rsidRPr="000C714F">
          <w:rPr>
            <w:rStyle w:val="Hyperlink"/>
          </w:rPr>
          <w:t>https://www.eei.org/-/media/Project/EEI/Documents/Issues-and-Policy/Finance-And-Tax/ESG_Template_Qualitative.pdf?la=en&amp;hash=0D1672286A23D6835AFA554C97BBB99A4477D69C</w:t>
        </w:r>
      </w:hyperlink>
      <w:r>
        <w:t xml:space="preserve"> </w:t>
      </w:r>
    </w:p>
  </w:footnote>
  <w:footnote w:id="5">
    <w:p w14:paraId="4D16303E" w14:textId="77777777" w:rsidR="002B6407" w:rsidRDefault="002B6407" w:rsidP="00573A73">
      <w:pPr>
        <w:pStyle w:val="FootnoteText"/>
      </w:pPr>
    </w:p>
    <w:p w14:paraId="6578C3E7" w14:textId="049E6F08" w:rsidR="00573A73" w:rsidRDefault="00573A73" w:rsidP="00573A73">
      <w:pPr>
        <w:pStyle w:val="FootnoteText"/>
      </w:pPr>
      <w:r>
        <w:rPr>
          <w:rStyle w:val="FootnoteReference"/>
        </w:rPr>
        <w:footnoteRef/>
      </w:r>
      <w:r>
        <w:t xml:space="preserve"> See </w:t>
      </w:r>
      <w:r w:rsidRPr="003E110A">
        <w:t>Quantitative metrics and definitions</w:t>
      </w:r>
      <w:r>
        <w:t xml:space="preserve">, </w:t>
      </w:r>
      <w:hyperlink r:id="rId5" w:history="1">
        <w:r w:rsidRPr="000C714F">
          <w:rPr>
            <w:rStyle w:val="Hyperlink"/>
          </w:rPr>
          <w:t>https://www.eei.org/-/media/Project/EEI/Documents/Issues-and-Policy/Finance-And-Tax/ESG_Template_Quantitative.xlsx?la=en&amp;hash=8308E65B32CF580FCD2E441638F2B1721755E381</w:t>
        </w:r>
      </w:hyperlink>
      <w:r>
        <w:t xml:space="preserve"> </w:t>
      </w:r>
    </w:p>
  </w:footnote>
  <w:footnote w:id="6">
    <w:p w14:paraId="7CC41C18" w14:textId="77777777" w:rsidR="002B6407" w:rsidRDefault="002B6407" w:rsidP="00FE54A1">
      <w:pPr>
        <w:pStyle w:val="FootnoteText"/>
      </w:pPr>
    </w:p>
    <w:p w14:paraId="17C38799" w14:textId="6175BC42" w:rsidR="00FE54A1" w:rsidRDefault="00FE54A1" w:rsidP="00FE54A1">
      <w:pPr>
        <w:pStyle w:val="FootnoteText"/>
      </w:pPr>
      <w:r>
        <w:rPr>
          <w:rStyle w:val="FootnoteReference"/>
        </w:rPr>
        <w:footnoteRef/>
      </w:r>
      <w:r>
        <w:t xml:space="preserve"> See </w:t>
      </w:r>
      <w:r w:rsidRPr="00DB7B6F">
        <w:rPr>
          <w:i/>
          <w:iCs/>
        </w:rPr>
        <w:t>RFI</w:t>
      </w:r>
      <w:r>
        <w:t>, Question 1, page 2</w:t>
      </w:r>
      <w:r w:rsidR="00B6467B">
        <w:t>.</w:t>
      </w:r>
    </w:p>
    <w:p w14:paraId="4335AC35" w14:textId="77777777" w:rsidR="00FE54A1" w:rsidRDefault="00FE54A1" w:rsidP="00FE54A1">
      <w:pPr>
        <w:pStyle w:val="FootnoteText"/>
      </w:pPr>
    </w:p>
  </w:footnote>
  <w:footnote w:id="7">
    <w:p w14:paraId="70BAB0B6" w14:textId="77777777" w:rsidR="00E26F6E" w:rsidRDefault="00E26F6E" w:rsidP="00E26F6E">
      <w:pPr>
        <w:pStyle w:val="FootnoteText"/>
        <w:rPr>
          <w:rFonts w:cs="Arial"/>
        </w:rPr>
      </w:pPr>
      <w:r>
        <w:rPr>
          <w:rStyle w:val="FootnoteReference"/>
        </w:rPr>
        <w:footnoteRef/>
      </w:r>
      <w:r>
        <w:t xml:space="preserve"> </w:t>
      </w:r>
      <w:r w:rsidRPr="00261211">
        <w:rPr>
          <w:rFonts w:cs="Arial"/>
        </w:rPr>
        <w:t>Cal. Code Regs. tit. 18, § 23101</w:t>
      </w:r>
      <w:r>
        <w:rPr>
          <w:rFonts w:cs="Arial"/>
        </w:rPr>
        <w:t>.</w:t>
      </w:r>
    </w:p>
    <w:p w14:paraId="451A36B2" w14:textId="77777777" w:rsidR="00E26F6E" w:rsidRDefault="00E26F6E" w:rsidP="00E26F6E">
      <w:pPr>
        <w:pStyle w:val="FootnoteText"/>
      </w:pPr>
    </w:p>
  </w:footnote>
  <w:footnote w:id="8">
    <w:p w14:paraId="19B118D1" w14:textId="77777777" w:rsidR="00E26F6E" w:rsidRDefault="00E26F6E" w:rsidP="00E26F6E">
      <w:pPr>
        <w:pStyle w:val="FootnoteText"/>
      </w:pPr>
      <w:r>
        <w:rPr>
          <w:rStyle w:val="FootnoteReference"/>
        </w:rPr>
        <w:footnoteRef/>
      </w:r>
      <w:r>
        <w:t xml:space="preserve"> </w:t>
      </w:r>
      <w:r>
        <w:rPr>
          <w:rFonts w:cs="Arial"/>
        </w:rPr>
        <w:t>Moreover, the thresholds for each are quite low, particularly considering the current minimum wage and property prices in California.</w:t>
      </w:r>
    </w:p>
  </w:footnote>
  <w:footnote w:id="9">
    <w:p w14:paraId="1A1A6391" w14:textId="200FCA53" w:rsidR="0067149B" w:rsidRDefault="0067149B">
      <w:pPr>
        <w:pStyle w:val="FootnoteText"/>
      </w:pPr>
      <w:r>
        <w:rPr>
          <w:rStyle w:val="FootnoteReference"/>
        </w:rPr>
        <w:footnoteRef/>
      </w:r>
      <w:r>
        <w:t xml:space="preserve"> See </w:t>
      </w:r>
      <w:r w:rsidRPr="004B4E52">
        <w:rPr>
          <w:i/>
          <w:iCs/>
        </w:rPr>
        <w:t>California Senate Journal</w:t>
      </w:r>
      <w:r w:rsidR="00885E83">
        <w:t>, January 30, 2024 at 3058-3059 (</w:t>
      </w:r>
      <w:hyperlink r:id="rId6" w:history="1">
        <w:r w:rsidRPr="002C67A3">
          <w:rPr>
            <w:rStyle w:val="Hyperlink"/>
          </w:rPr>
          <w:t>https://leginfo.legislature.ca.gov/faces/pubSenDailyJrn2.xhtml?type=doc&amp;sessionyear=20232024&amp;pagenum=3057&amp;sessionnum=0&amp;fileid=996</w:t>
        </w:r>
      </w:hyperlink>
      <w:r w:rsidR="00885E83">
        <w:t>)</w:t>
      </w:r>
    </w:p>
    <w:p w14:paraId="018B6F0D" w14:textId="77777777" w:rsidR="0067149B" w:rsidRDefault="0067149B">
      <w:pPr>
        <w:pStyle w:val="FootnoteText"/>
      </w:pPr>
    </w:p>
  </w:footnote>
  <w:footnote w:id="10">
    <w:p w14:paraId="72C299E3" w14:textId="532568C1" w:rsidR="00840632" w:rsidRDefault="00840632" w:rsidP="00840632">
      <w:pPr>
        <w:pStyle w:val="FootnoteText"/>
      </w:pPr>
      <w:r>
        <w:rPr>
          <w:rStyle w:val="FootnoteReference"/>
        </w:rPr>
        <w:footnoteRef/>
      </w:r>
      <w:r>
        <w:t xml:space="preserve"> In other contexts, the State of California has tailored the definition of what qualifies as a sufficient contact with the state to the specific subject matter (</w:t>
      </w:r>
      <w:r w:rsidRPr="005460A5">
        <w:rPr>
          <w:i/>
          <w:iCs/>
        </w:rPr>
        <w:t>see</w:t>
      </w:r>
      <w:r>
        <w:rPr>
          <w:i/>
          <w:iCs/>
        </w:rPr>
        <w:t xml:space="preserve"> generally</w:t>
      </w:r>
      <w:r>
        <w:t xml:space="preserve"> Cal. Corp. Code § 191(a) (Deering 1975), where the state defines “transact[s] intrastate business” to mean a corporation “entering into repeated and successive transactions of its business in the state, other than interstate or foreign commerce.”). The definition of “doing business in California” in this proceeding similarly should be tailored to the legislative intent and should include only companies that actively produce </w:t>
      </w:r>
      <w:r w:rsidR="006C3726">
        <w:t>GHG</w:t>
      </w:r>
      <w:r>
        <w:t xml:space="preserve"> emissions in the state.</w:t>
      </w:r>
    </w:p>
    <w:p w14:paraId="7B61CE1E" w14:textId="77777777" w:rsidR="00FB1AB7" w:rsidRDefault="00FB1AB7" w:rsidP="00840632">
      <w:pPr>
        <w:pStyle w:val="FootnoteText"/>
      </w:pPr>
    </w:p>
  </w:footnote>
  <w:footnote w:id="11">
    <w:p w14:paraId="5B912945" w14:textId="23AEED2F" w:rsidR="00FB1AB7" w:rsidRDefault="00FB1AB7">
      <w:pPr>
        <w:pStyle w:val="FootnoteText"/>
      </w:pPr>
      <w:r>
        <w:rPr>
          <w:rStyle w:val="FootnoteReference"/>
        </w:rPr>
        <w:footnoteRef/>
      </w:r>
      <w:r>
        <w:t xml:space="preserve"> SB253 applies to entities with more than $1 billion in annual revenue doing business in California, and SB 261 applies to entities with more than $500 million in annual revenue doing business in California. </w:t>
      </w:r>
    </w:p>
  </w:footnote>
  <w:footnote w:id="12">
    <w:p w14:paraId="1961274B" w14:textId="77777777" w:rsidR="006F350F" w:rsidRDefault="006F350F" w:rsidP="006F350F">
      <w:pPr>
        <w:pStyle w:val="FootnoteText"/>
        <w:rPr>
          <w:rFonts w:cs="Arial"/>
        </w:rPr>
      </w:pPr>
      <w:r w:rsidRPr="00E46F27">
        <w:rPr>
          <w:rStyle w:val="FootnoteReference"/>
          <w:rFonts w:cs="Arial"/>
        </w:rPr>
        <w:footnoteRef/>
      </w:r>
      <w:r w:rsidRPr="00E46F27">
        <w:rPr>
          <w:rFonts w:cs="Arial"/>
        </w:rPr>
        <w:t xml:space="preserve"> State of California Department of Justice. California Consumer Privacy Act (CCPA). </w:t>
      </w:r>
      <w:hyperlink r:id="rId7" w:anchor=":~:text=Derive%2050%25%20or%20more%20of,selling%20California%20residents'%20personal%20information" w:history="1">
        <w:r w:rsidRPr="00E46F27">
          <w:rPr>
            <w:rStyle w:val="Hyperlink"/>
            <w:rFonts w:cs="Arial"/>
          </w:rPr>
          <w:t>https://oag.ca.gov/privacy/ccpa#:~:text=Derive%2050%25%20or%20more%20of,selling%20California%20residents'%20personal%20information</w:t>
        </w:r>
      </w:hyperlink>
      <w:r w:rsidRPr="00E46F27">
        <w:rPr>
          <w:rFonts w:cs="Arial"/>
        </w:rPr>
        <w:t>.</w:t>
      </w:r>
    </w:p>
    <w:p w14:paraId="3F2D2C22" w14:textId="77777777" w:rsidR="006F350F" w:rsidRPr="00E46F27" w:rsidRDefault="006F350F" w:rsidP="006F350F">
      <w:pPr>
        <w:pStyle w:val="FootnoteText"/>
        <w:rPr>
          <w:rFonts w:cs="Arial"/>
        </w:rPr>
      </w:pPr>
    </w:p>
  </w:footnote>
  <w:footnote w:id="13">
    <w:p w14:paraId="52F5F431" w14:textId="2CDE56C9" w:rsidR="00F50601" w:rsidRDefault="00F50601">
      <w:pPr>
        <w:pStyle w:val="FootnoteText"/>
      </w:pPr>
      <w:r>
        <w:rPr>
          <w:rStyle w:val="FootnoteReference"/>
        </w:rPr>
        <w:footnoteRef/>
      </w:r>
      <w:r>
        <w:t xml:space="preserve"> See </w:t>
      </w:r>
      <w:r w:rsidRPr="004B4E52">
        <w:rPr>
          <w:i/>
          <w:iCs/>
        </w:rPr>
        <w:t>RFI</w:t>
      </w:r>
      <w:r>
        <w:t>, Question 3, page 2.</w:t>
      </w:r>
    </w:p>
    <w:p w14:paraId="3F9707CF" w14:textId="77777777" w:rsidR="00F50601" w:rsidRDefault="00F50601">
      <w:pPr>
        <w:pStyle w:val="FootnoteText"/>
      </w:pPr>
    </w:p>
  </w:footnote>
  <w:footnote w:id="14">
    <w:p w14:paraId="7BD69CC9" w14:textId="77777777" w:rsidR="00001C09" w:rsidRDefault="00001C09" w:rsidP="00001C09">
      <w:pPr>
        <w:pStyle w:val="FootnoteText"/>
      </w:pPr>
      <w:r>
        <w:rPr>
          <w:rStyle w:val="FootnoteReference"/>
        </w:rPr>
        <w:footnoteRef/>
      </w:r>
      <w:r>
        <w:t xml:space="preserve"> See </w:t>
      </w:r>
      <w:r w:rsidRPr="00DB7B6F">
        <w:rPr>
          <w:i/>
          <w:iCs/>
        </w:rPr>
        <w:t>RFI</w:t>
      </w:r>
      <w:r>
        <w:t>, Question 7, page 3.</w:t>
      </w:r>
    </w:p>
  </w:footnote>
  <w:footnote w:id="15">
    <w:p w14:paraId="2FF460C9" w14:textId="77777777" w:rsidR="00E571F5" w:rsidRDefault="00E571F5">
      <w:pPr>
        <w:pStyle w:val="FootnoteText"/>
      </w:pPr>
    </w:p>
    <w:p w14:paraId="6A73F480" w14:textId="719ACFDF" w:rsidR="00B6467B" w:rsidRDefault="00FF1FAD">
      <w:pPr>
        <w:pStyle w:val="FootnoteText"/>
      </w:pPr>
      <w:r>
        <w:rPr>
          <w:rStyle w:val="FootnoteReference"/>
        </w:rPr>
        <w:footnoteRef/>
      </w:r>
      <w:r>
        <w:t xml:space="preserve"> See </w:t>
      </w:r>
      <w:r w:rsidRPr="00B6467B">
        <w:rPr>
          <w:i/>
          <w:iCs/>
        </w:rPr>
        <w:t>RFI</w:t>
      </w:r>
      <w:r>
        <w:t xml:space="preserve">, Question </w:t>
      </w:r>
      <w:r w:rsidR="00541D6C">
        <w:t>10</w:t>
      </w:r>
      <w:r w:rsidR="002E7B44">
        <w:t xml:space="preserve">, page </w:t>
      </w:r>
      <w:r w:rsidR="00541D6C">
        <w:t>4</w:t>
      </w:r>
      <w:r w:rsidR="002E7B44">
        <w:t>.</w:t>
      </w:r>
    </w:p>
  </w:footnote>
  <w:footnote w:id="16">
    <w:p w14:paraId="20C03304" w14:textId="6934930B" w:rsidR="000023A2" w:rsidRDefault="000023A2" w:rsidP="000023A2">
      <w:pPr>
        <w:pStyle w:val="FootnoteText"/>
        <w:rPr>
          <w:rFonts w:cs="Arial"/>
        </w:rPr>
      </w:pPr>
      <w:r w:rsidRPr="00733437">
        <w:rPr>
          <w:rStyle w:val="FootnoteReference"/>
          <w:rFonts w:cs="Arial"/>
        </w:rPr>
        <w:footnoteRef/>
      </w:r>
      <w:r w:rsidRPr="00733437">
        <w:rPr>
          <w:rFonts w:cs="Arial"/>
        </w:rPr>
        <w:t xml:space="preserve"> </w:t>
      </w:r>
      <w:r>
        <w:rPr>
          <w:rFonts w:cs="Arial"/>
        </w:rPr>
        <w:t>Environmental Protection Agency.</w:t>
      </w:r>
      <w:r w:rsidRPr="00733437">
        <w:rPr>
          <w:rFonts w:cs="Arial"/>
        </w:rPr>
        <w:t xml:space="preserve"> See </w:t>
      </w:r>
      <w:hyperlink r:id="rId8" w:history="1">
        <w:r w:rsidRPr="00733437">
          <w:rPr>
            <w:rStyle w:val="Hyperlink"/>
            <w:rFonts w:cs="Arial"/>
          </w:rPr>
          <w:t>https://www.epa.gov/ghgreporting/find-and-use-ghgrp-data</w:t>
        </w:r>
      </w:hyperlink>
      <w:r w:rsidRPr="00733437">
        <w:rPr>
          <w:rFonts w:cs="Arial"/>
        </w:rPr>
        <w:t xml:space="preserve">. </w:t>
      </w:r>
    </w:p>
    <w:p w14:paraId="0871E5C4" w14:textId="77777777" w:rsidR="000023A2" w:rsidRPr="00733437" w:rsidRDefault="000023A2" w:rsidP="000023A2">
      <w:pPr>
        <w:pStyle w:val="FootnoteText"/>
        <w:rPr>
          <w:rFonts w:cs="Arial"/>
        </w:rPr>
      </w:pPr>
    </w:p>
  </w:footnote>
  <w:footnote w:id="17">
    <w:p w14:paraId="00F7C52A" w14:textId="77777777" w:rsidR="00665A56" w:rsidRPr="00733437" w:rsidRDefault="00665A56" w:rsidP="00665A56">
      <w:pPr>
        <w:pStyle w:val="FootnoteText"/>
        <w:rPr>
          <w:rFonts w:cs="Arial"/>
        </w:rPr>
      </w:pPr>
      <w:r w:rsidRPr="00733437">
        <w:rPr>
          <w:rStyle w:val="FootnoteReference"/>
          <w:rFonts w:cs="Arial"/>
        </w:rPr>
        <w:footnoteRef/>
      </w:r>
      <w:r w:rsidRPr="00733437">
        <w:rPr>
          <w:rFonts w:cs="Arial"/>
        </w:rPr>
        <w:t xml:space="preserve"> California Air Resources Board. (2025). </w:t>
      </w:r>
      <w:r w:rsidRPr="00733437">
        <w:rPr>
          <w:rFonts w:cs="Arial"/>
          <w:i/>
          <w:iCs/>
        </w:rPr>
        <w:t>Mandatory GHG reporting - Key dates and activities</w:t>
      </w:r>
      <w:r w:rsidRPr="00733437">
        <w:rPr>
          <w:rFonts w:cs="Arial"/>
        </w:rPr>
        <w:t xml:space="preserve">. The California Air Resources Board. </w:t>
      </w:r>
      <w:hyperlink r:id="rId9" w:tgtFrame="_new" w:history="1">
        <w:r w:rsidRPr="00733437">
          <w:rPr>
            <w:rStyle w:val="Hyperlink"/>
            <w:rFonts w:cs="Arial"/>
          </w:rPr>
          <w:t>https://ww2.arb.ca.gov/mrr-key-dates</w:t>
        </w:r>
      </w:hyperlink>
    </w:p>
    <w:p w14:paraId="3C5381A6" w14:textId="77777777" w:rsidR="00665A56" w:rsidRPr="00733437" w:rsidRDefault="00665A56" w:rsidP="00665A56">
      <w:pPr>
        <w:pStyle w:val="FootnoteText"/>
        <w:rPr>
          <w:rFonts w:cs="Arial"/>
        </w:rPr>
      </w:pPr>
    </w:p>
  </w:footnote>
  <w:footnote w:id="18">
    <w:p w14:paraId="6AA18948" w14:textId="5BE6950A" w:rsidR="00665A56" w:rsidRDefault="00665A56" w:rsidP="00665A56">
      <w:pPr>
        <w:pStyle w:val="FootnoteText"/>
      </w:pPr>
      <w:r w:rsidRPr="00733437">
        <w:rPr>
          <w:rStyle w:val="FootnoteReference"/>
          <w:rFonts w:cs="Arial"/>
        </w:rPr>
        <w:footnoteRef/>
      </w:r>
      <w:r w:rsidRPr="00733437">
        <w:rPr>
          <w:rFonts w:cs="Arial"/>
        </w:rPr>
        <w:t xml:space="preserve"> </w:t>
      </w:r>
      <w:r w:rsidRPr="00D515B9">
        <w:rPr>
          <w:rFonts w:cs="Arial"/>
        </w:rPr>
        <w:t>California Energy Commission. (2</w:t>
      </w:r>
      <w:r w:rsidRPr="00733437">
        <w:rPr>
          <w:rFonts w:cs="Arial"/>
        </w:rPr>
        <w:t>024</w:t>
      </w:r>
      <w:r w:rsidRPr="00D515B9">
        <w:rPr>
          <w:rFonts w:cs="Arial"/>
        </w:rPr>
        <w:t xml:space="preserve">, </w:t>
      </w:r>
      <w:r w:rsidRPr="00733437">
        <w:rPr>
          <w:rFonts w:cs="Arial"/>
        </w:rPr>
        <w:t>July</w:t>
      </w:r>
      <w:r w:rsidRPr="00D515B9">
        <w:rPr>
          <w:rFonts w:cs="Arial"/>
        </w:rPr>
        <w:t xml:space="preserve">). </w:t>
      </w:r>
      <w:r w:rsidRPr="00733437">
        <w:rPr>
          <w:rFonts w:cs="Arial"/>
          <w:i/>
          <w:iCs/>
        </w:rPr>
        <w:t xml:space="preserve">UPDATED Communication Regarding Power Source Disclosure Annual Report Deadline – Extended Postponement. </w:t>
      </w:r>
      <w:hyperlink r:id="rId10" w:history="1">
        <w:r w:rsidR="006F44C6" w:rsidRPr="002C67A3">
          <w:rPr>
            <w:rStyle w:val="Hyperlink"/>
            <w:rFonts w:cs="Arial"/>
          </w:rPr>
          <w:t>https://efiling.energy.ca.gov/GetDocument.aspx?tn=258246&amp;DocumentContentId=94224</w:t>
        </w:r>
      </w:hyperlink>
      <w:r w:rsidR="006F44C6">
        <w:rPr>
          <w:rFonts w:cs="Arial"/>
        </w:rPr>
        <w:t xml:space="preserve"> </w:t>
      </w:r>
    </w:p>
  </w:footnote>
  <w:footnote w:id="19">
    <w:p w14:paraId="1C027057" w14:textId="77777777" w:rsidR="000A5C61" w:rsidRDefault="000A5C61" w:rsidP="000A5C61">
      <w:pPr>
        <w:pStyle w:val="FootnoteText"/>
      </w:pPr>
    </w:p>
    <w:p w14:paraId="249C7F97" w14:textId="24F5AF6D" w:rsidR="000A5C61" w:rsidRDefault="000A5C61" w:rsidP="000A5C61">
      <w:pPr>
        <w:pStyle w:val="FootnoteText"/>
      </w:pPr>
      <w:r>
        <w:rPr>
          <w:rStyle w:val="FootnoteReference"/>
        </w:rPr>
        <w:footnoteRef/>
      </w:r>
      <w:r>
        <w:t xml:space="preserve"> See </w:t>
      </w:r>
      <w:r w:rsidRPr="00DB7B6F">
        <w:rPr>
          <w:i/>
          <w:iCs/>
        </w:rPr>
        <w:t>RFI</w:t>
      </w:r>
      <w:r>
        <w:t>, Questions 11, page 4</w:t>
      </w:r>
    </w:p>
  </w:footnote>
  <w:footnote w:id="20">
    <w:p w14:paraId="27226E9C" w14:textId="747EF03C" w:rsidR="00C417B8" w:rsidRDefault="00C417B8">
      <w:pPr>
        <w:pStyle w:val="FootnoteText"/>
      </w:pPr>
      <w:r>
        <w:rPr>
          <w:rStyle w:val="FootnoteReference"/>
        </w:rPr>
        <w:footnoteRef/>
      </w:r>
      <w:r>
        <w:t xml:space="preserve"> See </w:t>
      </w:r>
      <w:r w:rsidRPr="00466E21">
        <w:rPr>
          <w:i/>
          <w:iCs/>
        </w:rPr>
        <w:t>RFI</w:t>
      </w:r>
      <w:r>
        <w:t>, Question 1</w:t>
      </w:r>
      <w:r w:rsidR="00466E21">
        <w:t>3, page 4.</w:t>
      </w:r>
    </w:p>
    <w:p w14:paraId="3206C011" w14:textId="77777777" w:rsidR="00C3521F" w:rsidRDefault="00C3521F">
      <w:pPr>
        <w:pStyle w:val="FootnoteText"/>
      </w:pPr>
    </w:p>
  </w:footnote>
  <w:footnote w:id="21">
    <w:p w14:paraId="429C61BA" w14:textId="77777777" w:rsidR="00B901AE" w:rsidRPr="00394C1D" w:rsidRDefault="00B901AE" w:rsidP="00B901AE">
      <w:pPr>
        <w:pStyle w:val="FootnoteText"/>
        <w:rPr>
          <w:rFonts w:cs="Arial"/>
        </w:rPr>
      </w:pPr>
      <w:r w:rsidRPr="00394C1D">
        <w:rPr>
          <w:rStyle w:val="FootnoteReference"/>
          <w:rFonts w:cs="Arial"/>
        </w:rPr>
        <w:footnoteRef/>
      </w:r>
      <w:r w:rsidRPr="00394C1D">
        <w:rPr>
          <w:rFonts w:cs="Arial"/>
        </w:rPr>
        <w:t xml:space="preserve"> International Financial Reporting Standards Foundation. </w:t>
      </w:r>
      <w:r w:rsidRPr="00394C1D">
        <w:rPr>
          <w:rFonts w:cs="Arial"/>
          <w:i/>
          <w:iCs/>
        </w:rPr>
        <w:t>ISSB and TCFD</w:t>
      </w:r>
      <w:r w:rsidRPr="00394C1D">
        <w:rPr>
          <w:rFonts w:cs="Arial"/>
        </w:rPr>
        <w:t xml:space="preserve">. </w:t>
      </w:r>
      <w:hyperlink r:id="rId11" w:history="1">
        <w:r w:rsidRPr="00C73FBD">
          <w:rPr>
            <w:rStyle w:val="Hyperlink"/>
            <w:rFonts w:cs="Arial"/>
          </w:rPr>
          <w:t>https://www.ifrs.org/sustainability/tcfd/</w:t>
        </w:r>
      </w:hyperlink>
      <w:r>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901B" w14:textId="1E082D96" w:rsidR="00CE7427" w:rsidRPr="00C16A60" w:rsidRDefault="006D6DAA" w:rsidP="00C16A60">
    <w:pPr>
      <w:pStyle w:val="NoSpacing"/>
    </w:pPr>
    <w:r>
      <w:t>March 21, 2025</w:t>
    </w:r>
  </w:p>
  <w:p w14:paraId="6B3C6A6A" w14:textId="122A7F7B" w:rsidR="00B96382" w:rsidRPr="00C16A60" w:rsidRDefault="00B96382" w:rsidP="00C16A60">
    <w:pPr>
      <w:pStyle w:val="NoSpacing"/>
    </w:pPr>
    <w:r w:rsidRPr="00C16A60">
      <w:t>Ms.</w:t>
    </w:r>
    <w:r w:rsidR="003A588E" w:rsidRPr="00C16A60">
      <w:t xml:space="preserve"> </w:t>
    </w:r>
    <w:r w:rsidRPr="00C16A60">
      <w:t>Liane Randolph</w:t>
    </w:r>
  </w:p>
  <w:p w14:paraId="19786D22" w14:textId="59B19F3F" w:rsidR="00B96382" w:rsidRPr="00C16A60" w:rsidRDefault="00B96382" w:rsidP="00C16A60">
    <w:pPr>
      <w:pStyle w:val="NoSpacing"/>
    </w:pPr>
    <w:r w:rsidRPr="00C16A60">
      <w:t>California Air Resources Board</w:t>
    </w:r>
  </w:p>
  <w:p w14:paraId="42E8AB5F" w14:textId="5F88FC79" w:rsidR="00CE7427" w:rsidRPr="00C16A60" w:rsidRDefault="00B96382" w:rsidP="00C16A60">
    <w:pPr>
      <w:pStyle w:val="NoSpacing"/>
    </w:pPr>
    <w:r w:rsidRPr="00C16A60">
      <w:t xml:space="preserve">Page </w:t>
    </w:r>
    <w:sdt>
      <w:sdtPr>
        <w:id w:val="1761562001"/>
        <w:docPartObj>
          <w:docPartGallery w:val="Page Numbers (Top of Page)"/>
          <w:docPartUnique/>
        </w:docPartObj>
      </w:sdtPr>
      <w:sdtEndPr/>
      <w:sdtContent>
        <w:r w:rsidR="00CE7427" w:rsidRPr="00C16A60">
          <w:fldChar w:fldCharType="begin"/>
        </w:r>
        <w:r w:rsidR="00CE7427" w:rsidRPr="00C16A60">
          <w:instrText xml:space="preserve"> PAGE   \* MERGEFORMAT </w:instrText>
        </w:r>
        <w:r w:rsidR="00CE7427" w:rsidRPr="00C16A60">
          <w:fldChar w:fldCharType="separate"/>
        </w:r>
        <w:r w:rsidR="00CE7427" w:rsidRPr="00C16A60">
          <w:t>2</w:t>
        </w:r>
        <w:r w:rsidR="00CE7427" w:rsidRPr="00C16A60">
          <w:fldChar w:fldCharType="end"/>
        </w:r>
      </w:sdtContent>
    </w:sdt>
  </w:p>
  <w:p w14:paraId="0FCAB03F" w14:textId="77777777" w:rsidR="00CE7427" w:rsidRDefault="00CE7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86B5E" w14:textId="7D083A40" w:rsidR="00C26259" w:rsidRDefault="00C26259">
    <w:pPr>
      <w:pStyle w:val="Header"/>
    </w:pPr>
    <w:r>
      <w:rPr>
        <w:noProof/>
      </w:rPr>
      <w:drawing>
        <wp:anchor distT="0" distB="0" distL="114300" distR="114300" simplePos="0" relativeHeight="251659264" behindDoc="0" locked="0" layoutInCell="1" allowOverlap="1" wp14:anchorId="3FAFA7F4" wp14:editId="6D31DC53">
          <wp:simplePos x="0" y="0"/>
          <wp:positionH relativeFrom="margin">
            <wp:posOffset>-685800</wp:posOffset>
          </wp:positionH>
          <wp:positionV relativeFrom="paragraph">
            <wp:posOffset>-121590</wp:posOffset>
          </wp:positionV>
          <wp:extent cx="6858000" cy="1222248"/>
          <wp:effectExtent l="0" t="0" r="0" b="0"/>
          <wp:wrapNone/>
          <wp:docPr id="740745979" name="Picture 740745979" descr="A white background with black and white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745979" name="Picture 740745979" descr="A white background with black and white clouds"/>
                  <pic:cNvPicPr/>
                </pic:nvPicPr>
                <pic:blipFill>
                  <a:blip r:embed="rId1">
                    <a:extLst>
                      <a:ext uri="{28A0092B-C50C-407E-A947-70E740481C1C}">
                        <a14:useLocalDpi xmlns:a14="http://schemas.microsoft.com/office/drawing/2010/main" val="0"/>
                      </a:ext>
                    </a:extLst>
                  </a:blip>
                  <a:stretch>
                    <a:fillRect/>
                  </a:stretch>
                </pic:blipFill>
                <pic:spPr>
                  <a:xfrm>
                    <a:off x="0" y="0"/>
                    <a:ext cx="6858000" cy="12222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22329" w14:textId="5D87E246" w:rsidR="008704B1" w:rsidRPr="008704B1" w:rsidRDefault="008704B1" w:rsidP="00870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76FF"/>
    <w:multiLevelType w:val="multilevel"/>
    <w:tmpl w:val="D1600B54"/>
    <w:numStyleLink w:val="A-I"/>
  </w:abstractNum>
  <w:abstractNum w:abstractNumId="1" w15:restartNumberingAfterBreak="0">
    <w:nsid w:val="08C65433"/>
    <w:multiLevelType w:val="hybridMultilevel"/>
    <w:tmpl w:val="78643248"/>
    <w:lvl w:ilvl="0" w:tplc="FFFFFFFF">
      <w:start w:val="1"/>
      <w:numFmt w:val="upperRoman"/>
      <w:lvlText w:val="%1."/>
      <w:lvlJc w:val="right"/>
      <w:pPr>
        <w:ind w:left="540" w:hanging="360"/>
      </w:pPr>
    </w:lvl>
    <w:lvl w:ilvl="1" w:tplc="04090015">
      <w:start w:val="1"/>
      <w:numFmt w:val="upperLetter"/>
      <w:lvlText w:val="%2."/>
      <w:lvlJc w:val="left"/>
      <w:pPr>
        <w:ind w:left="108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 w15:restartNumberingAfterBreak="0">
    <w:nsid w:val="0AF470BD"/>
    <w:multiLevelType w:val="hybridMultilevel"/>
    <w:tmpl w:val="C8D04734"/>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C3919C2"/>
    <w:multiLevelType w:val="hybridMultilevel"/>
    <w:tmpl w:val="1DF6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20498"/>
    <w:multiLevelType w:val="hybridMultilevel"/>
    <w:tmpl w:val="C4F44C8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20A21C05"/>
    <w:multiLevelType w:val="hybridMultilevel"/>
    <w:tmpl w:val="3B2A2A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6C456A"/>
    <w:multiLevelType w:val="hybridMultilevel"/>
    <w:tmpl w:val="42E23746"/>
    <w:lvl w:ilvl="0" w:tplc="04090013">
      <w:start w:val="1"/>
      <w:numFmt w:val="upperRoman"/>
      <w:lvlText w:val="%1."/>
      <w:lvlJc w:val="right"/>
      <w:pPr>
        <w:ind w:left="54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6430E21"/>
    <w:multiLevelType w:val="hybridMultilevel"/>
    <w:tmpl w:val="ACDCE10C"/>
    <w:lvl w:ilvl="0" w:tplc="FFFFFFFF">
      <w:start w:val="1"/>
      <w:numFmt w:val="upperRoman"/>
      <w:lvlText w:val="%1."/>
      <w:lvlJc w:val="right"/>
      <w:pPr>
        <w:ind w:left="540" w:hanging="360"/>
      </w:pPr>
    </w:lvl>
    <w:lvl w:ilvl="1" w:tplc="04090015">
      <w:start w:val="1"/>
      <w:numFmt w:val="upperLetter"/>
      <w:lvlText w:val="%2."/>
      <w:lvlJc w:val="left"/>
      <w:pPr>
        <w:ind w:left="108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 w15:restartNumberingAfterBreak="0">
    <w:nsid w:val="294629F7"/>
    <w:multiLevelType w:val="hybridMultilevel"/>
    <w:tmpl w:val="6ABABDD4"/>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5B21F06"/>
    <w:multiLevelType w:val="multilevel"/>
    <w:tmpl w:val="D1600B54"/>
    <w:styleLink w:val="A-I"/>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decimal"/>
      <w:lvlText w:val="%3."/>
      <w:lvlJc w:val="right"/>
      <w:pPr>
        <w:ind w:left="2160" w:hanging="180"/>
      </w:pPr>
      <w:rPr>
        <w:rFonts w:ascii="Arial" w:hAnsi="Arial"/>
        <w:sz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E52CD1"/>
    <w:multiLevelType w:val="multilevel"/>
    <w:tmpl w:val="D1600B54"/>
    <w:numStyleLink w:val="A-I"/>
  </w:abstractNum>
  <w:abstractNum w:abstractNumId="11" w15:restartNumberingAfterBreak="0">
    <w:nsid w:val="411C106A"/>
    <w:multiLevelType w:val="hybridMultilevel"/>
    <w:tmpl w:val="8E9A55A2"/>
    <w:lvl w:ilvl="0" w:tplc="04090013">
      <w:start w:val="1"/>
      <w:numFmt w:val="upperRoman"/>
      <w:lvlText w:val="%1."/>
      <w:lvlJc w:val="righ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2" w15:restartNumberingAfterBreak="0">
    <w:nsid w:val="42592499"/>
    <w:multiLevelType w:val="hybridMultilevel"/>
    <w:tmpl w:val="985A2026"/>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30609B7"/>
    <w:multiLevelType w:val="hybridMultilevel"/>
    <w:tmpl w:val="FE245B0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B810F1"/>
    <w:multiLevelType w:val="hybridMultilevel"/>
    <w:tmpl w:val="45ECF746"/>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D8C3F69"/>
    <w:multiLevelType w:val="hybridMultilevel"/>
    <w:tmpl w:val="DDC44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D5A45"/>
    <w:multiLevelType w:val="hybridMultilevel"/>
    <w:tmpl w:val="9C4CB49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1D0765"/>
    <w:multiLevelType w:val="hybridMultilevel"/>
    <w:tmpl w:val="D3D0514E"/>
    <w:lvl w:ilvl="0" w:tplc="FFFFFFFF">
      <w:start w:val="1"/>
      <w:numFmt w:val="upperRoman"/>
      <w:lvlText w:val="%1."/>
      <w:lvlJc w:val="right"/>
      <w:pPr>
        <w:ind w:left="540" w:hanging="360"/>
      </w:pPr>
    </w:lvl>
    <w:lvl w:ilvl="1" w:tplc="FFFFFFFF">
      <w:start w:val="1"/>
      <w:numFmt w:val="upperLetter"/>
      <w:lvlText w:val="%2."/>
      <w:lvlJc w:val="left"/>
      <w:pPr>
        <w:ind w:left="108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8" w15:restartNumberingAfterBreak="0">
    <w:nsid w:val="51EA4500"/>
    <w:multiLevelType w:val="hybridMultilevel"/>
    <w:tmpl w:val="A0E870F8"/>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3BF20C5"/>
    <w:multiLevelType w:val="hybridMultilevel"/>
    <w:tmpl w:val="CD4A3FF2"/>
    <w:lvl w:ilvl="0" w:tplc="81F899AE">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520AE8"/>
    <w:multiLevelType w:val="hybridMultilevel"/>
    <w:tmpl w:val="3096412C"/>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55EE5F57"/>
    <w:multiLevelType w:val="hybridMultilevel"/>
    <w:tmpl w:val="A7B68E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BE18C4"/>
    <w:multiLevelType w:val="multilevel"/>
    <w:tmpl w:val="D1600B54"/>
    <w:numStyleLink w:val="A-I"/>
  </w:abstractNum>
  <w:abstractNum w:abstractNumId="23" w15:restartNumberingAfterBreak="0">
    <w:nsid w:val="60F2736C"/>
    <w:multiLevelType w:val="hybridMultilevel"/>
    <w:tmpl w:val="B3B6F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B73BD5"/>
    <w:multiLevelType w:val="hybridMultilevel"/>
    <w:tmpl w:val="4C1E90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2D5AD1"/>
    <w:multiLevelType w:val="hybridMultilevel"/>
    <w:tmpl w:val="8AB6FD3A"/>
    <w:lvl w:ilvl="0" w:tplc="81F899AE">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E7207B"/>
    <w:multiLevelType w:val="hybridMultilevel"/>
    <w:tmpl w:val="720A71E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D556D4"/>
    <w:multiLevelType w:val="hybridMultilevel"/>
    <w:tmpl w:val="A52C2EB6"/>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7DD94C5C"/>
    <w:multiLevelType w:val="hybridMultilevel"/>
    <w:tmpl w:val="75909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5940080">
    <w:abstractNumId w:val="3"/>
  </w:num>
  <w:num w:numId="2" w16cid:durableId="1279945635">
    <w:abstractNumId w:val="2"/>
  </w:num>
  <w:num w:numId="3" w16cid:durableId="266931883">
    <w:abstractNumId w:val="26"/>
  </w:num>
  <w:num w:numId="4" w16cid:durableId="48845013">
    <w:abstractNumId w:val="13"/>
  </w:num>
  <w:num w:numId="5" w16cid:durableId="615134176">
    <w:abstractNumId w:val="20"/>
  </w:num>
  <w:num w:numId="6" w16cid:durableId="533229410">
    <w:abstractNumId w:val="24"/>
  </w:num>
  <w:num w:numId="7" w16cid:durableId="1696690271">
    <w:abstractNumId w:val="15"/>
  </w:num>
  <w:num w:numId="8" w16cid:durableId="1624924812">
    <w:abstractNumId w:val="16"/>
  </w:num>
  <w:num w:numId="9" w16cid:durableId="863052452">
    <w:abstractNumId w:val="4"/>
  </w:num>
  <w:num w:numId="10" w16cid:durableId="126750055">
    <w:abstractNumId w:val="23"/>
  </w:num>
  <w:num w:numId="11" w16cid:durableId="1168053625">
    <w:abstractNumId w:val="22"/>
  </w:num>
  <w:num w:numId="12" w16cid:durableId="2131588517">
    <w:abstractNumId w:val="9"/>
  </w:num>
  <w:num w:numId="13" w16cid:durableId="2109227455">
    <w:abstractNumId w:val="0"/>
  </w:num>
  <w:num w:numId="14" w16cid:durableId="1751196174">
    <w:abstractNumId w:val="10"/>
  </w:num>
  <w:num w:numId="15" w16cid:durableId="1290015781">
    <w:abstractNumId w:val="28"/>
  </w:num>
  <w:num w:numId="16" w16cid:durableId="409237028">
    <w:abstractNumId w:val="6"/>
  </w:num>
  <w:num w:numId="17" w16cid:durableId="742261884">
    <w:abstractNumId w:val="8"/>
  </w:num>
  <w:num w:numId="18" w16cid:durableId="862790751">
    <w:abstractNumId w:val="27"/>
  </w:num>
  <w:num w:numId="19" w16cid:durableId="976684147">
    <w:abstractNumId w:val="21"/>
  </w:num>
  <w:num w:numId="20" w16cid:durableId="1958951256">
    <w:abstractNumId w:val="5"/>
  </w:num>
  <w:num w:numId="21" w16cid:durableId="1219173592">
    <w:abstractNumId w:val="18"/>
  </w:num>
  <w:num w:numId="22" w16cid:durableId="1681538636">
    <w:abstractNumId w:val="11"/>
  </w:num>
  <w:num w:numId="23" w16cid:durableId="465777895">
    <w:abstractNumId w:val="12"/>
  </w:num>
  <w:num w:numId="24" w16cid:durableId="2102603009">
    <w:abstractNumId w:val="14"/>
  </w:num>
  <w:num w:numId="25" w16cid:durableId="2059476995">
    <w:abstractNumId w:val="1"/>
  </w:num>
  <w:num w:numId="26" w16cid:durableId="1201434166">
    <w:abstractNumId w:val="7"/>
  </w:num>
  <w:num w:numId="27" w16cid:durableId="202601859">
    <w:abstractNumId w:val="25"/>
  </w:num>
  <w:num w:numId="28" w16cid:durableId="984579045">
    <w:abstractNumId w:val="19"/>
  </w:num>
  <w:num w:numId="29" w16cid:durableId="18204132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F9"/>
    <w:rsid w:val="00001C09"/>
    <w:rsid w:val="000023A2"/>
    <w:rsid w:val="00003034"/>
    <w:rsid w:val="00016C1D"/>
    <w:rsid w:val="00020A18"/>
    <w:rsid w:val="00025727"/>
    <w:rsid w:val="000269FB"/>
    <w:rsid w:val="00033DDD"/>
    <w:rsid w:val="0004059E"/>
    <w:rsid w:val="0004178A"/>
    <w:rsid w:val="0004212B"/>
    <w:rsid w:val="00046890"/>
    <w:rsid w:val="00070234"/>
    <w:rsid w:val="00075AF1"/>
    <w:rsid w:val="0007698D"/>
    <w:rsid w:val="000874AA"/>
    <w:rsid w:val="00091415"/>
    <w:rsid w:val="00093CB8"/>
    <w:rsid w:val="000A514B"/>
    <w:rsid w:val="000A5C61"/>
    <w:rsid w:val="000B49B4"/>
    <w:rsid w:val="000B64A6"/>
    <w:rsid w:val="000C3ACB"/>
    <w:rsid w:val="000D3132"/>
    <w:rsid w:val="000D40B2"/>
    <w:rsid w:val="000D5328"/>
    <w:rsid w:val="000E0CD4"/>
    <w:rsid w:val="000E3CAF"/>
    <w:rsid w:val="000E743C"/>
    <w:rsid w:val="000F0EF2"/>
    <w:rsid w:val="000F458D"/>
    <w:rsid w:val="001044B0"/>
    <w:rsid w:val="001064AC"/>
    <w:rsid w:val="0011073A"/>
    <w:rsid w:val="0011140A"/>
    <w:rsid w:val="001164F9"/>
    <w:rsid w:val="00116619"/>
    <w:rsid w:val="00120E02"/>
    <w:rsid w:val="00121B30"/>
    <w:rsid w:val="00123CD7"/>
    <w:rsid w:val="00124EFE"/>
    <w:rsid w:val="00130B35"/>
    <w:rsid w:val="0014799D"/>
    <w:rsid w:val="00147B21"/>
    <w:rsid w:val="00186307"/>
    <w:rsid w:val="00196509"/>
    <w:rsid w:val="00197D7C"/>
    <w:rsid w:val="001A736B"/>
    <w:rsid w:val="001B3A1B"/>
    <w:rsid w:val="001C28DE"/>
    <w:rsid w:val="001D0557"/>
    <w:rsid w:val="001D1636"/>
    <w:rsid w:val="001D3071"/>
    <w:rsid w:val="001E67FD"/>
    <w:rsid w:val="001F561A"/>
    <w:rsid w:val="001F6FF9"/>
    <w:rsid w:val="002001BA"/>
    <w:rsid w:val="00201BC1"/>
    <w:rsid w:val="0021138D"/>
    <w:rsid w:val="00211CBA"/>
    <w:rsid w:val="002124BF"/>
    <w:rsid w:val="00213BBA"/>
    <w:rsid w:val="0021407D"/>
    <w:rsid w:val="00221799"/>
    <w:rsid w:val="002323F0"/>
    <w:rsid w:val="00233C0C"/>
    <w:rsid w:val="002350D2"/>
    <w:rsid w:val="002440BA"/>
    <w:rsid w:val="00250B94"/>
    <w:rsid w:val="0025101D"/>
    <w:rsid w:val="002538C4"/>
    <w:rsid w:val="00254607"/>
    <w:rsid w:val="0026061D"/>
    <w:rsid w:val="00260EC6"/>
    <w:rsid w:val="00272648"/>
    <w:rsid w:val="00275A74"/>
    <w:rsid w:val="00284124"/>
    <w:rsid w:val="00287FCF"/>
    <w:rsid w:val="00293A39"/>
    <w:rsid w:val="00293C76"/>
    <w:rsid w:val="002A48AF"/>
    <w:rsid w:val="002B6407"/>
    <w:rsid w:val="002B7906"/>
    <w:rsid w:val="002C3232"/>
    <w:rsid w:val="002C4932"/>
    <w:rsid w:val="002C57F5"/>
    <w:rsid w:val="002C658D"/>
    <w:rsid w:val="002D1664"/>
    <w:rsid w:val="002D2350"/>
    <w:rsid w:val="002D3D87"/>
    <w:rsid w:val="002D4290"/>
    <w:rsid w:val="002D7A3A"/>
    <w:rsid w:val="002E1793"/>
    <w:rsid w:val="002E215C"/>
    <w:rsid w:val="002E35E1"/>
    <w:rsid w:val="002E4479"/>
    <w:rsid w:val="002E5B2D"/>
    <w:rsid w:val="002E7677"/>
    <w:rsid w:val="002E7B44"/>
    <w:rsid w:val="002F6EA5"/>
    <w:rsid w:val="00303B48"/>
    <w:rsid w:val="003043A0"/>
    <w:rsid w:val="00304753"/>
    <w:rsid w:val="00310960"/>
    <w:rsid w:val="00311CBA"/>
    <w:rsid w:val="003127C7"/>
    <w:rsid w:val="00317499"/>
    <w:rsid w:val="003261A9"/>
    <w:rsid w:val="003338CA"/>
    <w:rsid w:val="00334AE7"/>
    <w:rsid w:val="003408ED"/>
    <w:rsid w:val="003439A4"/>
    <w:rsid w:val="00352605"/>
    <w:rsid w:val="003536D9"/>
    <w:rsid w:val="00356D4F"/>
    <w:rsid w:val="00357E92"/>
    <w:rsid w:val="00360354"/>
    <w:rsid w:val="003653FC"/>
    <w:rsid w:val="00371A31"/>
    <w:rsid w:val="0037208D"/>
    <w:rsid w:val="00372316"/>
    <w:rsid w:val="00394194"/>
    <w:rsid w:val="003A588E"/>
    <w:rsid w:val="003B4F38"/>
    <w:rsid w:val="003B78FB"/>
    <w:rsid w:val="003D5127"/>
    <w:rsid w:val="003D6E07"/>
    <w:rsid w:val="003D6EB1"/>
    <w:rsid w:val="003D76D3"/>
    <w:rsid w:val="003E110A"/>
    <w:rsid w:val="003E4322"/>
    <w:rsid w:val="003E4E0B"/>
    <w:rsid w:val="003F25B1"/>
    <w:rsid w:val="003F6DDA"/>
    <w:rsid w:val="00402623"/>
    <w:rsid w:val="00437C10"/>
    <w:rsid w:val="00440027"/>
    <w:rsid w:val="0044406E"/>
    <w:rsid w:val="00452072"/>
    <w:rsid w:val="00452461"/>
    <w:rsid w:val="0045404A"/>
    <w:rsid w:val="004553A8"/>
    <w:rsid w:val="00465E80"/>
    <w:rsid w:val="00466E21"/>
    <w:rsid w:val="00471E43"/>
    <w:rsid w:val="00472F07"/>
    <w:rsid w:val="00473AE3"/>
    <w:rsid w:val="0048305A"/>
    <w:rsid w:val="004957D2"/>
    <w:rsid w:val="004967C4"/>
    <w:rsid w:val="004A4E81"/>
    <w:rsid w:val="004A64F6"/>
    <w:rsid w:val="004B2ADD"/>
    <w:rsid w:val="004B4E52"/>
    <w:rsid w:val="004B61D2"/>
    <w:rsid w:val="004B7063"/>
    <w:rsid w:val="004D35E3"/>
    <w:rsid w:val="004F2440"/>
    <w:rsid w:val="004F469B"/>
    <w:rsid w:val="004F619F"/>
    <w:rsid w:val="00501401"/>
    <w:rsid w:val="00502362"/>
    <w:rsid w:val="0050409D"/>
    <w:rsid w:val="00507524"/>
    <w:rsid w:val="005108CE"/>
    <w:rsid w:val="00513505"/>
    <w:rsid w:val="00515747"/>
    <w:rsid w:val="00521322"/>
    <w:rsid w:val="00525FF9"/>
    <w:rsid w:val="00532DAE"/>
    <w:rsid w:val="005374DA"/>
    <w:rsid w:val="00541426"/>
    <w:rsid w:val="00541D6C"/>
    <w:rsid w:val="00547714"/>
    <w:rsid w:val="0056065C"/>
    <w:rsid w:val="00572C62"/>
    <w:rsid w:val="00573620"/>
    <w:rsid w:val="00573A73"/>
    <w:rsid w:val="005854F1"/>
    <w:rsid w:val="00586C18"/>
    <w:rsid w:val="005A2748"/>
    <w:rsid w:val="005A5E22"/>
    <w:rsid w:val="005C3FB5"/>
    <w:rsid w:val="005D6774"/>
    <w:rsid w:val="005E0B4C"/>
    <w:rsid w:val="005E3386"/>
    <w:rsid w:val="005E3EDC"/>
    <w:rsid w:val="006055AE"/>
    <w:rsid w:val="006117CB"/>
    <w:rsid w:val="00612CDC"/>
    <w:rsid w:val="00616553"/>
    <w:rsid w:val="006269E1"/>
    <w:rsid w:val="006476EF"/>
    <w:rsid w:val="00651D8F"/>
    <w:rsid w:val="00653843"/>
    <w:rsid w:val="00663C92"/>
    <w:rsid w:val="00664E50"/>
    <w:rsid w:val="00665A56"/>
    <w:rsid w:val="0067149B"/>
    <w:rsid w:val="006718C6"/>
    <w:rsid w:val="00673DD9"/>
    <w:rsid w:val="00682745"/>
    <w:rsid w:val="006833FC"/>
    <w:rsid w:val="00683A86"/>
    <w:rsid w:val="00684599"/>
    <w:rsid w:val="00685BAA"/>
    <w:rsid w:val="00693AB2"/>
    <w:rsid w:val="006B3AD5"/>
    <w:rsid w:val="006B7851"/>
    <w:rsid w:val="006C3726"/>
    <w:rsid w:val="006C56F3"/>
    <w:rsid w:val="006C6699"/>
    <w:rsid w:val="006C6CE9"/>
    <w:rsid w:val="006D6DAA"/>
    <w:rsid w:val="006F0F68"/>
    <w:rsid w:val="006F2736"/>
    <w:rsid w:val="006F350F"/>
    <w:rsid w:val="006F44C6"/>
    <w:rsid w:val="006F5CC2"/>
    <w:rsid w:val="0070029A"/>
    <w:rsid w:val="0071094C"/>
    <w:rsid w:val="00715130"/>
    <w:rsid w:val="007152EB"/>
    <w:rsid w:val="00715461"/>
    <w:rsid w:val="007166D5"/>
    <w:rsid w:val="00717638"/>
    <w:rsid w:val="00733FB5"/>
    <w:rsid w:val="00740AEB"/>
    <w:rsid w:val="007438BA"/>
    <w:rsid w:val="00744275"/>
    <w:rsid w:val="007535F9"/>
    <w:rsid w:val="00766528"/>
    <w:rsid w:val="00775974"/>
    <w:rsid w:val="00775C06"/>
    <w:rsid w:val="0078122A"/>
    <w:rsid w:val="00782DC0"/>
    <w:rsid w:val="007854FB"/>
    <w:rsid w:val="00785CF6"/>
    <w:rsid w:val="00790EBA"/>
    <w:rsid w:val="00792B60"/>
    <w:rsid w:val="007968FE"/>
    <w:rsid w:val="007A22BE"/>
    <w:rsid w:val="007B3790"/>
    <w:rsid w:val="007C14CF"/>
    <w:rsid w:val="007C644E"/>
    <w:rsid w:val="007C75E9"/>
    <w:rsid w:val="007D3DA6"/>
    <w:rsid w:val="007F05BA"/>
    <w:rsid w:val="007F5A45"/>
    <w:rsid w:val="00805E9C"/>
    <w:rsid w:val="00806285"/>
    <w:rsid w:val="00807A93"/>
    <w:rsid w:val="00810820"/>
    <w:rsid w:val="00813C7C"/>
    <w:rsid w:val="00814554"/>
    <w:rsid w:val="008154CB"/>
    <w:rsid w:val="008160A2"/>
    <w:rsid w:val="00816BCA"/>
    <w:rsid w:val="008239E5"/>
    <w:rsid w:val="0083200E"/>
    <w:rsid w:val="0083392E"/>
    <w:rsid w:val="008339E0"/>
    <w:rsid w:val="00836B1F"/>
    <w:rsid w:val="00840632"/>
    <w:rsid w:val="008529EE"/>
    <w:rsid w:val="008568C4"/>
    <w:rsid w:val="00867496"/>
    <w:rsid w:val="008704B1"/>
    <w:rsid w:val="0087182E"/>
    <w:rsid w:val="00872581"/>
    <w:rsid w:val="00874DB7"/>
    <w:rsid w:val="00885E83"/>
    <w:rsid w:val="00890A51"/>
    <w:rsid w:val="008A364E"/>
    <w:rsid w:val="008A7635"/>
    <w:rsid w:val="008B1045"/>
    <w:rsid w:val="008C2868"/>
    <w:rsid w:val="008C544A"/>
    <w:rsid w:val="008D3377"/>
    <w:rsid w:val="008D49AC"/>
    <w:rsid w:val="008E08AF"/>
    <w:rsid w:val="008E2583"/>
    <w:rsid w:val="008F1AA5"/>
    <w:rsid w:val="008F6DB8"/>
    <w:rsid w:val="00904FB3"/>
    <w:rsid w:val="00907D52"/>
    <w:rsid w:val="00922D7E"/>
    <w:rsid w:val="00935312"/>
    <w:rsid w:val="009354E1"/>
    <w:rsid w:val="009369C3"/>
    <w:rsid w:val="0094008B"/>
    <w:rsid w:val="00941FE9"/>
    <w:rsid w:val="0094460E"/>
    <w:rsid w:val="00960785"/>
    <w:rsid w:val="009621C3"/>
    <w:rsid w:val="009627E2"/>
    <w:rsid w:val="00973D4C"/>
    <w:rsid w:val="00985BA5"/>
    <w:rsid w:val="00991023"/>
    <w:rsid w:val="00995C1E"/>
    <w:rsid w:val="009A0AD4"/>
    <w:rsid w:val="009A6382"/>
    <w:rsid w:val="009B2065"/>
    <w:rsid w:val="009B422C"/>
    <w:rsid w:val="009C5E66"/>
    <w:rsid w:val="009D133C"/>
    <w:rsid w:val="009D1C2A"/>
    <w:rsid w:val="009E168E"/>
    <w:rsid w:val="009F04AB"/>
    <w:rsid w:val="009F1643"/>
    <w:rsid w:val="009F1BE2"/>
    <w:rsid w:val="00A004E3"/>
    <w:rsid w:val="00A00D70"/>
    <w:rsid w:val="00A0333D"/>
    <w:rsid w:val="00A04367"/>
    <w:rsid w:val="00A10A32"/>
    <w:rsid w:val="00A431BF"/>
    <w:rsid w:val="00A439F2"/>
    <w:rsid w:val="00A466A9"/>
    <w:rsid w:val="00A6623E"/>
    <w:rsid w:val="00A76B91"/>
    <w:rsid w:val="00A822B4"/>
    <w:rsid w:val="00A82A1D"/>
    <w:rsid w:val="00A82CC8"/>
    <w:rsid w:val="00A9096C"/>
    <w:rsid w:val="00A927A5"/>
    <w:rsid w:val="00A928CD"/>
    <w:rsid w:val="00AA081E"/>
    <w:rsid w:val="00AA43D6"/>
    <w:rsid w:val="00AB175D"/>
    <w:rsid w:val="00AB1F92"/>
    <w:rsid w:val="00AB5779"/>
    <w:rsid w:val="00AC2008"/>
    <w:rsid w:val="00AC78F9"/>
    <w:rsid w:val="00AD0BB7"/>
    <w:rsid w:val="00AD1449"/>
    <w:rsid w:val="00AE356A"/>
    <w:rsid w:val="00AE3D23"/>
    <w:rsid w:val="00AF061D"/>
    <w:rsid w:val="00AF20E8"/>
    <w:rsid w:val="00B008D0"/>
    <w:rsid w:val="00B1048A"/>
    <w:rsid w:val="00B14711"/>
    <w:rsid w:val="00B2763B"/>
    <w:rsid w:val="00B36ECB"/>
    <w:rsid w:val="00B40420"/>
    <w:rsid w:val="00B56163"/>
    <w:rsid w:val="00B605E9"/>
    <w:rsid w:val="00B6467B"/>
    <w:rsid w:val="00B64723"/>
    <w:rsid w:val="00B81DC2"/>
    <w:rsid w:val="00B8294B"/>
    <w:rsid w:val="00B833AC"/>
    <w:rsid w:val="00B901AE"/>
    <w:rsid w:val="00B91EEE"/>
    <w:rsid w:val="00B96382"/>
    <w:rsid w:val="00B977E9"/>
    <w:rsid w:val="00BB140E"/>
    <w:rsid w:val="00BB743D"/>
    <w:rsid w:val="00BC2E7D"/>
    <w:rsid w:val="00BC5FE9"/>
    <w:rsid w:val="00BC719C"/>
    <w:rsid w:val="00BD376A"/>
    <w:rsid w:val="00BD44D7"/>
    <w:rsid w:val="00BE5908"/>
    <w:rsid w:val="00BE5948"/>
    <w:rsid w:val="00BF338E"/>
    <w:rsid w:val="00BF42C8"/>
    <w:rsid w:val="00BF5044"/>
    <w:rsid w:val="00C07B30"/>
    <w:rsid w:val="00C16A60"/>
    <w:rsid w:val="00C20C57"/>
    <w:rsid w:val="00C2546B"/>
    <w:rsid w:val="00C26259"/>
    <w:rsid w:val="00C30394"/>
    <w:rsid w:val="00C3521F"/>
    <w:rsid w:val="00C40FA0"/>
    <w:rsid w:val="00C417B8"/>
    <w:rsid w:val="00C424A4"/>
    <w:rsid w:val="00C469C2"/>
    <w:rsid w:val="00C50181"/>
    <w:rsid w:val="00C53500"/>
    <w:rsid w:val="00C57827"/>
    <w:rsid w:val="00C70FC5"/>
    <w:rsid w:val="00C74C6C"/>
    <w:rsid w:val="00C8402E"/>
    <w:rsid w:val="00C91B4B"/>
    <w:rsid w:val="00CA3246"/>
    <w:rsid w:val="00CA46C5"/>
    <w:rsid w:val="00CC4950"/>
    <w:rsid w:val="00CD3189"/>
    <w:rsid w:val="00CD5D5D"/>
    <w:rsid w:val="00CD70AF"/>
    <w:rsid w:val="00CE7427"/>
    <w:rsid w:val="00D00441"/>
    <w:rsid w:val="00D11F75"/>
    <w:rsid w:val="00D3340B"/>
    <w:rsid w:val="00D340B2"/>
    <w:rsid w:val="00D35512"/>
    <w:rsid w:val="00D43B58"/>
    <w:rsid w:val="00D46BA1"/>
    <w:rsid w:val="00D51780"/>
    <w:rsid w:val="00D6208B"/>
    <w:rsid w:val="00D71814"/>
    <w:rsid w:val="00D74DAD"/>
    <w:rsid w:val="00D75864"/>
    <w:rsid w:val="00D76237"/>
    <w:rsid w:val="00D852A5"/>
    <w:rsid w:val="00D86D04"/>
    <w:rsid w:val="00D90FEE"/>
    <w:rsid w:val="00D92F19"/>
    <w:rsid w:val="00D94B1A"/>
    <w:rsid w:val="00DA72A2"/>
    <w:rsid w:val="00DB16B5"/>
    <w:rsid w:val="00DB2834"/>
    <w:rsid w:val="00DB52CF"/>
    <w:rsid w:val="00DB7B6F"/>
    <w:rsid w:val="00DC3BA7"/>
    <w:rsid w:val="00DC4500"/>
    <w:rsid w:val="00DC6CA3"/>
    <w:rsid w:val="00DC7B37"/>
    <w:rsid w:val="00DE5DA5"/>
    <w:rsid w:val="00E03324"/>
    <w:rsid w:val="00E051AB"/>
    <w:rsid w:val="00E06D08"/>
    <w:rsid w:val="00E2583A"/>
    <w:rsid w:val="00E26F6E"/>
    <w:rsid w:val="00E2767F"/>
    <w:rsid w:val="00E3031D"/>
    <w:rsid w:val="00E34A18"/>
    <w:rsid w:val="00E362EE"/>
    <w:rsid w:val="00E434C2"/>
    <w:rsid w:val="00E55E31"/>
    <w:rsid w:val="00E5680E"/>
    <w:rsid w:val="00E571F5"/>
    <w:rsid w:val="00E6173C"/>
    <w:rsid w:val="00E65182"/>
    <w:rsid w:val="00E670A7"/>
    <w:rsid w:val="00E72893"/>
    <w:rsid w:val="00E80F92"/>
    <w:rsid w:val="00E81A8D"/>
    <w:rsid w:val="00E8383B"/>
    <w:rsid w:val="00E87630"/>
    <w:rsid w:val="00E92D27"/>
    <w:rsid w:val="00E958D9"/>
    <w:rsid w:val="00EC3330"/>
    <w:rsid w:val="00EE18C1"/>
    <w:rsid w:val="00EE1ECA"/>
    <w:rsid w:val="00EE31B8"/>
    <w:rsid w:val="00EF342A"/>
    <w:rsid w:val="00F032B1"/>
    <w:rsid w:val="00F05078"/>
    <w:rsid w:val="00F14F37"/>
    <w:rsid w:val="00F272EC"/>
    <w:rsid w:val="00F326E1"/>
    <w:rsid w:val="00F35F6D"/>
    <w:rsid w:val="00F41B6E"/>
    <w:rsid w:val="00F46547"/>
    <w:rsid w:val="00F50601"/>
    <w:rsid w:val="00F53088"/>
    <w:rsid w:val="00F559B6"/>
    <w:rsid w:val="00F57E1E"/>
    <w:rsid w:val="00F62310"/>
    <w:rsid w:val="00F62A1A"/>
    <w:rsid w:val="00F773EC"/>
    <w:rsid w:val="00F81418"/>
    <w:rsid w:val="00F82374"/>
    <w:rsid w:val="00F86E48"/>
    <w:rsid w:val="00FA33FA"/>
    <w:rsid w:val="00FA7E0A"/>
    <w:rsid w:val="00FB1AB7"/>
    <w:rsid w:val="00FB1D0D"/>
    <w:rsid w:val="00FB3DDD"/>
    <w:rsid w:val="00FE54A1"/>
    <w:rsid w:val="00FE7DB3"/>
    <w:rsid w:val="00FF0D71"/>
    <w:rsid w:val="00FF1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189F33"/>
  <w14:defaultImageDpi w14:val="300"/>
  <w15:docId w15:val="{CE164FBC-7A75-4BFA-B9D2-4E5A3F79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19F"/>
    <w:rPr>
      <w:rFonts w:ascii="Arial" w:hAnsi="Arial"/>
      <w:sz w:val="22"/>
    </w:rPr>
  </w:style>
  <w:style w:type="paragraph" w:styleId="Heading1">
    <w:name w:val="heading 1"/>
    <w:basedOn w:val="Normal"/>
    <w:next w:val="Normal"/>
    <w:link w:val="Heading1Char"/>
    <w:uiPriority w:val="9"/>
    <w:qFormat/>
    <w:rsid w:val="00020A18"/>
    <w:pPr>
      <w:spacing w:after="240"/>
      <w:ind w:left="-180"/>
      <w:outlineLvl w:val="0"/>
    </w:pPr>
    <w:rPr>
      <w:rFonts w:cs="Arial"/>
      <w:b/>
      <w:bCs/>
      <w:u w:val="single"/>
    </w:rPr>
  </w:style>
  <w:style w:type="paragraph" w:styleId="Heading2">
    <w:name w:val="heading 2"/>
    <w:basedOn w:val="Normal"/>
    <w:next w:val="Normal"/>
    <w:link w:val="Heading2Char"/>
    <w:uiPriority w:val="9"/>
    <w:unhideWhenUsed/>
    <w:qFormat/>
    <w:rsid w:val="00F62A1A"/>
    <w:pPr>
      <w:spacing w:after="240"/>
      <w:ind w:left="-180"/>
      <w:outlineLvl w:val="1"/>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A74"/>
    <w:pPr>
      <w:tabs>
        <w:tab w:val="center" w:pos="4320"/>
        <w:tab w:val="right" w:pos="8640"/>
      </w:tabs>
    </w:pPr>
  </w:style>
  <w:style w:type="character" w:customStyle="1" w:styleId="HeaderChar">
    <w:name w:val="Header Char"/>
    <w:basedOn w:val="DefaultParagraphFont"/>
    <w:link w:val="Header"/>
    <w:uiPriority w:val="99"/>
    <w:rsid w:val="00275A74"/>
  </w:style>
  <w:style w:type="paragraph" w:styleId="Footer">
    <w:name w:val="footer"/>
    <w:basedOn w:val="Normal"/>
    <w:link w:val="FooterChar"/>
    <w:uiPriority w:val="99"/>
    <w:unhideWhenUsed/>
    <w:rsid w:val="00275A74"/>
    <w:pPr>
      <w:tabs>
        <w:tab w:val="center" w:pos="4320"/>
        <w:tab w:val="right" w:pos="8640"/>
      </w:tabs>
    </w:pPr>
  </w:style>
  <w:style w:type="character" w:customStyle="1" w:styleId="FooterChar">
    <w:name w:val="Footer Char"/>
    <w:basedOn w:val="DefaultParagraphFont"/>
    <w:link w:val="Footer"/>
    <w:uiPriority w:val="99"/>
    <w:rsid w:val="00275A74"/>
  </w:style>
  <w:style w:type="paragraph" w:styleId="BalloonText">
    <w:name w:val="Balloon Text"/>
    <w:basedOn w:val="Normal"/>
    <w:link w:val="BalloonTextChar"/>
    <w:uiPriority w:val="99"/>
    <w:semiHidden/>
    <w:unhideWhenUsed/>
    <w:rsid w:val="00275A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5A74"/>
    <w:rPr>
      <w:rFonts w:ascii="Lucida Grande" w:hAnsi="Lucida Grande" w:cs="Lucida Grande"/>
      <w:sz w:val="18"/>
      <w:szCs w:val="18"/>
    </w:rPr>
  </w:style>
  <w:style w:type="paragraph" w:styleId="ListParagraph">
    <w:name w:val="List Paragraph"/>
    <w:basedOn w:val="Normal"/>
    <w:uiPriority w:val="34"/>
    <w:qFormat/>
    <w:rsid w:val="003F6DDA"/>
    <w:pPr>
      <w:spacing w:after="200" w:line="276" w:lineRule="auto"/>
      <w:ind w:left="720"/>
      <w:contextualSpacing/>
    </w:pPr>
    <w:rPr>
      <w:rFonts w:eastAsiaTheme="minorHAnsi"/>
      <w:szCs w:val="22"/>
    </w:rPr>
  </w:style>
  <w:style w:type="character" w:styleId="Hyperlink">
    <w:name w:val="Hyperlink"/>
    <w:basedOn w:val="DefaultParagraphFont"/>
    <w:uiPriority w:val="99"/>
    <w:unhideWhenUsed/>
    <w:rsid w:val="004967C4"/>
    <w:rPr>
      <w:color w:val="0000FF" w:themeColor="hyperlink"/>
      <w:u w:val="single"/>
    </w:rPr>
  </w:style>
  <w:style w:type="character" w:styleId="UnresolvedMention">
    <w:name w:val="Unresolved Mention"/>
    <w:basedOn w:val="DefaultParagraphFont"/>
    <w:uiPriority w:val="99"/>
    <w:semiHidden/>
    <w:unhideWhenUsed/>
    <w:rsid w:val="004967C4"/>
    <w:rPr>
      <w:color w:val="605E5C"/>
      <w:shd w:val="clear" w:color="auto" w:fill="E1DFDD"/>
    </w:rPr>
  </w:style>
  <w:style w:type="paragraph" w:styleId="EndnoteText">
    <w:name w:val="endnote text"/>
    <w:basedOn w:val="Normal"/>
    <w:link w:val="EndnoteTextChar"/>
    <w:uiPriority w:val="99"/>
    <w:semiHidden/>
    <w:unhideWhenUsed/>
    <w:rsid w:val="002D1664"/>
    <w:rPr>
      <w:sz w:val="20"/>
      <w:szCs w:val="20"/>
    </w:rPr>
  </w:style>
  <w:style w:type="character" w:customStyle="1" w:styleId="EndnoteTextChar">
    <w:name w:val="Endnote Text Char"/>
    <w:basedOn w:val="DefaultParagraphFont"/>
    <w:link w:val="EndnoteText"/>
    <w:uiPriority w:val="99"/>
    <w:semiHidden/>
    <w:rsid w:val="002D1664"/>
    <w:rPr>
      <w:sz w:val="20"/>
      <w:szCs w:val="20"/>
    </w:rPr>
  </w:style>
  <w:style w:type="character" w:styleId="EndnoteReference">
    <w:name w:val="endnote reference"/>
    <w:basedOn w:val="DefaultParagraphFont"/>
    <w:uiPriority w:val="99"/>
    <w:semiHidden/>
    <w:unhideWhenUsed/>
    <w:rsid w:val="002D1664"/>
    <w:rPr>
      <w:vertAlign w:val="superscript"/>
    </w:rPr>
  </w:style>
  <w:style w:type="paragraph" w:styleId="FootnoteText">
    <w:name w:val="footnote text"/>
    <w:basedOn w:val="Normal"/>
    <w:link w:val="FootnoteTextChar"/>
    <w:uiPriority w:val="99"/>
    <w:unhideWhenUsed/>
    <w:rsid w:val="002D1664"/>
    <w:rPr>
      <w:sz w:val="20"/>
      <w:szCs w:val="20"/>
    </w:rPr>
  </w:style>
  <w:style w:type="character" w:customStyle="1" w:styleId="FootnoteTextChar">
    <w:name w:val="Footnote Text Char"/>
    <w:basedOn w:val="DefaultParagraphFont"/>
    <w:link w:val="FootnoteText"/>
    <w:uiPriority w:val="99"/>
    <w:rsid w:val="002D1664"/>
    <w:rPr>
      <w:sz w:val="20"/>
      <w:szCs w:val="20"/>
    </w:rPr>
  </w:style>
  <w:style w:type="character" w:styleId="FootnoteReference">
    <w:name w:val="footnote reference"/>
    <w:basedOn w:val="DefaultParagraphFont"/>
    <w:uiPriority w:val="99"/>
    <w:semiHidden/>
    <w:unhideWhenUsed/>
    <w:rsid w:val="002D1664"/>
    <w:rPr>
      <w:vertAlign w:val="superscript"/>
    </w:rPr>
  </w:style>
  <w:style w:type="character" w:styleId="CommentReference">
    <w:name w:val="annotation reference"/>
    <w:basedOn w:val="DefaultParagraphFont"/>
    <w:uiPriority w:val="99"/>
    <w:semiHidden/>
    <w:unhideWhenUsed/>
    <w:rsid w:val="00874DB7"/>
    <w:rPr>
      <w:sz w:val="16"/>
      <w:szCs w:val="16"/>
    </w:rPr>
  </w:style>
  <w:style w:type="paragraph" w:styleId="CommentText">
    <w:name w:val="annotation text"/>
    <w:basedOn w:val="Normal"/>
    <w:link w:val="CommentTextChar"/>
    <w:uiPriority w:val="99"/>
    <w:unhideWhenUsed/>
    <w:rsid w:val="00874DB7"/>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874DB7"/>
    <w:rPr>
      <w:kern w:val="2"/>
      <w:sz w:val="20"/>
      <w:szCs w:val="20"/>
      <w14:ligatures w14:val="standardContextual"/>
    </w:rPr>
  </w:style>
  <w:style w:type="numbering" w:customStyle="1" w:styleId="A-I">
    <w:name w:val="A-I"/>
    <w:uiPriority w:val="99"/>
    <w:rsid w:val="00782DC0"/>
    <w:pPr>
      <w:numPr>
        <w:numId w:val="12"/>
      </w:numPr>
    </w:pPr>
  </w:style>
  <w:style w:type="paragraph" w:customStyle="1" w:styleId="Default">
    <w:name w:val="Default"/>
    <w:rsid w:val="00F35F6D"/>
    <w:pPr>
      <w:autoSpaceDE w:val="0"/>
      <w:autoSpaceDN w:val="0"/>
      <w:adjustRightInd w:val="0"/>
    </w:pPr>
    <w:rPr>
      <w:rFonts w:ascii="Times New Roman" w:eastAsiaTheme="minorHAnsi"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287FCF"/>
    <w:pPr>
      <w:spacing w:after="0"/>
    </w:pPr>
    <w:rPr>
      <w:b/>
      <w:bCs/>
      <w:kern w:val="0"/>
      <w14:ligatures w14:val="none"/>
    </w:rPr>
  </w:style>
  <w:style w:type="character" w:customStyle="1" w:styleId="CommentSubjectChar">
    <w:name w:val="Comment Subject Char"/>
    <w:basedOn w:val="CommentTextChar"/>
    <w:link w:val="CommentSubject"/>
    <w:uiPriority w:val="99"/>
    <w:semiHidden/>
    <w:rsid w:val="00287FCF"/>
    <w:rPr>
      <w:b/>
      <w:bCs/>
      <w:kern w:val="2"/>
      <w:sz w:val="20"/>
      <w:szCs w:val="20"/>
      <w14:ligatures w14:val="standardContextual"/>
    </w:rPr>
  </w:style>
  <w:style w:type="character" w:customStyle="1" w:styleId="Heading1Char">
    <w:name w:val="Heading 1 Char"/>
    <w:basedOn w:val="DefaultParagraphFont"/>
    <w:link w:val="Heading1"/>
    <w:uiPriority w:val="9"/>
    <w:rsid w:val="00020A18"/>
    <w:rPr>
      <w:rFonts w:ascii="Arial" w:hAnsi="Arial" w:cs="Arial"/>
      <w:b/>
      <w:bCs/>
      <w:sz w:val="22"/>
      <w:u w:val="single"/>
    </w:rPr>
  </w:style>
  <w:style w:type="character" w:customStyle="1" w:styleId="Heading2Char">
    <w:name w:val="Heading 2 Char"/>
    <w:basedOn w:val="DefaultParagraphFont"/>
    <w:link w:val="Heading2"/>
    <w:uiPriority w:val="9"/>
    <w:rsid w:val="00F62A1A"/>
    <w:rPr>
      <w:rFonts w:ascii="Arial" w:hAnsi="Arial" w:cs="Arial"/>
      <w:b/>
      <w:bCs/>
      <w:sz w:val="22"/>
    </w:rPr>
  </w:style>
  <w:style w:type="paragraph" w:styleId="NoSpacing">
    <w:name w:val="No Spacing"/>
    <w:basedOn w:val="Normal"/>
    <w:uiPriority w:val="1"/>
    <w:qFormat/>
    <w:rsid w:val="00C16A60"/>
    <w:pPr>
      <w:ind w:left="-180"/>
    </w:pPr>
    <w:rPr>
      <w:rFonts w:cs="Arial"/>
      <w:sz w:val="20"/>
      <w:szCs w:val="20"/>
    </w:rPr>
  </w:style>
  <w:style w:type="paragraph" w:styleId="Revision">
    <w:name w:val="Revision"/>
    <w:hidden/>
    <w:uiPriority w:val="99"/>
    <w:semiHidden/>
    <w:rsid w:val="002C3232"/>
    <w:rPr>
      <w:rFonts w:ascii="Arial" w:hAnsi="Arial"/>
      <w:sz w:val="22"/>
    </w:rPr>
  </w:style>
  <w:style w:type="character" w:customStyle="1" w:styleId="cf01">
    <w:name w:val="cf01"/>
    <w:basedOn w:val="DefaultParagraphFont"/>
    <w:rsid w:val="00E051AB"/>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408816">
      <w:bodyDiv w:val="1"/>
      <w:marLeft w:val="0"/>
      <w:marRight w:val="0"/>
      <w:marTop w:val="0"/>
      <w:marBottom w:val="0"/>
      <w:divBdr>
        <w:top w:val="none" w:sz="0" w:space="0" w:color="auto"/>
        <w:left w:val="none" w:sz="0" w:space="0" w:color="auto"/>
        <w:bottom w:val="none" w:sz="0" w:space="0" w:color="auto"/>
        <w:right w:val="none" w:sz="0" w:space="0" w:color="auto"/>
      </w:divBdr>
      <w:divsChild>
        <w:div w:id="1966889341">
          <w:marLeft w:val="0"/>
          <w:marRight w:val="0"/>
          <w:marTop w:val="0"/>
          <w:marBottom w:val="0"/>
          <w:divBdr>
            <w:top w:val="none" w:sz="0" w:space="0" w:color="auto"/>
            <w:left w:val="none" w:sz="0" w:space="0" w:color="auto"/>
            <w:bottom w:val="none" w:sz="0" w:space="0" w:color="auto"/>
            <w:right w:val="none" w:sz="0" w:space="0" w:color="auto"/>
          </w:divBdr>
          <w:divsChild>
            <w:div w:id="304088911">
              <w:marLeft w:val="0"/>
              <w:marRight w:val="0"/>
              <w:marTop w:val="0"/>
              <w:marBottom w:val="0"/>
              <w:divBdr>
                <w:top w:val="none" w:sz="0" w:space="0" w:color="auto"/>
                <w:left w:val="none" w:sz="0" w:space="0" w:color="auto"/>
                <w:bottom w:val="none" w:sz="0" w:space="0" w:color="auto"/>
                <w:right w:val="none" w:sz="0" w:space="0" w:color="auto"/>
              </w:divBdr>
            </w:div>
          </w:divsChild>
        </w:div>
        <w:div w:id="457996137">
          <w:marLeft w:val="0"/>
          <w:marRight w:val="0"/>
          <w:marTop w:val="0"/>
          <w:marBottom w:val="0"/>
          <w:divBdr>
            <w:top w:val="none" w:sz="0" w:space="0" w:color="auto"/>
            <w:left w:val="none" w:sz="0" w:space="0" w:color="auto"/>
            <w:bottom w:val="none" w:sz="0" w:space="0" w:color="auto"/>
            <w:right w:val="none" w:sz="0" w:space="0" w:color="auto"/>
          </w:divBdr>
          <w:divsChild>
            <w:div w:id="77216279">
              <w:marLeft w:val="0"/>
              <w:marRight w:val="0"/>
              <w:marTop w:val="0"/>
              <w:marBottom w:val="0"/>
              <w:divBdr>
                <w:top w:val="none" w:sz="0" w:space="0" w:color="auto"/>
                <w:left w:val="none" w:sz="0" w:space="0" w:color="auto"/>
                <w:bottom w:val="none" w:sz="0" w:space="0" w:color="auto"/>
                <w:right w:val="none" w:sz="0" w:space="0" w:color="auto"/>
              </w:divBdr>
              <w:divsChild>
                <w:div w:id="6098226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66711394">
      <w:bodyDiv w:val="1"/>
      <w:marLeft w:val="0"/>
      <w:marRight w:val="0"/>
      <w:marTop w:val="0"/>
      <w:marBottom w:val="0"/>
      <w:divBdr>
        <w:top w:val="none" w:sz="0" w:space="0" w:color="auto"/>
        <w:left w:val="none" w:sz="0" w:space="0" w:color="auto"/>
        <w:bottom w:val="none" w:sz="0" w:space="0" w:color="auto"/>
        <w:right w:val="none" w:sz="0" w:space="0" w:color="auto"/>
      </w:divBdr>
    </w:div>
    <w:div w:id="1866094018">
      <w:bodyDiv w:val="1"/>
      <w:marLeft w:val="0"/>
      <w:marRight w:val="0"/>
      <w:marTop w:val="0"/>
      <w:marBottom w:val="0"/>
      <w:divBdr>
        <w:top w:val="none" w:sz="0" w:space="0" w:color="auto"/>
        <w:left w:val="none" w:sz="0" w:space="0" w:color="auto"/>
        <w:bottom w:val="none" w:sz="0" w:space="0" w:color="auto"/>
        <w:right w:val="none" w:sz="0" w:space="0" w:color="auto"/>
      </w:divBdr>
    </w:div>
    <w:div w:id="2042584371">
      <w:bodyDiv w:val="1"/>
      <w:marLeft w:val="0"/>
      <w:marRight w:val="0"/>
      <w:marTop w:val="0"/>
      <w:marBottom w:val="0"/>
      <w:divBdr>
        <w:top w:val="none" w:sz="0" w:space="0" w:color="auto"/>
        <w:left w:val="none" w:sz="0" w:space="0" w:color="auto"/>
        <w:bottom w:val="none" w:sz="0" w:space="0" w:color="auto"/>
        <w:right w:val="none" w:sz="0" w:space="0" w:color="auto"/>
      </w:divBdr>
    </w:div>
    <w:div w:id="2112313562">
      <w:bodyDiv w:val="1"/>
      <w:marLeft w:val="0"/>
      <w:marRight w:val="0"/>
      <w:marTop w:val="0"/>
      <w:marBottom w:val="0"/>
      <w:divBdr>
        <w:top w:val="none" w:sz="0" w:space="0" w:color="auto"/>
        <w:left w:val="none" w:sz="0" w:space="0" w:color="auto"/>
        <w:bottom w:val="none" w:sz="0" w:space="0" w:color="auto"/>
        <w:right w:val="none" w:sz="0" w:space="0" w:color="auto"/>
      </w:divBdr>
    </w:div>
    <w:div w:id="2125225389">
      <w:bodyDiv w:val="1"/>
      <w:marLeft w:val="0"/>
      <w:marRight w:val="0"/>
      <w:marTop w:val="0"/>
      <w:marBottom w:val="0"/>
      <w:divBdr>
        <w:top w:val="none" w:sz="0" w:space="0" w:color="auto"/>
        <w:left w:val="none" w:sz="0" w:space="0" w:color="auto"/>
        <w:bottom w:val="none" w:sz="0" w:space="0" w:color="auto"/>
        <w:right w:val="none" w:sz="0" w:space="0" w:color="auto"/>
      </w:divBdr>
      <w:divsChild>
        <w:div w:id="1133909094">
          <w:marLeft w:val="0"/>
          <w:marRight w:val="0"/>
          <w:marTop w:val="0"/>
          <w:marBottom w:val="0"/>
          <w:divBdr>
            <w:top w:val="none" w:sz="0" w:space="0" w:color="auto"/>
            <w:left w:val="none" w:sz="0" w:space="0" w:color="auto"/>
            <w:bottom w:val="none" w:sz="0" w:space="0" w:color="auto"/>
            <w:right w:val="none" w:sz="0" w:space="0" w:color="auto"/>
          </w:divBdr>
          <w:divsChild>
            <w:div w:id="707144722">
              <w:marLeft w:val="0"/>
              <w:marRight w:val="0"/>
              <w:marTop w:val="0"/>
              <w:marBottom w:val="0"/>
              <w:divBdr>
                <w:top w:val="none" w:sz="0" w:space="0" w:color="auto"/>
                <w:left w:val="none" w:sz="0" w:space="0" w:color="auto"/>
                <w:bottom w:val="none" w:sz="0" w:space="0" w:color="auto"/>
                <w:right w:val="none" w:sz="0" w:space="0" w:color="auto"/>
              </w:divBdr>
            </w:div>
          </w:divsChild>
        </w:div>
        <w:div w:id="1982803260">
          <w:marLeft w:val="0"/>
          <w:marRight w:val="0"/>
          <w:marTop w:val="0"/>
          <w:marBottom w:val="0"/>
          <w:divBdr>
            <w:top w:val="none" w:sz="0" w:space="0" w:color="auto"/>
            <w:left w:val="none" w:sz="0" w:space="0" w:color="auto"/>
            <w:bottom w:val="none" w:sz="0" w:space="0" w:color="auto"/>
            <w:right w:val="none" w:sz="0" w:space="0" w:color="auto"/>
          </w:divBdr>
          <w:divsChild>
            <w:div w:id="429551764">
              <w:marLeft w:val="0"/>
              <w:marRight w:val="0"/>
              <w:marTop w:val="0"/>
              <w:marBottom w:val="0"/>
              <w:divBdr>
                <w:top w:val="none" w:sz="0" w:space="0" w:color="auto"/>
                <w:left w:val="none" w:sz="0" w:space="0" w:color="auto"/>
                <w:bottom w:val="none" w:sz="0" w:space="0" w:color="auto"/>
                <w:right w:val="none" w:sz="0" w:space="0" w:color="auto"/>
              </w:divBdr>
              <w:divsChild>
                <w:div w:id="463425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epa.gov/ghgreporting/find-and-use-ghgrp-data" TargetMode="External"/><Relationship Id="rId3" Type="http://schemas.openxmlformats.org/officeDocument/2006/relationships/hyperlink" Target="https://www.eei.org/-/media/Project/EEI/Documents/Issues-and-Policy/Finance-And-Tax/EEI-ESG-White-Paper.pdf?la=en&amp;hash=479E0EEA210720D15295607217FED498AD5A80F9" TargetMode="External"/><Relationship Id="rId7" Type="http://schemas.openxmlformats.org/officeDocument/2006/relationships/hyperlink" Target="https://oag.ca.gov/privacy/ccpa" TargetMode="External"/><Relationship Id="rId2" Type="http://schemas.openxmlformats.org/officeDocument/2006/relationships/hyperlink" Target="https://www.eei.org/issues-and-policy/esg-sustainability" TargetMode="External"/><Relationship Id="rId1" Type="http://schemas.openxmlformats.org/officeDocument/2006/relationships/hyperlink" Target="https://ww2.arb.ca.gov/sites/default/files/2025-01/ClimateDisclosureQs_Dec2024_v2.pdf" TargetMode="External"/><Relationship Id="rId6" Type="http://schemas.openxmlformats.org/officeDocument/2006/relationships/hyperlink" Target="https://leginfo.legislature.ca.gov/faces/pubSenDailyJrn2.xhtml?type=doc&amp;sessionyear=20232024&amp;pagenum=3057&amp;sessionnum=0&amp;fileid=996" TargetMode="External"/><Relationship Id="rId11" Type="http://schemas.openxmlformats.org/officeDocument/2006/relationships/hyperlink" Target="https://www.ifrs.org/sustainability/tcfd/" TargetMode="External"/><Relationship Id="rId5" Type="http://schemas.openxmlformats.org/officeDocument/2006/relationships/hyperlink" Target="https://www.eei.org/-/media/Project/EEI/Documents/Issues-and-Policy/Finance-And-Tax/ESG_Template_Quantitative.xlsx?la=en&amp;hash=8308E65B32CF580FCD2E441638F2B1721755E381" TargetMode="External"/><Relationship Id="rId10" Type="http://schemas.openxmlformats.org/officeDocument/2006/relationships/hyperlink" Target="https://efiling.energy.ca.gov/GetDocument.aspx?tn=258246&amp;DocumentContentId=94224" TargetMode="External"/><Relationship Id="rId4" Type="http://schemas.openxmlformats.org/officeDocument/2006/relationships/hyperlink" Target="https://www.eei.org/-/media/Project/EEI/Documents/Issues-and-Policy/Finance-And-Tax/ESG_Template_Qualitative.pdf?la=en&amp;hash=0D1672286A23D6835AFA554C97BBB99A4477D69C" TargetMode="External"/><Relationship Id="rId9" Type="http://schemas.openxmlformats.org/officeDocument/2006/relationships/hyperlink" Target="https://ww2.arb.ca.gov/mrr-key-dat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int_x0020_of_x0020_Contact xmlns="f75139fd-48b9-45c1-a4c7-52ae13733b45">
      <UserInfo>
        <DisplayName/>
        <AccountId xsi:nil="true"/>
        <AccountType/>
      </UserInfo>
    </Point_x0020_of_x0020_Contact>
    <TaxCatchAll xmlns="f75139fd-48b9-45c1-a4c7-52ae13733b45">
      <Value>1</Value>
    </TaxCatchAll>
    <h3487f429dd544ecac3ca483399d915c xmlns="f75139fd-48b9-45c1-a4c7-52ae13733b4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e135b46b-1637-42a3-b6bc-21df4aca003d</TermId>
        </TermInfo>
      </Terms>
    </h3487f429dd544ecac3ca483399d915c>
    <Publish_x0020_Date xmlns="f75139fd-48b9-45c1-a4c7-52ae13733b45" xsi:nil="true"/>
    <m1e51c72584a495991d3e59c8b35fd92 xmlns="f75139fd-48b9-45c1-a4c7-52ae13733b45">
      <Terms xmlns="http://schemas.microsoft.com/office/infopath/2007/PartnerControls"/>
    </m1e51c72584a495991d3e59c8b35fd92>
    <p27369af10ac448b8907240f4e94ffa3 xmlns="f75139fd-48b9-45c1-a4c7-52ae13733b45">
      <Terms xmlns="http://schemas.microsoft.com/office/infopath/2007/PartnerControls"/>
    </p27369af10ac448b8907240f4e94ffa3>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bffcc6e0-4e0c-4e25-a433-30f022ae7c34" ContentTypeId="0x0101008C8553A4B20F6E4198D3ACFA8C366E73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EI Resource Document" ma:contentTypeID="0x0101008C8553A4B20F6E4198D3ACFA8C366E73010046E4D88FAC2F71479E6E19DC2457A2ED" ma:contentTypeVersion="3" ma:contentTypeDescription="" ma:contentTypeScope="" ma:versionID="f561e560e5e58917f9e766825feb4625">
  <xsd:schema xmlns:xsd="http://www.w3.org/2001/XMLSchema" xmlns:xs="http://www.w3.org/2001/XMLSchema" xmlns:p="http://schemas.microsoft.com/office/2006/metadata/properties" xmlns:ns2="f75139fd-48b9-45c1-a4c7-52ae13733b45" targetNamespace="http://schemas.microsoft.com/office/2006/metadata/properties" ma:root="true" ma:fieldsID="5a6b97f5be1f3e21b1fac68eb9bf394f" ns2:_="">
    <xsd:import namespace="f75139fd-48b9-45c1-a4c7-52ae13733b45"/>
    <xsd:element name="properties">
      <xsd:complexType>
        <xsd:sequence>
          <xsd:element name="documentManagement">
            <xsd:complexType>
              <xsd:all>
                <xsd:element ref="ns2:m1e51c72584a495991d3e59c8b35fd92" minOccurs="0"/>
                <xsd:element ref="ns2:TaxCatchAll" minOccurs="0"/>
                <xsd:element ref="ns2:TaxCatchAllLabel" minOccurs="0"/>
                <xsd:element ref="ns2:Point_x0020_of_x0020_Contact" minOccurs="0"/>
                <xsd:element ref="ns2:Publish_x0020_Date" minOccurs="0"/>
                <xsd:element ref="ns2:p27369af10ac448b8907240f4e94ffa3" minOccurs="0"/>
                <xsd:element ref="ns2:h3487f429dd544ecac3ca483399d915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139fd-48b9-45c1-a4c7-52ae13733b45" elementFormDefault="qualified">
    <xsd:import namespace="http://schemas.microsoft.com/office/2006/documentManagement/types"/>
    <xsd:import namespace="http://schemas.microsoft.com/office/infopath/2007/PartnerControls"/>
    <xsd:element name="m1e51c72584a495991d3e59c8b35fd92" ma:index="8" nillable="true" ma:taxonomy="true" ma:internalName="m1e51c72584a495991d3e59c8b35fd92" ma:taxonomyFieldName="EEI_x0020_Department" ma:displayName="EEI Department" ma:default="" ma:fieldId="{61e51c72-584a-4959-91d3-e59c8b35fd92}" ma:sspId="bffcc6e0-4e0c-4e25-a433-30f022ae7c34" ma:termSetId="f0f5f5c4-da7c-4c90-9033-ea6ead97b6c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aa1caaf-af31-4916-8fea-052ff32907f7}" ma:internalName="TaxCatchAll" ma:showField="CatchAllData" ma:web="a934564b-df73-4ba5-bbd8-1d811bbff4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a1caaf-af31-4916-8fea-052ff32907f7}" ma:internalName="TaxCatchAllLabel" ma:readOnly="true" ma:showField="CatchAllDataLabel" ma:web="a934564b-df73-4ba5-bbd8-1d811bbff473">
      <xsd:complexType>
        <xsd:complexContent>
          <xsd:extension base="dms:MultiChoiceLookup">
            <xsd:sequence>
              <xsd:element name="Value" type="dms:Lookup" maxOccurs="unbounded" minOccurs="0" nillable="true"/>
            </xsd:sequence>
          </xsd:extension>
        </xsd:complexContent>
      </xsd:complexType>
    </xsd:element>
    <xsd:element name="Point_x0020_of_x0020_Contact" ma:index="12" nillable="true"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_x0020_Date" ma:index="13" nillable="true" ma:displayName="Publish Date" ma:format="DateOnly" ma:internalName="Publish_x0020_Date">
      <xsd:simpleType>
        <xsd:restriction base="dms:DateTime"/>
      </xsd:simpleType>
    </xsd:element>
    <xsd:element name="p27369af10ac448b8907240f4e94ffa3" ma:index="14" nillable="true" ma:taxonomy="true" ma:internalName="p27369af10ac448b8907240f4e94ffa3" ma:taxonomyFieldName="Topic" ma:displayName="Topic" ma:default="" ma:fieldId="{927369af-10ac-448b-8907-240f4e94ffa3}" ma:taxonomyMulti="true" ma:sspId="bffcc6e0-4e0c-4e25-a433-30f022ae7c34" ma:termSetId="cc3e152b-1a14-44ee-b0a9-d82f8e36b9bb" ma:anchorId="00000000-0000-0000-0000-000000000000" ma:open="false" ma:isKeyword="false">
      <xsd:complexType>
        <xsd:sequence>
          <xsd:element ref="pc:Terms" minOccurs="0" maxOccurs="1"/>
        </xsd:sequence>
      </xsd:complexType>
    </xsd:element>
    <xsd:element name="h3487f429dd544ecac3ca483399d915c" ma:index="16" nillable="true" ma:taxonomy="true" ma:internalName="h3487f429dd544ecac3ca483399d915c" ma:taxonomyFieldName="EEI_x0020_Resource_x0020_Type" ma:displayName="EEI Resource Type" ma:default="" ma:fieldId="{13487f42-9dd5-44ec-ac3c-a483399d915c}" ma:taxonomyMulti="true" ma:sspId="bffcc6e0-4e0c-4e25-a433-30f022ae7c34" ma:termSetId="4a4140d1-0e9e-4282-89c0-3cbb9843fae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1CA15-EE94-4C28-8FBA-057477814237}">
  <ds:schemaRefs>
    <ds:schemaRef ds:uri="http://schemas.microsoft.com/office/2006/metadata/properties"/>
    <ds:schemaRef ds:uri="http://schemas.microsoft.com/office/infopath/2007/PartnerControls"/>
    <ds:schemaRef ds:uri="f75139fd-48b9-45c1-a4c7-52ae13733b45"/>
  </ds:schemaRefs>
</ds:datastoreItem>
</file>

<file path=customXml/itemProps2.xml><?xml version="1.0" encoding="utf-8"?>
<ds:datastoreItem xmlns:ds="http://schemas.openxmlformats.org/officeDocument/2006/customXml" ds:itemID="{E9899AB0-9E87-8940-BC61-4695C10A3DC1}">
  <ds:schemaRefs>
    <ds:schemaRef ds:uri="http://schemas.openxmlformats.org/officeDocument/2006/bibliography"/>
  </ds:schemaRefs>
</ds:datastoreItem>
</file>

<file path=customXml/itemProps3.xml><?xml version="1.0" encoding="utf-8"?>
<ds:datastoreItem xmlns:ds="http://schemas.openxmlformats.org/officeDocument/2006/customXml" ds:itemID="{6DAC94A2-E2CF-427B-BEB7-C25A0DEC3D5E}">
  <ds:schemaRefs>
    <ds:schemaRef ds:uri="Microsoft.SharePoint.Taxonomy.ContentTypeSync"/>
  </ds:schemaRefs>
</ds:datastoreItem>
</file>

<file path=customXml/itemProps4.xml><?xml version="1.0" encoding="utf-8"?>
<ds:datastoreItem xmlns:ds="http://schemas.openxmlformats.org/officeDocument/2006/customXml" ds:itemID="{B4377450-36E4-4B16-B8AB-8979D62D8146}">
  <ds:schemaRefs>
    <ds:schemaRef ds:uri="http://schemas.microsoft.com/sharepoint/v3/contenttype/forms"/>
  </ds:schemaRefs>
</ds:datastoreItem>
</file>

<file path=customXml/itemProps5.xml><?xml version="1.0" encoding="utf-8"?>
<ds:datastoreItem xmlns:ds="http://schemas.openxmlformats.org/officeDocument/2006/customXml" ds:itemID="{DDC6B2EF-1F01-4675-96E6-CDA7FD0E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139fd-48b9-45c1-a4c7-52ae13733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3625</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EEI Generic Letterhead Template</vt:lpstr>
    </vt:vector>
  </TitlesOfParts>
  <Company>Edison Electric Institute</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EEI Generic Letterhead Template</dc:title>
  <dc:subject/>
  <dc:creator>Jacob Moshel</dc:creator>
  <cp:keywords/>
  <dc:description/>
  <cp:lastModifiedBy>Eric Holdsworth</cp:lastModifiedBy>
  <cp:revision>2</cp:revision>
  <cp:lastPrinted>2025-03-14T20:26:00Z</cp:lastPrinted>
  <dcterms:created xsi:type="dcterms:W3CDTF">2025-03-21T17:27:00Z</dcterms:created>
  <dcterms:modified xsi:type="dcterms:W3CDTF">2025-03-21T17:27:00Z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0x0101008C8553A4B20F6E4198D3ACFA8C366E73010046E4D88FAC2F71479E6E19DC2457A2ED</vt:lpwstr>
  </property>
  <property fmtid="{D5CDD505-2E9C-101B-9397-08002B2CF9AE}" pid="3" name="Topic">
    <vt:lpwstr/>
  </property>
  <property fmtid="{D5CDD505-2E9C-101B-9397-08002B2CF9AE}" pid="4" name="EEI Department">
    <vt:lpwstr/>
  </property>
  <property fmtid="{D5CDD505-2E9C-101B-9397-08002B2CF9AE}" pid="5" name="EEI Resource Type">
    <vt:lpwstr>1;#Template|e135b46b-1637-42a3-b6bc-21df4aca003d</vt:lpwstr>
  </property>
</Properties>
</file>