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3FD67" w14:textId="77777777" w:rsidR="009C096F" w:rsidRPr="00420286" w:rsidRDefault="009C096F" w:rsidP="009C096F">
      <w:pPr>
        <w:pStyle w:val="NormalWeb"/>
        <w:rPr>
          <w:rFonts w:ascii="Garamond" w:hAnsi="Garamond"/>
        </w:rPr>
      </w:pPr>
      <w:r w:rsidRPr="00420286">
        <w:rPr>
          <w:rStyle w:val="Strong"/>
          <w:rFonts w:ascii="Garamond" w:eastAsiaTheme="majorEastAsia" w:hAnsi="Garamond"/>
        </w:rPr>
        <w:t>Subject: Solicitation Response to Inform Implementation of California Climate-Disclosure Legislation (SB 253 and SB 261)</w:t>
      </w:r>
    </w:p>
    <w:p w14:paraId="67F52865" w14:textId="072697D0" w:rsidR="009C096F" w:rsidRPr="00420286" w:rsidRDefault="009C096F" w:rsidP="009C096F">
      <w:pPr>
        <w:pStyle w:val="NormalWeb"/>
        <w:rPr>
          <w:rFonts w:ascii="Garamond" w:hAnsi="Garamond"/>
        </w:rPr>
      </w:pPr>
      <w:r w:rsidRPr="00420286">
        <w:rPr>
          <w:rFonts w:ascii="Garamond" w:hAnsi="Garamond"/>
        </w:rPr>
        <w:t>Dear California Air Resources Board Team</w:t>
      </w:r>
    </w:p>
    <w:p w14:paraId="1FC4783C" w14:textId="507AFB1E" w:rsidR="009C096F" w:rsidRPr="00420286" w:rsidRDefault="009C096F" w:rsidP="009C096F">
      <w:pPr>
        <w:spacing w:after="240" w:line="240" w:lineRule="auto"/>
        <w:rPr>
          <w:rFonts w:ascii="Garamond" w:eastAsia="Times New Roman" w:hAnsi="Garamond" w:cs="Times New Roman"/>
          <w:kern w:val="0"/>
          <w14:ligatures w14:val="none"/>
        </w:rPr>
      </w:pPr>
      <w:r w:rsidRPr="00420286">
        <w:rPr>
          <w:rFonts w:ascii="Garamond" w:eastAsia="Times New Roman" w:hAnsi="Garamond" w:cs="Times New Roman"/>
          <w:kern w:val="0"/>
          <w14:ligatures w14:val="none"/>
        </w:rPr>
        <w:t>Thank you for t</w:t>
      </w:r>
      <w:r w:rsidRPr="009C096F">
        <w:rPr>
          <w:rFonts w:ascii="Garamond" w:eastAsia="Times New Roman" w:hAnsi="Garamond" w:cs="Times New Roman"/>
          <w:kern w:val="0"/>
          <w14:ligatures w14:val="none"/>
        </w:rPr>
        <w:t xml:space="preserve">he opportunity to provide comments on how Senate Bills 253 and 261, as revised by SB 219, are executed. This forward-looking bill underlines California's will to address one of the most pressing issues of our day </w:t>
      </w:r>
      <w:r w:rsidR="00DB46B5">
        <w:rPr>
          <w:rFonts w:ascii="Garamond" w:eastAsia="Times New Roman" w:hAnsi="Garamond" w:cs="Times New Roman"/>
          <w:kern w:val="0"/>
          <w14:ligatures w14:val="none"/>
        </w:rPr>
        <w:t>while confirming</w:t>
      </w:r>
      <w:r w:rsidRPr="009C096F">
        <w:rPr>
          <w:rFonts w:ascii="Garamond" w:eastAsia="Times New Roman" w:hAnsi="Garamond" w:cs="Times New Roman"/>
          <w:kern w:val="0"/>
          <w14:ligatures w14:val="none"/>
        </w:rPr>
        <w:t xml:space="preserve"> the state's leadership in worldwide corporate openness related </w:t>
      </w:r>
      <w:r w:rsidR="00244DED" w:rsidRPr="00420286">
        <w:rPr>
          <w:rFonts w:ascii="Garamond" w:eastAsia="Times New Roman" w:hAnsi="Garamond" w:cs="Times New Roman"/>
          <w:kern w:val="0"/>
          <w14:ligatures w14:val="none"/>
        </w:rPr>
        <w:t>to</w:t>
      </w:r>
      <w:r w:rsidRPr="009C096F">
        <w:rPr>
          <w:rFonts w:ascii="Garamond" w:eastAsia="Times New Roman" w:hAnsi="Garamond" w:cs="Times New Roman"/>
          <w:kern w:val="0"/>
          <w14:ligatures w14:val="none"/>
        </w:rPr>
        <w:t xml:space="preserve"> climate change. California imposes rigorous reporting regulations for greenhouse gas (GHG) emissions and climate-related financial risks, therefore establishing a benchmark for strong and imaginative policy linking environmental stewardship with economic innovation. </w:t>
      </w:r>
      <w:r w:rsidRPr="00420286">
        <w:rPr>
          <w:rFonts w:ascii="Garamond" w:eastAsia="Times New Roman" w:hAnsi="Garamond" w:cs="Times New Roman"/>
          <w:kern w:val="0"/>
          <w14:ligatures w14:val="none"/>
        </w:rPr>
        <w:t>I</w:t>
      </w:r>
      <w:r w:rsidRPr="009C096F">
        <w:rPr>
          <w:rFonts w:ascii="Garamond" w:eastAsia="Times New Roman" w:hAnsi="Garamond" w:cs="Times New Roman"/>
          <w:kern w:val="0"/>
          <w14:ligatures w14:val="none"/>
        </w:rPr>
        <w:t xml:space="preserve"> value the California Air Resources Board (CARB) for its dedication to ensure a robust, fair, and rigorous implementation process; </w:t>
      </w:r>
      <w:r w:rsidRPr="00420286">
        <w:rPr>
          <w:rFonts w:ascii="Garamond" w:eastAsia="Times New Roman" w:hAnsi="Garamond" w:cs="Times New Roman"/>
          <w:kern w:val="0"/>
          <w14:ligatures w14:val="none"/>
        </w:rPr>
        <w:t>I</w:t>
      </w:r>
      <w:r w:rsidRPr="009C096F">
        <w:rPr>
          <w:rFonts w:ascii="Garamond" w:eastAsia="Times New Roman" w:hAnsi="Garamond" w:cs="Times New Roman"/>
          <w:kern w:val="0"/>
          <w14:ligatures w14:val="none"/>
        </w:rPr>
        <w:t xml:space="preserve"> would be pleased to provide ideas and analysis to assist to further this important endeavor. </w:t>
      </w:r>
    </w:p>
    <w:p w14:paraId="334611A1" w14:textId="1944F78E" w:rsidR="009C096F" w:rsidRPr="00420286" w:rsidRDefault="009C096F" w:rsidP="009C096F">
      <w:pPr>
        <w:spacing w:after="240" w:line="240" w:lineRule="auto"/>
        <w:rPr>
          <w:rFonts w:ascii="Garamond" w:eastAsia="Times New Roman" w:hAnsi="Garamond" w:cs="Times New Roman"/>
          <w:kern w:val="0"/>
          <w14:ligatures w14:val="none"/>
        </w:rPr>
      </w:pPr>
      <w:r w:rsidRPr="009C096F">
        <w:rPr>
          <w:rFonts w:ascii="Garamond" w:eastAsia="Times New Roman" w:hAnsi="Garamond" w:cs="Times New Roman"/>
          <w:kern w:val="0"/>
          <w14:ligatures w14:val="none"/>
        </w:rPr>
        <w:br/>
        <w:t xml:space="preserve">Not merely a legal need, California's climate-disclosure rules offer businesses and policymakers a transformational opportunity. Already starting to impact risk profiles, supply networks, and economies is climate change. SB 253 and SB 261 thus offer a necessary foundation for providing businesses with the tools to effectively control climate-related risks, grab creative potential, and match evolving customer expectations. These disclosures simultaneously </w:t>
      </w:r>
      <w:r w:rsidR="00244DED" w:rsidRPr="00420286">
        <w:rPr>
          <w:rFonts w:ascii="Garamond" w:eastAsia="Times New Roman" w:hAnsi="Garamond" w:cs="Times New Roman"/>
          <w:kern w:val="0"/>
          <w14:ligatures w14:val="none"/>
        </w:rPr>
        <w:t>empower</w:t>
      </w:r>
      <w:r w:rsidRPr="009C096F">
        <w:rPr>
          <w:rFonts w:ascii="Garamond" w:eastAsia="Times New Roman" w:hAnsi="Garamond" w:cs="Times New Roman"/>
          <w:kern w:val="0"/>
          <w14:ligatures w14:val="none"/>
        </w:rPr>
        <w:t xml:space="preserve"> legislators by providing the data needed to produce informed, equitable, evidence-based climate policies generating major transformation.</w:t>
      </w:r>
    </w:p>
    <w:p w14:paraId="164E2140" w14:textId="03AF803C" w:rsidR="009C096F" w:rsidRPr="00420286" w:rsidRDefault="009C096F" w:rsidP="009C096F">
      <w:pPr>
        <w:spacing w:after="240" w:line="240" w:lineRule="auto"/>
        <w:rPr>
          <w:rFonts w:ascii="Garamond" w:eastAsia="Times New Roman" w:hAnsi="Garamond" w:cs="Times New Roman"/>
          <w:kern w:val="0"/>
          <w14:ligatures w14:val="none"/>
        </w:rPr>
      </w:pPr>
      <w:r w:rsidRPr="009C096F">
        <w:rPr>
          <w:rFonts w:ascii="Garamond" w:eastAsia="Times New Roman" w:hAnsi="Garamond" w:cs="Times New Roman"/>
          <w:kern w:val="0"/>
          <w14:ligatures w14:val="none"/>
        </w:rPr>
        <w:br/>
        <w:t xml:space="preserve">Furthermore, this regulation reflects a strategic economic potential rather than merely a need for the surroundings. As the consequences of climate change are more severe, companies and governments that embrace openness and sustainability will get a competitive edge in attracting investment, talent, and consumer confidence. By carefully balancing sustainable economic </w:t>
      </w:r>
      <w:r w:rsidR="00244DED" w:rsidRPr="00420286">
        <w:rPr>
          <w:rFonts w:ascii="Garamond" w:eastAsia="Times New Roman" w:hAnsi="Garamond" w:cs="Times New Roman"/>
          <w:kern w:val="0"/>
          <w14:ligatures w14:val="none"/>
        </w:rPr>
        <w:t>development as a</w:t>
      </w:r>
      <w:r w:rsidRPr="009C096F">
        <w:rPr>
          <w:rFonts w:ascii="Garamond" w:eastAsia="Times New Roman" w:hAnsi="Garamond" w:cs="Times New Roman"/>
          <w:kern w:val="0"/>
          <w14:ligatures w14:val="none"/>
        </w:rPr>
        <w:t xml:space="preserve"> top priority along with climate risk mitigation, California has the chance to create a scalable and repeatable model for governments all around. This balance helps to support the ambitious state climate targets as </w:t>
      </w:r>
      <w:r w:rsidRPr="00420286">
        <w:rPr>
          <w:rFonts w:ascii="Garamond" w:eastAsia="Times New Roman" w:hAnsi="Garamond" w:cs="Times New Roman"/>
          <w:kern w:val="0"/>
          <w14:ligatures w14:val="none"/>
        </w:rPr>
        <w:t>I</w:t>
      </w:r>
      <w:r w:rsidRPr="009C096F">
        <w:rPr>
          <w:rFonts w:ascii="Garamond" w:eastAsia="Times New Roman" w:hAnsi="Garamond" w:cs="Times New Roman"/>
          <w:kern w:val="0"/>
          <w14:ligatures w14:val="none"/>
        </w:rPr>
        <w:t xml:space="preserve">ll as to maintain the viability and competitiveness of businesses. </w:t>
      </w:r>
      <w:r w:rsidRPr="009C096F">
        <w:rPr>
          <w:rFonts w:ascii="Garamond" w:eastAsia="Times New Roman" w:hAnsi="Garamond" w:cs="Times New Roman"/>
          <w:kern w:val="0"/>
          <w14:ligatures w14:val="none"/>
        </w:rPr>
        <w:br/>
      </w:r>
      <w:r w:rsidRPr="009C096F">
        <w:rPr>
          <w:rFonts w:ascii="Garamond" w:eastAsia="Times New Roman" w:hAnsi="Garamond" w:cs="Times New Roman"/>
          <w:kern w:val="0"/>
          <w14:ligatures w14:val="none"/>
        </w:rPr>
        <w:br/>
      </w:r>
      <w:r w:rsidRPr="009C096F">
        <w:rPr>
          <w:rFonts w:ascii="Garamond" w:eastAsia="Times New Roman" w:hAnsi="Garamond" w:cs="Times New Roman"/>
          <w:kern w:val="0"/>
          <w14:ligatures w14:val="none"/>
        </w:rPr>
        <w:br/>
        <w:t xml:space="preserve">Good </w:t>
      </w:r>
      <w:proofErr w:type="gramStart"/>
      <w:r w:rsidRPr="009C096F">
        <w:rPr>
          <w:rFonts w:ascii="Garamond" w:eastAsia="Times New Roman" w:hAnsi="Garamond" w:cs="Times New Roman"/>
          <w:kern w:val="0"/>
          <w14:ligatures w14:val="none"/>
        </w:rPr>
        <w:t>application</w:t>
      </w:r>
      <w:proofErr w:type="gramEnd"/>
      <w:r w:rsidRPr="009C096F">
        <w:rPr>
          <w:rFonts w:ascii="Garamond" w:eastAsia="Times New Roman" w:hAnsi="Garamond" w:cs="Times New Roman"/>
          <w:kern w:val="0"/>
          <w14:ligatures w14:val="none"/>
        </w:rPr>
        <w:t xml:space="preserve"> of SB 253 and SB 261 will operate as a catalyst for systemic transformation, helping businesses to increase resilience, create low-carbon economy innovation, and build stakeholder confidence. The law provides legislators with a path to create and carry out climate policies grounded upon accurate, exhaustive, and pragmatic data. These laws taken together will help California to remain leading in global climate policy by offering a road map for how openness, responsibility, and creativity may coexist to achieve a more sustainable and </w:t>
      </w:r>
      <w:proofErr w:type="spellStart"/>
      <w:r w:rsidRPr="00420286">
        <w:rPr>
          <w:rFonts w:ascii="Garamond" w:eastAsia="Times New Roman" w:hAnsi="Garamond" w:cs="Times New Roman"/>
          <w:kern w:val="0"/>
          <w14:ligatures w14:val="none"/>
        </w:rPr>
        <w:t>I</w:t>
      </w:r>
      <w:r w:rsidRPr="009C096F">
        <w:rPr>
          <w:rFonts w:ascii="Garamond" w:eastAsia="Times New Roman" w:hAnsi="Garamond" w:cs="Times New Roman"/>
          <w:kern w:val="0"/>
          <w14:ligatures w14:val="none"/>
        </w:rPr>
        <w:t>althy</w:t>
      </w:r>
      <w:proofErr w:type="spellEnd"/>
      <w:r w:rsidRPr="009C096F">
        <w:rPr>
          <w:rFonts w:ascii="Garamond" w:eastAsia="Times New Roman" w:hAnsi="Garamond" w:cs="Times New Roman"/>
          <w:kern w:val="0"/>
          <w14:ligatures w14:val="none"/>
        </w:rPr>
        <w:t xml:space="preserve"> future. </w:t>
      </w:r>
    </w:p>
    <w:p w14:paraId="3965A0E3" w14:textId="1419D2BE" w:rsidR="009C096F" w:rsidRPr="009C096F" w:rsidRDefault="009C096F" w:rsidP="009C096F">
      <w:pPr>
        <w:spacing w:after="240" w:line="240" w:lineRule="auto"/>
        <w:rPr>
          <w:rFonts w:ascii="Garamond" w:eastAsia="Times New Roman" w:hAnsi="Garamond" w:cs="Times New Roman"/>
          <w:kern w:val="0"/>
          <w14:ligatures w14:val="none"/>
        </w:rPr>
      </w:pPr>
      <w:r w:rsidRPr="009C096F">
        <w:rPr>
          <w:rFonts w:ascii="Garamond" w:eastAsia="Times New Roman" w:hAnsi="Garamond" w:cs="Times New Roman"/>
          <w:kern w:val="0"/>
          <w14:ligatures w14:val="none"/>
        </w:rPr>
        <w:br/>
      </w:r>
      <w:r w:rsidRPr="00420286">
        <w:rPr>
          <w:rFonts w:ascii="Garamond" w:eastAsia="Times New Roman" w:hAnsi="Garamond" w:cs="Times New Roman"/>
          <w:kern w:val="0"/>
          <w14:ligatures w14:val="none"/>
        </w:rPr>
        <w:t>I</w:t>
      </w:r>
      <w:r w:rsidRPr="009C096F">
        <w:rPr>
          <w:rFonts w:ascii="Garamond" w:eastAsia="Times New Roman" w:hAnsi="Garamond" w:cs="Times New Roman"/>
          <w:kern w:val="0"/>
          <w14:ligatures w14:val="none"/>
        </w:rPr>
        <w:t xml:space="preserve"> greatly appreciate the opportunity to support </w:t>
      </w:r>
      <w:proofErr w:type="gramStart"/>
      <w:r w:rsidRPr="009C096F">
        <w:rPr>
          <w:rFonts w:ascii="Garamond" w:eastAsia="Times New Roman" w:hAnsi="Garamond" w:cs="Times New Roman"/>
          <w:kern w:val="0"/>
          <w14:ligatures w14:val="none"/>
        </w:rPr>
        <w:t>CARB</w:t>
      </w:r>
      <w:proofErr w:type="gramEnd"/>
      <w:r w:rsidRPr="009C096F">
        <w:rPr>
          <w:rFonts w:ascii="Garamond" w:eastAsia="Times New Roman" w:hAnsi="Garamond" w:cs="Times New Roman"/>
          <w:kern w:val="0"/>
          <w14:ligatures w14:val="none"/>
        </w:rPr>
        <w:t xml:space="preserve"> in its continuous leadership on these critical issues. </w:t>
      </w:r>
      <w:r w:rsidRPr="009C096F">
        <w:rPr>
          <w:rFonts w:ascii="Garamond" w:eastAsia="Times New Roman" w:hAnsi="Garamond" w:cs="Times New Roman"/>
          <w:kern w:val="0"/>
          <w14:ligatures w14:val="none"/>
        </w:rPr>
        <w:br/>
      </w:r>
    </w:p>
    <w:p w14:paraId="7CE1B7C2" w14:textId="77777777" w:rsidR="00420286" w:rsidRDefault="00420286" w:rsidP="009C096F">
      <w:pPr>
        <w:spacing w:before="100" w:beforeAutospacing="1" w:after="100" w:afterAutospacing="1" w:line="240" w:lineRule="auto"/>
        <w:rPr>
          <w:rFonts w:ascii="Garamond" w:eastAsia="Times New Roman" w:hAnsi="Garamond" w:cs="Times New Roman"/>
          <w:b/>
          <w:bCs/>
          <w:kern w:val="0"/>
          <w14:ligatures w14:val="none"/>
        </w:rPr>
      </w:pPr>
    </w:p>
    <w:p w14:paraId="6F4CD97F" w14:textId="2079D4B4" w:rsidR="009C096F" w:rsidRPr="00C81E46" w:rsidRDefault="009C096F" w:rsidP="009C096F">
      <w:pPr>
        <w:spacing w:before="100" w:beforeAutospacing="1" w:after="100" w:afterAutospacing="1" w:line="240" w:lineRule="auto"/>
        <w:rPr>
          <w:rFonts w:ascii="Garamond" w:eastAsia="Times New Roman" w:hAnsi="Garamond" w:cs="Times New Roman"/>
          <w:kern w:val="0"/>
          <w14:ligatures w14:val="none"/>
        </w:rPr>
      </w:pPr>
      <w:r w:rsidRPr="00C81E46">
        <w:rPr>
          <w:rFonts w:ascii="Garamond" w:eastAsia="Times New Roman" w:hAnsi="Garamond" w:cs="Times New Roman"/>
          <w:b/>
          <w:bCs/>
          <w:kern w:val="0"/>
          <w14:ligatures w14:val="none"/>
        </w:rPr>
        <w:lastRenderedPageBreak/>
        <w:t>General: Applicability</w:t>
      </w:r>
    </w:p>
    <w:p w14:paraId="223140F5" w14:textId="7240DB2A" w:rsidR="00BE7284" w:rsidRPr="00420286" w:rsidRDefault="009C096F" w:rsidP="009C096F">
      <w:pPr>
        <w:rPr>
          <w:rFonts w:ascii="Garamond" w:eastAsia="Times New Roman" w:hAnsi="Garamond" w:cs="Times New Roman"/>
          <w:b/>
          <w:bCs/>
          <w:kern w:val="0"/>
          <w14:ligatures w14:val="none"/>
        </w:rPr>
      </w:pPr>
      <w:r w:rsidRPr="00C81E46">
        <w:rPr>
          <w:rFonts w:ascii="Garamond" w:eastAsia="Times New Roman" w:hAnsi="Garamond" w:cs="Times New Roman"/>
          <w:b/>
          <w:bCs/>
          <w:kern w:val="0"/>
          <w14:ligatures w14:val="none"/>
        </w:rPr>
        <w:t>Defining “Doing Business in California”</w:t>
      </w:r>
    </w:p>
    <w:p w14:paraId="30D0D024" w14:textId="77777777" w:rsidR="00951392" w:rsidRDefault="009C096F" w:rsidP="009C096F">
      <w:pPr>
        <w:spacing w:after="240" w:line="240" w:lineRule="auto"/>
        <w:rPr>
          <w:rFonts w:ascii="Garamond" w:eastAsia="Times New Roman" w:hAnsi="Garamond" w:cs="Times New Roman"/>
          <w:kern w:val="0"/>
          <w14:ligatures w14:val="none"/>
        </w:rPr>
      </w:pPr>
      <w:r w:rsidRPr="009C096F">
        <w:rPr>
          <w:rFonts w:ascii="Garamond" w:eastAsia="Times New Roman" w:hAnsi="Garamond" w:cs="Times New Roman"/>
          <w:kern w:val="0"/>
          <w14:ligatures w14:val="none"/>
        </w:rPr>
        <w:t xml:space="preserve">By redefining "doing business in California" under Revenue and Tax Code section 23101, conventional requirements like sales, payroll, and property thresholds will be clearer. This alignment will enable businesses accustomed to these criteria </w:t>
      </w:r>
      <w:proofErr w:type="gramStart"/>
      <w:r w:rsidRPr="009C096F">
        <w:rPr>
          <w:rFonts w:ascii="Garamond" w:eastAsia="Times New Roman" w:hAnsi="Garamond" w:cs="Times New Roman"/>
          <w:kern w:val="0"/>
          <w14:ligatures w14:val="none"/>
        </w:rPr>
        <w:t>simplify</w:t>
      </w:r>
      <w:proofErr w:type="gramEnd"/>
      <w:r w:rsidRPr="009C096F">
        <w:rPr>
          <w:rFonts w:ascii="Garamond" w:eastAsia="Times New Roman" w:hAnsi="Garamond" w:cs="Times New Roman"/>
          <w:kern w:val="0"/>
          <w14:ligatures w14:val="none"/>
        </w:rPr>
        <w:t xml:space="preserve"> compliance processes and reduce confusion. </w:t>
      </w:r>
    </w:p>
    <w:p w14:paraId="419D719A" w14:textId="2D97BA3F" w:rsidR="009C096F" w:rsidRPr="00420286" w:rsidRDefault="009C096F" w:rsidP="009C096F">
      <w:pPr>
        <w:spacing w:after="240" w:line="240" w:lineRule="auto"/>
        <w:rPr>
          <w:rFonts w:ascii="Garamond" w:eastAsia="Times New Roman" w:hAnsi="Garamond" w:cs="Times New Roman"/>
          <w:kern w:val="0"/>
          <w14:ligatures w14:val="none"/>
        </w:rPr>
      </w:pPr>
      <w:r w:rsidRPr="009C096F">
        <w:rPr>
          <w:rFonts w:ascii="Garamond" w:eastAsia="Times New Roman" w:hAnsi="Garamond" w:cs="Times New Roman"/>
          <w:kern w:val="0"/>
          <w14:ligatures w14:val="none"/>
        </w:rPr>
        <w:br/>
        <w:t>Moreover covered in the scope of applicability should be federal and state government entities generating money as well as entities either wholly or partially owned by foreign governments. Climate risks and emissions go across corporate boundaries; equitable responsibility demands that all California economic stakeholders follow these disclosure policies.</w:t>
      </w:r>
    </w:p>
    <w:p w14:paraId="66B8B912" w14:textId="77777777" w:rsidR="009C096F" w:rsidRPr="00420286" w:rsidRDefault="009C096F" w:rsidP="009C096F">
      <w:pPr>
        <w:spacing w:after="240" w:line="240" w:lineRule="auto"/>
        <w:rPr>
          <w:rFonts w:ascii="Garamond" w:eastAsia="Times New Roman" w:hAnsi="Garamond" w:cs="Times New Roman"/>
          <w:b/>
          <w:bCs/>
          <w:kern w:val="0"/>
          <w14:ligatures w14:val="none"/>
        </w:rPr>
      </w:pPr>
      <w:r w:rsidRPr="00C81E46">
        <w:rPr>
          <w:rFonts w:ascii="Garamond" w:eastAsia="Times New Roman" w:hAnsi="Garamond" w:cs="Times New Roman"/>
          <w:b/>
          <w:bCs/>
          <w:kern w:val="0"/>
          <w14:ligatures w14:val="none"/>
        </w:rPr>
        <w:t>Cost-Effective Identification of Covered Entities</w:t>
      </w:r>
    </w:p>
    <w:p w14:paraId="2F8EF834" w14:textId="77777777" w:rsidR="00C622F3" w:rsidRPr="00420286" w:rsidRDefault="009C096F" w:rsidP="00C622F3">
      <w:pPr>
        <w:spacing w:after="240"/>
        <w:rPr>
          <w:rFonts w:ascii="Garamond" w:eastAsia="Times New Roman" w:hAnsi="Garamond" w:cs="Times New Roman"/>
          <w:kern w:val="0"/>
          <w14:ligatures w14:val="none"/>
        </w:rPr>
      </w:pPr>
      <w:r w:rsidRPr="00420286">
        <w:rPr>
          <w:rFonts w:ascii="Garamond" w:eastAsia="Times New Roman" w:hAnsi="Garamond" w:cs="Times New Roman"/>
          <w:kern w:val="0"/>
          <w14:ligatures w14:val="none"/>
        </w:rPr>
        <w:t xml:space="preserve">CARB must combine public and private data sources if it is to correctly identify </w:t>
      </w:r>
      <w:proofErr w:type="gramStart"/>
      <w:r w:rsidRPr="00420286">
        <w:rPr>
          <w:rFonts w:ascii="Garamond" w:eastAsia="Times New Roman" w:hAnsi="Garamond" w:cs="Times New Roman"/>
          <w:kern w:val="0"/>
          <w14:ligatures w14:val="none"/>
        </w:rPr>
        <w:t>covered</w:t>
      </w:r>
      <w:proofErr w:type="gramEnd"/>
      <w:r w:rsidRPr="00420286">
        <w:rPr>
          <w:rFonts w:ascii="Garamond" w:eastAsia="Times New Roman" w:hAnsi="Garamond" w:cs="Times New Roman"/>
          <w:kern w:val="0"/>
          <w14:ligatures w14:val="none"/>
        </w:rPr>
        <w:t xml:space="preserve"> entities: </w:t>
      </w:r>
    </w:p>
    <w:p w14:paraId="45F7D9E8" w14:textId="7A1FC329" w:rsidR="009C096F" w:rsidRPr="00420286" w:rsidRDefault="009C096F" w:rsidP="00C622F3">
      <w:pPr>
        <w:pStyle w:val="ListParagraph"/>
        <w:numPr>
          <w:ilvl w:val="0"/>
          <w:numId w:val="1"/>
        </w:numPr>
        <w:spacing w:after="240"/>
        <w:rPr>
          <w:rFonts w:ascii="Garamond" w:eastAsia="Times New Roman" w:hAnsi="Garamond" w:cs="Times New Roman"/>
          <w:kern w:val="0"/>
          <w14:ligatures w14:val="none"/>
        </w:rPr>
      </w:pPr>
      <w:r w:rsidRPr="00420286">
        <w:rPr>
          <w:rFonts w:ascii="Garamond" w:eastAsia="Times New Roman" w:hAnsi="Garamond" w:cs="Times New Roman"/>
          <w:kern w:val="0"/>
          <w14:ligatures w14:val="none"/>
        </w:rPr>
        <w:t xml:space="preserve">Public Records: Using tax filings, company registration databases, and SEC filings, </w:t>
      </w:r>
      <w:proofErr w:type="gramStart"/>
      <w:r w:rsidRPr="00420286">
        <w:rPr>
          <w:rFonts w:ascii="Garamond" w:eastAsia="Times New Roman" w:hAnsi="Garamond" w:cs="Times New Roman"/>
          <w:kern w:val="0"/>
          <w14:ligatures w14:val="none"/>
        </w:rPr>
        <w:t>search</w:t>
      </w:r>
      <w:proofErr w:type="gramEnd"/>
      <w:r w:rsidRPr="00420286">
        <w:rPr>
          <w:rFonts w:ascii="Garamond" w:eastAsia="Times New Roman" w:hAnsi="Garamond" w:cs="Times New Roman"/>
          <w:kern w:val="0"/>
          <w14:ligatures w14:val="none"/>
        </w:rPr>
        <w:t xml:space="preserve"> publicly traded California companies.</w:t>
      </w:r>
    </w:p>
    <w:p w14:paraId="5706692F" w14:textId="1A84E4F3" w:rsidR="009C096F" w:rsidRPr="00420286" w:rsidRDefault="009C096F" w:rsidP="009C096F">
      <w:pPr>
        <w:pStyle w:val="ListParagraph"/>
        <w:numPr>
          <w:ilvl w:val="0"/>
          <w:numId w:val="1"/>
        </w:numPr>
        <w:spacing w:after="240"/>
        <w:rPr>
          <w:rFonts w:ascii="Garamond" w:eastAsia="Times New Roman" w:hAnsi="Garamond" w:cs="Times New Roman"/>
          <w:kern w:val="0"/>
          <w14:ligatures w14:val="none"/>
        </w:rPr>
      </w:pPr>
      <w:r w:rsidRPr="00420286">
        <w:rPr>
          <w:rFonts w:ascii="Garamond" w:eastAsia="Times New Roman" w:hAnsi="Garamond" w:cs="Times New Roman"/>
          <w:kern w:val="0"/>
          <w14:ligatures w14:val="none"/>
        </w:rPr>
        <w:t xml:space="preserve">Private Database: Make sure private businesses and subsidiaries are sufficiently recorded by adding insights from trustworthy data </w:t>
      </w:r>
      <w:r w:rsidR="004E7465" w:rsidRPr="00420286">
        <w:rPr>
          <w:rFonts w:ascii="Garamond" w:eastAsia="Times New Roman" w:hAnsi="Garamond" w:cs="Times New Roman"/>
          <w:kern w:val="0"/>
          <w14:ligatures w14:val="none"/>
        </w:rPr>
        <w:t>sources such</w:t>
      </w:r>
      <w:r w:rsidRPr="00420286">
        <w:rPr>
          <w:rFonts w:ascii="Garamond" w:eastAsia="Times New Roman" w:hAnsi="Garamond" w:cs="Times New Roman"/>
          <w:kern w:val="0"/>
          <w14:ligatures w14:val="none"/>
        </w:rPr>
        <w:t xml:space="preserve"> as Dun &amp; Bradstreet, Bloomberg, or Orbis. </w:t>
      </w:r>
    </w:p>
    <w:p w14:paraId="6A779D0E" w14:textId="77777777" w:rsidR="00C622F3" w:rsidRPr="00420286" w:rsidRDefault="009C096F" w:rsidP="00C622F3">
      <w:pPr>
        <w:spacing w:before="100" w:beforeAutospacing="1" w:after="100" w:afterAutospacing="1" w:line="240" w:lineRule="auto"/>
        <w:rPr>
          <w:rFonts w:ascii="Garamond" w:eastAsia="Times New Roman" w:hAnsi="Garamond" w:cs="Times New Roman"/>
          <w:kern w:val="0"/>
          <w14:ligatures w14:val="none"/>
        </w:rPr>
      </w:pPr>
      <w:r w:rsidRPr="00420286">
        <w:rPr>
          <w:rFonts w:ascii="Garamond" w:eastAsia="Times New Roman" w:hAnsi="Garamond" w:cs="Times New Roman"/>
          <w:kern w:val="0"/>
          <w14:ligatures w14:val="none"/>
        </w:rPr>
        <w:t xml:space="preserve">To provide complete openness across corporate structures, CARB should also mandate that reporting entities especially identify parent-subsidiary relationships. By verifying these links using corporate ownership databases, accuracy will rise and no major organization will be missed. </w:t>
      </w:r>
    </w:p>
    <w:p w14:paraId="7F8E6794" w14:textId="7BE710AC" w:rsidR="00C622F3" w:rsidRPr="00C81E46" w:rsidRDefault="009C096F" w:rsidP="00C622F3">
      <w:pPr>
        <w:spacing w:before="100" w:beforeAutospacing="1" w:after="100" w:afterAutospacing="1" w:line="240" w:lineRule="auto"/>
        <w:rPr>
          <w:rFonts w:ascii="Garamond" w:eastAsia="Times New Roman" w:hAnsi="Garamond" w:cs="Times New Roman"/>
          <w:kern w:val="0"/>
          <w14:ligatures w14:val="none"/>
        </w:rPr>
      </w:pPr>
      <w:r w:rsidRPr="00420286">
        <w:rPr>
          <w:rFonts w:ascii="Garamond" w:eastAsia="Times New Roman" w:hAnsi="Garamond" w:cs="Times New Roman"/>
          <w:kern w:val="0"/>
          <w14:ligatures w14:val="none"/>
        </w:rPr>
        <w:br/>
      </w:r>
      <w:r w:rsidR="00C622F3" w:rsidRPr="00C81E46">
        <w:rPr>
          <w:rFonts w:ascii="Garamond" w:eastAsia="Times New Roman" w:hAnsi="Garamond" w:cs="Times New Roman"/>
          <w:b/>
          <w:bCs/>
          <w:kern w:val="0"/>
          <w14:ligatures w14:val="none"/>
        </w:rPr>
        <w:t>General: Standards in Regulation</w:t>
      </w:r>
    </w:p>
    <w:p w14:paraId="2EE264B7" w14:textId="77777777" w:rsidR="00C622F3" w:rsidRPr="00420286" w:rsidRDefault="00C622F3" w:rsidP="00C622F3">
      <w:pPr>
        <w:spacing w:after="240" w:line="240" w:lineRule="auto"/>
        <w:rPr>
          <w:rFonts w:ascii="Garamond" w:eastAsia="Times New Roman" w:hAnsi="Garamond" w:cs="Times New Roman"/>
          <w:kern w:val="0"/>
          <w14:ligatures w14:val="none"/>
        </w:rPr>
      </w:pPr>
      <w:r w:rsidRPr="00C622F3">
        <w:rPr>
          <w:rFonts w:ascii="Garamond" w:eastAsia="Times New Roman" w:hAnsi="Garamond" w:cs="Times New Roman"/>
          <w:b/>
          <w:bCs/>
          <w:kern w:val="0"/>
          <w14:ligatures w14:val="none"/>
        </w:rPr>
        <w:t>Aligning Standards and Protocols</w:t>
      </w:r>
      <w:r w:rsidRPr="00C622F3">
        <w:rPr>
          <w:rFonts w:ascii="Garamond" w:eastAsia="Times New Roman" w:hAnsi="Garamond" w:cs="Times New Roman"/>
          <w:kern w:val="0"/>
          <w14:ligatures w14:val="none"/>
        </w:rPr>
        <w:t xml:space="preserve"> </w:t>
      </w:r>
    </w:p>
    <w:p w14:paraId="7E0D0300" w14:textId="77777777" w:rsidR="00C622F3" w:rsidRPr="00420286" w:rsidRDefault="00C622F3" w:rsidP="00C622F3">
      <w:pPr>
        <w:spacing w:after="240" w:line="240" w:lineRule="auto"/>
        <w:rPr>
          <w:rFonts w:ascii="Garamond" w:eastAsia="Times New Roman" w:hAnsi="Garamond" w:cs="Times New Roman"/>
          <w:kern w:val="0"/>
          <w14:ligatures w14:val="none"/>
        </w:rPr>
      </w:pPr>
      <w:r w:rsidRPr="00C622F3">
        <w:rPr>
          <w:rFonts w:ascii="Garamond" w:eastAsia="Times New Roman" w:hAnsi="Garamond" w:cs="Times New Roman"/>
          <w:kern w:val="0"/>
          <w14:ligatures w14:val="none"/>
        </w:rPr>
        <w:br/>
        <w:t>California's system of climate-disclosure must strike local relevance against global consistency. While adhering to international standards such as the GHG Protocol and TCFD guarantees fit with extant reporting systems, CARB should establish a standing committee to routinely evaluate and revise reporting criteria to reflect dangers particular to California including water stress and wildfire risk.</w:t>
      </w:r>
    </w:p>
    <w:p w14:paraId="2A229B55" w14:textId="77777777" w:rsidR="00C622F3" w:rsidRPr="00420286" w:rsidRDefault="00C622F3" w:rsidP="00C622F3">
      <w:pPr>
        <w:spacing w:after="240" w:line="240" w:lineRule="auto"/>
        <w:rPr>
          <w:rFonts w:ascii="Garamond" w:eastAsia="Times New Roman" w:hAnsi="Garamond" w:cs="Times New Roman"/>
          <w:kern w:val="0"/>
          <w14:ligatures w14:val="none"/>
        </w:rPr>
      </w:pPr>
      <w:r w:rsidRPr="00C622F3">
        <w:rPr>
          <w:rFonts w:ascii="Garamond" w:eastAsia="Times New Roman" w:hAnsi="Garamond" w:cs="Times New Roman"/>
          <w:kern w:val="0"/>
          <w14:ligatures w14:val="none"/>
        </w:rPr>
        <w:br/>
        <w:t xml:space="preserve">Reducing duplicity is another </w:t>
      </w:r>
      <w:proofErr w:type="gramStart"/>
      <w:r w:rsidRPr="00C622F3">
        <w:rPr>
          <w:rFonts w:ascii="Garamond" w:eastAsia="Times New Roman" w:hAnsi="Garamond" w:cs="Times New Roman"/>
          <w:kern w:val="0"/>
          <w14:ligatures w14:val="none"/>
        </w:rPr>
        <w:t>fairly vital</w:t>
      </w:r>
      <w:proofErr w:type="gramEnd"/>
      <w:r w:rsidRPr="00C622F3">
        <w:rPr>
          <w:rFonts w:ascii="Garamond" w:eastAsia="Times New Roman" w:hAnsi="Garamond" w:cs="Times New Roman"/>
          <w:kern w:val="0"/>
          <w14:ligatures w14:val="none"/>
        </w:rPr>
        <w:t xml:space="preserve"> goal. Harmonizing its standards with current responsibilities under programs like ISO 14064 and the EPA's GHG Reporting Program will enable CARB to aid businesses to efficiently meet various reporting requirements. Furthermore, entities should be required to use a consistent reporting method for at least three cycles; changes allowed only upon permission and cause. </w:t>
      </w:r>
    </w:p>
    <w:p w14:paraId="55262ABD" w14:textId="390912CB" w:rsidR="004E7465" w:rsidRPr="00420286" w:rsidRDefault="004E7465" w:rsidP="00C622F3">
      <w:pPr>
        <w:spacing w:after="240" w:line="240" w:lineRule="auto"/>
        <w:rPr>
          <w:rFonts w:ascii="Garamond" w:eastAsia="Times New Roman" w:hAnsi="Garamond" w:cs="Times New Roman"/>
          <w:b/>
          <w:bCs/>
          <w:kern w:val="0"/>
          <w14:ligatures w14:val="none"/>
        </w:rPr>
      </w:pPr>
      <w:r w:rsidRPr="00C81E46">
        <w:rPr>
          <w:rFonts w:ascii="Garamond" w:eastAsia="Times New Roman" w:hAnsi="Garamond" w:cs="Times New Roman"/>
          <w:b/>
          <w:bCs/>
          <w:kern w:val="0"/>
          <w14:ligatures w14:val="none"/>
        </w:rPr>
        <w:lastRenderedPageBreak/>
        <w:t>Taking a Delicate Balance Approach</w:t>
      </w:r>
    </w:p>
    <w:p w14:paraId="0857C66C" w14:textId="77777777" w:rsidR="004E7465" w:rsidRPr="00420286" w:rsidRDefault="004E7465" w:rsidP="004E7465">
      <w:pPr>
        <w:spacing w:after="240" w:line="240" w:lineRule="auto"/>
        <w:rPr>
          <w:rFonts w:ascii="Garamond" w:eastAsia="Times New Roman" w:hAnsi="Garamond" w:cs="Times New Roman"/>
          <w:kern w:val="0"/>
          <w14:ligatures w14:val="none"/>
        </w:rPr>
      </w:pPr>
      <w:r w:rsidRPr="00420286">
        <w:rPr>
          <w:rFonts w:ascii="Garamond" w:eastAsia="Times New Roman" w:hAnsi="Garamond" w:cs="Times New Roman"/>
          <w:kern w:val="0"/>
          <w14:ligatures w14:val="none"/>
        </w:rPr>
        <w:t xml:space="preserve">California's implementation strategy calls for carefully balancing lowering climate risk with promoting sustainable economic development. By building conditions that foster inventiveness and investment, CARB can ensure that businesses remain competitive while reducing their environmental impact. By phase-in scope 3 emissions, businesses will have time to adapt and build capacity and contribute to </w:t>
      </w:r>
      <w:proofErr w:type="gramStart"/>
      <w:r w:rsidRPr="00420286">
        <w:rPr>
          <w:rFonts w:ascii="Garamond" w:eastAsia="Times New Roman" w:hAnsi="Garamond" w:cs="Times New Roman"/>
          <w:kern w:val="0"/>
          <w14:ligatures w14:val="none"/>
        </w:rPr>
        <w:t>find</w:t>
      </w:r>
      <w:proofErr w:type="gramEnd"/>
      <w:r w:rsidRPr="00420286">
        <w:rPr>
          <w:rFonts w:ascii="Garamond" w:eastAsia="Times New Roman" w:hAnsi="Garamond" w:cs="Times New Roman"/>
          <w:kern w:val="0"/>
          <w14:ligatures w14:val="none"/>
        </w:rPr>
        <w:t xml:space="preserve"> this balance.</w:t>
      </w:r>
    </w:p>
    <w:p w14:paraId="2DFE491E" w14:textId="1A2B70E6" w:rsidR="004E7465" w:rsidRPr="00420286" w:rsidRDefault="004E7465" w:rsidP="004E7465">
      <w:pPr>
        <w:pStyle w:val="ListParagraph"/>
        <w:numPr>
          <w:ilvl w:val="0"/>
          <w:numId w:val="2"/>
        </w:numPr>
        <w:spacing w:after="240" w:line="240" w:lineRule="auto"/>
        <w:rPr>
          <w:rFonts w:ascii="Garamond" w:eastAsia="Times New Roman" w:hAnsi="Garamond" w:cs="Times New Roman"/>
          <w:kern w:val="0"/>
          <w14:ligatures w14:val="none"/>
        </w:rPr>
      </w:pPr>
      <w:r w:rsidRPr="00420286">
        <w:rPr>
          <w:rFonts w:ascii="Garamond" w:eastAsia="Times New Roman" w:hAnsi="Garamond" w:cs="Times New Roman"/>
          <w:kern w:val="0"/>
          <w14:ligatures w14:val="none"/>
        </w:rPr>
        <w:t xml:space="preserve">Providing incentives for early compliance or </w:t>
      </w:r>
      <w:r w:rsidR="001231AA" w:rsidRPr="00420286">
        <w:rPr>
          <w:rFonts w:ascii="Garamond" w:eastAsia="Times New Roman" w:hAnsi="Garamond" w:cs="Times New Roman"/>
          <w:kern w:val="0"/>
          <w14:ligatures w14:val="none"/>
        </w:rPr>
        <w:t>surpassing</w:t>
      </w:r>
      <w:r w:rsidRPr="00420286">
        <w:rPr>
          <w:rFonts w:ascii="Garamond" w:eastAsia="Times New Roman" w:hAnsi="Garamond" w:cs="Times New Roman"/>
          <w:kern w:val="0"/>
          <w14:ligatures w14:val="none"/>
        </w:rPr>
        <w:t xml:space="preserve"> reporting criteria could encourage innovation in answers for environmental control of emissions.</w:t>
      </w:r>
    </w:p>
    <w:p w14:paraId="034DC2D3" w14:textId="4E1DF41E" w:rsidR="004E7465" w:rsidRPr="00420286" w:rsidRDefault="004E7465" w:rsidP="004E7465">
      <w:pPr>
        <w:pStyle w:val="ListParagraph"/>
        <w:numPr>
          <w:ilvl w:val="0"/>
          <w:numId w:val="2"/>
        </w:numPr>
        <w:spacing w:after="240" w:line="240" w:lineRule="auto"/>
        <w:rPr>
          <w:rFonts w:ascii="Garamond" w:eastAsia="Times New Roman" w:hAnsi="Garamond" w:cs="Times New Roman"/>
          <w:kern w:val="0"/>
          <w14:ligatures w14:val="none"/>
        </w:rPr>
      </w:pPr>
      <w:r w:rsidRPr="00420286">
        <w:rPr>
          <w:rFonts w:ascii="Garamond" w:eastAsia="Times New Roman" w:hAnsi="Garamond" w:cs="Times New Roman"/>
          <w:kern w:val="0"/>
          <w14:ligatures w14:val="none"/>
        </w:rPr>
        <w:t>Giving sectors most susceptible to climate change or highest emissions top priority so that targeted and successful policy interventions follow.</w:t>
      </w:r>
    </w:p>
    <w:p w14:paraId="1E1403A1" w14:textId="77777777" w:rsidR="004E7465" w:rsidRPr="00420286" w:rsidRDefault="004E7465" w:rsidP="004E7465">
      <w:pPr>
        <w:spacing w:before="100" w:beforeAutospacing="1" w:after="100" w:afterAutospacing="1" w:line="240" w:lineRule="auto"/>
        <w:rPr>
          <w:rFonts w:ascii="Garamond" w:eastAsia="Times New Roman" w:hAnsi="Garamond" w:cs="Times New Roman"/>
          <w:b/>
          <w:bCs/>
          <w:kern w:val="0"/>
          <w14:ligatures w14:val="none"/>
        </w:rPr>
      </w:pPr>
      <w:r w:rsidRPr="00420286">
        <w:rPr>
          <w:rFonts w:ascii="Garamond" w:eastAsia="Times New Roman" w:hAnsi="Garamond" w:cs="Times New Roman"/>
          <w:b/>
          <w:bCs/>
          <w:kern w:val="0"/>
          <w14:ligatures w14:val="none"/>
        </w:rPr>
        <w:t>General: Data Reporting</w:t>
      </w:r>
    </w:p>
    <w:p w14:paraId="29964395" w14:textId="77777777" w:rsidR="004E7465" w:rsidRPr="00420286" w:rsidRDefault="004E7465" w:rsidP="004E7465">
      <w:pPr>
        <w:spacing w:before="100" w:beforeAutospacing="1" w:after="100" w:afterAutospacing="1" w:line="240" w:lineRule="auto"/>
        <w:rPr>
          <w:rFonts w:ascii="Garamond" w:eastAsia="Times New Roman" w:hAnsi="Garamond" w:cs="Times New Roman"/>
          <w:kern w:val="0"/>
          <w14:ligatures w14:val="none"/>
        </w:rPr>
      </w:pPr>
      <w:r w:rsidRPr="00C81E46">
        <w:rPr>
          <w:rFonts w:ascii="Garamond" w:eastAsia="Times New Roman" w:hAnsi="Garamond" w:cs="Times New Roman"/>
          <w:b/>
          <w:bCs/>
          <w:kern w:val="0"/>
          <w14:ligatures w14:val="none"/>
        </w:rPr>
        <w:t>Assessing Costs</w:t>
      </w:r>
    </w:p>
    <w:p w14:paraId="7FC2C466" w14:textId="349A96C1" w:rsidR="004E7465" w:rsidRPr="00420286" w:rsidRDefault="004E7465" w:rsidP="004E7465">
      <w:pPr>
        <w:spacing w:before="100" w:beforeAutospacing="1" w:after="100" w:afterAutospacing="1" w:line="240" w:lineRule="auto"/>
        <w:rPr>
          <w:rFonts w:ascii="Garamond" w:eastAsia="Times New Roman" w:hAnsi="Garamond" w:cs="Times New Roman"/>
          <w:kern w:val="0"/>
          <w14:ligatures w14:val="none"/>
        </w:rPr>
      </w:pPr>
      <w:r w:rsidRPr="00420286">
        <w:rPr>
          <w:rFonts w:ascii="Garamond" w:eastAsia="Times New Roman" w:hAnsi="Garamond" w:cs="Times New Roman"/>
          <w:kern w:val="0"/>
          <w14:ligatures w14:val="none"/>
        </w:rPr>
        <w:t>To further understand the financial implications of compliance, CARB should aggregate data from businesses already involved in voluntary reporting programs including CDP, GRI, and SASB. Stakeholder surveys help one to have even more awareness of both direct (e.g., third-party assurance, data collecting) and indirect costs (e.g., IT infrastructure, staff training).</w:t>
      </w:r>
    </w:p>
    <w:p w14:paraId="788ADF23" w14:textId="0EE4FAA1" w:rsidR="004E7465" w:rsidRPr="00420286" w:rsidRDefault="004E7465" w:rsidP="004E7465">
      <w:pPr>
        <w:spacing w:before="100" w:beforeAutospacing="1" w:after="100" w:afterAutospacing="1" w:line="240" w:lineRule="auto"/>
        <w:rPr>
          <w:rFonts w:ascii="Garamond" w:eastAsia="Times New Roman" w:hAnsi="Garamond" w:cs="Times New Roman"/>
          <w:kern w:val="0"/>
          <w14:ligatures w14:val="none"/>
        </w:rPr>
      </w:pPr>
      <w:r w:rsidRPr="00C81E46">
        <w:rPr>
          <w:rFonts w:ascii="Garamond" w:eastAsia="Times New Roman" w:hAnsi="Garamond" w:cs="Times New Roman"/>
          <w:b/>
          <w:bCs/>
          <w:kern w:val="0"/>
          <w14:ligatures w14:val="none"/>
        </w:rPr>
        <w:t>Centralized Reporting with Strategic Outsourcing</w:t>
      </w:r>
      <w:r w:rsidRPr="00C81E46">
        <w:rPr>
          <w:rFonts w:ascii="Garamond" w:eastAsia="Times New Roman" w:hAnsi="Garamond" w:cs="Times New Roman"/>
          <w:kern w:val="0"/>
          <w14:ligatures w14:val="none"/>
        </w:rPr>
        <w:br/>
      </w:r>
      <w:r w:rsidRPr="00420286">
        <w:rPr>
          <w:rFonts w:ascii="Garamond" w:eastAsia="Times New Roman" w:hAnsi="Garamond" w:cs="Times New Roman"/>
          <w:kern w:val="0"/>
          <w14:ligatures w14:val="none"/>
        </w:rPr>
        <w:t>Direct reports straight to CARB provide data accuracy and centralized oversight. Nonetheless, CARB could consider outsourcing specific technological tasks including assurance and validation in renowned companies like The Climate Registry or Verra. This hybrid technique combines the capabilities of public monitoring with outside knowledge to raise the trustworthiness and quality of collected data.</w:t>
      </w:r>
    </w:p>
    <w:p w14:paraId="30651BD7" w14:textId="77777777" w:rsidR="00617B39" w:rsidRPr="00C81E46" w:rsidRDefault="00617B39" w:rsidP="00617B39">
      <w:pPr>
        <w:spacing w:before="100" w:beforeAutospacing="1" w:after="100" w:afterAutospacing="1" w:line="240" w:lineRule="auto"/>
        <w:rPr>
          <w:rFonts w:ascii="Garamond" w:eastAsia="Times New Roman" w:hAnsi="Garamond" w:cs="Times New Roman"/>
          <w:kern w:val="0"/>
          <w14:ligatures w14:val="none"/>
        </w:rPr>
      </w:pPr>
      <w:r w:rsidRPr="00C81E46">
        <w:rPr>
          <w:rFonts w:ascii="Garamond" w:eastAsia="Times New Roman" w:hAnsi="Garamond" w:cs="Times New Roman"/>
          <w:b/>
          <w:bCs/>
          <w:kern w:val="0"/>
          <w14:ligatures w14:val="none"/>
        </w:rPr>
        <w:t>SB 253: Climate Corporate Data Accountability Act</w:t>
      </w:r>
    </w:p>
    <w:p w14:paraId="7211CFFD" w14:textId="3EFB4366" w:rsidR="00617B39" w:rsidRPr="00420286" w:rsidRDefault="00617B39" w:rsidP="004E7465">
      <w:pPr>
        <w:spacing w:before="100" w:beforeAutospacing="1" w:after="100" w:afterAutospacing="1" w:line="240" w:lineRule="auto"/>
        <w:rPr>
          <w:rFonts w:ascii="Garamond" w:eastAsia="Times New Roman" w:hAnsi="Garamond" w:cs="Times New Roman"/>
          <w:b/>
          <w:bCs/>
          <w:kern w:val="0"/>
          <w14:ligatures w14:val="none"/>
        </w:rPr>
      </w:pPr>
      <w:r w:rsidRPr="00C81E46">
        <w:rPr>
          <w:rFonts w:ascii="Garamond" w:eastAsia="Times New Roman" w:hAnsi="Garamond" w:cs="Times New Roman"/>
          <w:b/>
          <w:bCs/>
          <w:kern w:val="0"/>
          <w14:ligatures w14:val="none"/>
        </w:rPr>
        <w:t>Standardization of GHG Reporting</w:t>
      </w:r>
    </w:p>
    <w:p w14:paraId="6804859E" w14:textId="77777777" w:rsidR="00617B39" w:rsidRPr="00420286" w:rsidRDefault="00617B39" w:rsidP="00617B39">
      <w:pPr>
        <w:spacing w:after="240" w:line="240" w:lineRule="auto"/>
        <w:rPr>
          <w:rFonts w:ascii="Garamond" w:eastAsia="Times New Roman" w:hAnsi="Garamond" w:cs="Times New Roman"/>
          <w:kern w:val="0"/>
          <w14:ligatures w14:val="none"/>
        </w:rPr>
      </w:pPr>
      <w:r w:rsidRPr="00617B39">
        <w:rPr>
          <w:rFonts w:ascii="Garamond" w:eastAsia="Times New Roman" w:hAnsi="Garamond" w:cs="Times New Roman"/>
          <w:kern w:val="0"/>
          <w14:ligatures w14:val="none"/>
        </w:rPr>
        <w:t xml:space="preserve">Standardizing the emissions from scopes 1 and 2 across sectors will help to guarantee dependability and comparability. Given their complexity and volatility, scope 3 emissions should be phased in over time and supported by sector-specific advice to enable companies to change. Preventing inequalities and guaranteeing justice depend on consistent boundary-setting—that is, operational control against equity sharing. </w:t>
      </w:r>
    </w:p>
    <w:p w14:paraId="31F86D92" w14:textId="77777777" w:rsidR="00617B39" w:rsidRPr="00420286" w:rsidRDefault="00617B39" w:rsidP="00617B39">
      <w:pPr>
        <w:spacing w:after="240" w:line="240" w:lineRule="auto"/>
        <w:rPr>
          <w:rFonts w:ascii="Garamond" w:eastAsia="Times New Roman" w:hAnsi="Garamond" w:cs="Times New Roman"/>
          <w:kern w:val="0"/>
          <w14:ligatures w14:val="none"/>
        </w:rPr>
      </w:pPr>
      <w:r w:rsidRPr="00617B39">
        <w:rPr>
          <w:rFonts w:ascii="Garamond" w:eastAsia="Times New Roman" w:hAnsi="Garamond" w:cs="Times New Roman"/>
          <w:kern w:val="0"/>
          <w14:ligatures w14:val="none"/>
        </w:rPr>
        <w:br/>
      </w:r>
      <w:r w:rsidRPr="00C81E46">
        <w:rPr>
          <w:rFonts w:ascii="Garamond" w:eastAsia="Times New Roman" w:hAnsi="Garamond" w:cs="Times New Roman"/>
          <w:b/>
          <w:bCs/>
          <w:kern w:val="0"/>
          <w14:ligatures w14:val="none"/>
        </w:rPr>
        <w:t>Third-Party Assurance</w:t>
      </w:r>
      <w:r w:rsidRPr="00C81E46">
        <w:rPr>
          <w:rFonts w:ascii="Garamond" w:eastAsia="Times New Roman" w:hAnsi="Garamond" w:cs="Times New Roman"/>
          <w:kern w:val="0"/>
          <w14:ligatures w14:val="none"/>
        </w:rPr>
        <w:br/>
      </w:r>
      <w:r w:rsidRPr="00617B39">
        <w:rPr>
          <w:rFonts w:ascii="Garamond" w:eastAsia="Times New Roman" w:hAnsi="Garamond" w:cs="Times New Roman"/>
          <w:kern w:val="0"/>
          <w14:ligatures w14:val="none"/>
        </w:rPr>
        <w:br/>
        <w:t xml:space="preserve">Increasing the eligibility of assurance providers to incorporate certifications like ISO 14065 and ISAE 3000 would help to solve any capacity constraints as demand for verification services rises. CARB should also apply the "reasonable assurance" criterion previously set forth under the Mandatory Reporting Regulation (MRR), modifying it as needed to fit the more general reach of SB 253. </w:t>
      </w:r>
    </w:p>
    <w:p w14:paraId="06F8F585" w14:textId="77777777" w:rsidR="006C0BAB" w:rsidRPr="00C81E46" w:rsidRDefault="006C0BAB" w:rsidP="006C0BAB">
      <w:pPr>
        <w:spacing w:before="100" w:beforeAutospacing="1" w:after="100" w:afterAutospacing="1" w:line="240" w:lineRule="auto"/>
        <w:rPr>
          <w:rFonts w:ascii="Garamond" w:eastAsia="Times New Roman" w:hAnsi="Garamond" w:cs="Times New Roman"/>
          <w:kern w:val="0"/>
          <w14:ligatures w14:val="none"/>
        </w:rPr>
      </w:pPr>
      <w:r w:rsidRPr="00C81E46">
        <w:rPr>
          <w:rFonts w:ascii="Garamond" w:eastAsia="Times New Roman" w:hAnsi="Garamond" w:cs="Times New Roman"/>
          <w:b/>
          <w:bCs/>
          <w:kern w:val="0"/>
          <w14:ligatures w14:val="none"/>
        </w:rPr>
        <w:lastRenderedPageBreak/>
        <w:t>SB 261: Climate-Related Financial Risk Disclosure</w:t>
      </w:r>
    </w:p>
    <w:p w14:paraId="3680A068" w14:textId="6297798C" w:rsidR="003D57F7" w:rsidRPr="00420286" w:rsidRDefault="00617B39" w:rsidP="003D57F7">
      <w:pPr>
        <w:spacing w:after="240"/>
        <w:rPr>
          <w:rFonts w:ascii="Garamond" w:eastAsia="Times New Roman" w:hAnsi="Garamond" w:cs="Times New Roman"/>
          <w:kern w:val="0"/>
          <w14:ligatures w14:val="none"/>
        </w:rPr>
      </w:pPr>
      <w:r w:rsidRPr="00617B39">
        <w:rPr>
          <w:rFonts w:ascii="Garamond" w:eastAsia="Times New Roman" w:hAnsi="Garamond" w:cs="Times New Roman"/>
          <w:kern w:val="0"/>
          <w14:ligatures w14:val="none"/>
        </w:rPr>
        <w:br/>
      </w:r>
      <w:r w:rsidR="003D57F7" w:rsidRPr="00420286">
        <w:rPr>
          <w:rFonts w:ascii="Garamond" w:eastAsia="Times New Roman" w:hAnsi="Garamond" w:cs="Times New Roman"/>
          <w:b/>
          <w:bCs/>
          <w:kern w:val="0"/>
          <w14:ligatures w14:val="none"/>
        </w:rPr>
        <w:t>Timelines for Reporting</w:t>
      </w:r>
      <w:r w:rsidR="003D57F7" w:rsidRPr="00420286">
        <w:rPr>
          <w:rFonts w:ascii="Garamond" w:eastAsia="Times New Roman" w:hAnsi="Garamond" w:cs="Times New Roman"/>
          <w:kern w:val="0"/>
          <w14:ligatures w14:val="none"/>
        </w:rPr>
        <w:t xml:space="preserve"> </w:t>
      </w:r>
      <w:r w:rsidR="003D57F7" w:rsidRPr="00420286">
        <w:rPr>
          <w:rFonts w:ascii="Garamond" w:eastAsia="Times New Roman" w:hAnsi="Garamond" w:cs="Times New Roman"/>
          <w:kern w:val="0"/>
          <w14:ligatures w14:val="none"/>
        </w:rPr>
        <w:br/>
        <w:t>Standardizing reporting years streamlines control and increases comparability. But flexibility within a biannual window lets companies with different fiscal calendars comply without needless effort. Deadlines should give entities enough time—at least six months—for data collecting, validation, and submission from past years.</w:t>
      </w:r>
    </w:p>
    <w:p w14:paraId="108A26C3" w14:textId="681EE7D1" w:rsidR="003D57F7" w:rsidRPr="00420286" w:rsidRDefault="003D57F7" w:rsidP="003D57F7">
      <w:pPr>
        <w:spacing w:after="240"/>
        <w:rPr>
          <w:rFonts w:ascii="Garamond" w:eastAsia="Times New Roman" w:hAnsi="Garamond" w:cs="Times New Roman"/>
          <w:kern w:val="0"/>
          <w14:ligatures w14:val="none"/>
        </w:rPr>
      </w:pPr>
      <w:r w:rsidRPr="00420286">
        <w:rPr>
          <w:rFonts w:ascii="Garamond" w:eastAsia="Times New Roman" w:hAnsi="Garamond" w:cs="Times New Roman"/>
          <w:kern w:val="0"/>
          <w14:ligatures w14:val="none"/>
        </w:rPr>
        <w:br/>
      </w:r>
      <w:r w:rsidRPr="00420286">
        <w:rPr>
          <w:rFonts w:ascii="Garamond" w:eastAsia="Times New Roman" w:hAnsi="Garamond" w:cs="Times New Roman"/>
          <w:b/>
          <w:bCs/>
          <w:kern w:val="0"/>
          <w14:ligatures w14:val="none"/>
        </w:rPr>
        <w:t>Alignment with Existing Disclosures</w:t>
      </w:r>
      <w:r w:rsidRPr="00420286">
        <w:rPr>
          <w:rFonts w:ascii="Garamond" w:eastAsia="Times New Roman" w:hAnsi="Garamond" w:cs="Times New Roman"/>
          <w:kern w:val="0"/>
          <w14:ligatures w14:val="none"/>
        </w:rPr>
        <w:br/>
        <w:t xml:space="preserve">Many organizations now answer under systems like the EU Taxonomy or TCFD. CARB should guarantee congruence with these current guidelines, therefore providing unambiguous </w:t>
      </w:r>
      <w:proofErr w:type="gramStart"/>
      <w:r w:rsidRPr="00420286">
        <w:rPr>
          <w:rFonts w:ascii="Garamond" w:eastAsia="Times New Roman" w:hAnsi="Garamond" w:cs="Times New Roman"/>
          <w:kern w:val="0"/>
          <w14:ligatures w14:val="none"/>
        </w:rPr>
        <w:t>direction</w:t>
      </w:r>
      <w:proofErr w:type="gramEnd"/>
      <w:r w:rsidRPr="00420286">
        <w:rPr>
          <w:rFonts w:ascii="Garamond" w:eastAsia="Times New Roman" w:hAnsi="Garamond" w:cs="Times New Roman"/>
          <w:kern w:val="0"/>
          <w14:ligatures w14:val="none"/>
        </w:rPr>
        <w:t xml:space="preserve"> to resolve any disparities. California can reduce the reporting load on companies by doing this, therefore optimizing the value of the recorded data for stakeholders and legislators. </w:t>
      </w:r>
    </w:p>
    <w:p w14:paraId="45103152" w14:textId="77777777" w:rsidR="003D57F7" w:rsidRPr="00420286" w:rsidRDefault="003D57F7" w:rsidP="003D57F7">
      <w:pPr>
        <w:spacing w:after="240"/>
        <w:rPr>
          <w:rFonts w:ascii="Garamond" w:eastAsia="Times New Roman" w:hAnsi="Garamond" w:cs="Times New Roman"/>
          <w:kern w:val="0"/>
          <w14:ligatures w14:val="none"/>
        </w:rPr>
      </w:pPr>
    </w:p>
    <w:p w14:paraId="4E6B2195" w14:textId="77777777" w:rsidR="003D57F7" w:rsidRPr="00C81E46" w:rsidRDefault="003D57F7" w:rsidP="003D57F7">
      <w:pPr>
        <w:spacing w:before="100" w:beforeAutospacing="1" w:after="100" w:afterAutospacing="1" w:line="240" w:lineRule="auto"/>
        <w:rPr>
          <w:rFonts w:ascii="Garamond" w:eastAsia="Times New Roman" w:hAnsi="Garamond" w:cs="Times New Roman"/>
          <w:kern w:val="0"/>
          <w14:ligatures w14:val="none"/>
        </w:rPr>
      </w:pPr>
      <w:r w:rsidRPr="00C81E46">
        <w:rPr>
          <w:rFonts w:ascii="Garamond" w:eastAsia="Times New Roman" w:hAnsi="Garamond" w:cs="Times New Roman"/>
          <w:b/>
          <w:bCs/>
          <w:kern w:val="0"/>
          <w14:ligatures w14:val="none"/>
        </w:rPr>
        <w:t>Conclusion</w:t>
      </w:r>
    </w:p>
    <w:p w14:paraId="0149C627" w14:textId="27DBDE16" w:rsidR="003D57F7" w:rsidRPr="00420286" w:rsidRDefault="003D57F7" w:rsidP="003D57F7">
      <w:pPr>
        <w:spacing w:after="240"/>
        <w:rPr>
          <w:rFonts w:ascii="Garamond" w:eastAsia="Times New Roman" w:hAnsi="Garamond" w:cs="Times New Roman"/>
          <w:kern w:val="0"/>
          <w14:ligatures w14:val="none"/>
        </w:rPr>
      </w:pPr>
      <w:r w:rsidRPr="00420286">
        <w:rPr>
          <w:rFonts w:ascii="Garamond" w:eastAsia="Times New Roman" w:hAnsi="Garamond" w:cs="Times New Roman"/>
          <w:kern w:val="0"/>
          <w14:ligatures w14:val="none"/>
        </w:rPr>
        <w:t xml:space="preserve">Adopting SB 253 and SB 261 provides California with an unmatched chance to show how a sensible strategy can simultaneously solve environmental problems and promote economic development. CARB may guarantee this legislation not only </w:t>
      </w:r>
      <w:r w:rsidR="001231AA" w:rsidRPr="00420286">
        <w:rPr>
          <w:rFonts w:ascii="Garamond" w:eastAsia="Times New Roman" w:hAnsi="Garamond" w:cs="Times New Roman"/>
          <w:kern w:val="0"/>
          <w14:ligatures w14:val="none"/>
        </w:rPr>
        <w:t>models’</w:t>
      </w:r>
      <w:r w:rsidRPr="00420286">
        <w:rPr>
          <w:rFonts w:ascii="Garamond" w:eastAsia="Times New Roman" w:hAnsi="Garamond" w:cs="Times New Roman"/>
          <w:kern w:val="0"/>
          <w14:ligatures w14:val="none"/>
        </w:rPr>
        <w:t xml:space="preserve"> other countries but also fosters sustainable innovation by giving transparency top importance, aligning with worldwide norms, and helping businesses in their transition.</w:t>
      </w:r>
    </w:p>
    <w:p w14:paraId="4ACBE2CB" w14:textId="3A3F3DE7" w:rsidR="003D57F7" w:rsidRPr="00420286" w:rsidRDefault="003D57F7" w:rsidP="003D57F7">
      <w:pPr>
        <w:spacing w:after="240"/>
        <w:rPr>
          <w:rFonts w:ascii="Garamond" w:eastAsia="Times New Roman" w:hAnsi="Garamond" w:cs="Times New Roman"/>
          <w:kern w:val="0"/>
          <w14:ligatures w14:val="none"/>
        </w:rPr>
      </w:pPr>
      <w:r w:rsidRPr="00420286">
        <w:rPr>
          <w:rFonts w:ascii="Garamond" w:eastAsia="Times New Roman" w:hAnsi="Garamond" w:cs="Times New Roman"/>
          <w:kern w:val="0"/>
          <w14:ligatures w14:val="none"/>
        </w:rPr>
        <w:t xml:space="preserve">The suggestions above try to guarantee that the law balances stakeholder needs with economic reality so fulfilling the great goals. I appreciate you </w:t>
      </w:r>
      <w:r w:rsidR="001231AA" w:rsidRPr="00420286">
        <w:rPr>
          <w:rFonts w:ascii="Garamond" w:eastAsia="Times New Roman" w:hAnsi="Garamond" w:cs="Times New Roman"/>
          <w:kern w:val="0"/>
          <w14:ligatures w14:val="none"/>
        </w:rPr>
        <w:t>giving</w:t>
      </w:r>
      <w:r w:rsidRPr="00420286">
        <w:rPr>
          <w:rFonts w:ascii="Garamond" w:eastAsia="Times New Roman" w:hAnsi="Garamond" w:cs="Times New Roman"/>
          <w:kern w:val="0"/>
          <w14:ligatures w14:val="none"/>
        </w:rPr>
        <w:t xml:space="preserve"> some of these ideas some thought. As CARB works on this important project, I appreciate the chance to offer more evidence or take part in more conversations.</w:t>
      </w:r>
    </w:p>
    <w:p w14:paraId="0AC85D6A" w14:textId="77777777" w:rsidR="003D57F7" w:rsidRPr="00420286" w:rsidRDefault="003D57F7" w:rsidP="003D57F7">
      <w:pPr>
        <w:spacing w:after="240"/>
        <w:rPr>
          <w:rFonts w:ascii="Garamond" w:eastAsia="Times New Roman" w:hAnsi="Garamond" w:cs="Times New Roman"/>
          <w:kern w:val="0"/>
          <w14:ligatures w14:val="none"/>
        </w:rPr>
      </w:pPr>
    </w:p>
    <w:p w14:paraId="6BD7BC99" w14:textId="19D4C403" w:rsidR="003D57F7" w:rsidRPr="00420286" w:rsidRDefault="003D57F7" w:rsidP="003D57F7">
      <w:pPr>
        <w:spacing w:after="240"/>
        <w:rPr>
          <w:rFonts w:ascii="Garamond" w:eastAsia="Times New Roman" w:hAnsi="Garamond" w:cs="Times New Roman"/>
          <w:kern w:val="0"/>
          <w14:ligatures w14:val="none"/>
        </w:rPr>
      </w:pPr>
      <w:r w:rsidRPr="00420286">
        <w:rPr>
          <w:rFonts w:ascii="Garamond" w:eastAsia="Times New Roman" w:hAnsi="Garamond" w:cs="Times New Roman"/>
          <w:kern w:val="0"/>
          <w14:ligatures w14:val="none"/>
        </w:rPr>
        <w:t>Sincerely</w:t>
      </w:r>
    </w:p>
    <w:p w14:paraId="7AD0C409" w14:textId="29B3A13A" w:rsidR="003D57F7" w:rsidRPr="00420286" w:rsidRDefault="003D57F7" w:rsidP="003D57F7">
      <w:pPr>
        <w:spacing w:after="240"/>
        <w:rPr>
          <w:rFonts w:ascii="Garamond" w:eastAsia="Times New Roman" w:hAnsi="Garamond" w:cs="Times New Roman"/>
          <w:kern w:val="0"/>
          <w14:ligatures w14:val="none"/>
        </w:rPr>
      </w:pPr>
      <w:r w:rsidRPr="00420286">
        <w:rPr>
          <w:rFonts w:ascii="Garamond" w:eastAsia="Times New Roman" w:hAnsi="Garamond" w:cs="Times New Roman"/>
          <w:kern w:val="0"/>
          <w14:ligatures w14:val="none"/>
        </w:rPr>
        <w:t>Jude Chisom Erondu</w:t>
      </w:r>
    </w:p>
    <w:p w14:paraId="1A5D8142" w14:textId="41FFA177" w:rsidR="003D57F7" w:rsidRPr="00420286" w:rsidRDefault="003D57F7" w:rsidP="003D57F7">
      <w:pPr>
        <w:spacing w:after="240"/>
        <w:rPr>
          <w:rFonts w:ascii="Garamond" w:eastAsia="Times New Roman" w:hAnsi="Garamond" w:cs="Times New Roman"/>
          <w:kern w:val="0"/>
          <w14:ligatures w14:val="none"/>
        </w:rPr>
      </w:pPr>
      <w:r w:rsidRPr="00420286">
        <w:rPr>
          <w:rFonts w:ascii="Garamond" w:eastAsia="Times New Roman" w:hAnsi="Garamond" w:cs="Times New Roman"/>
          <w:kern w:val="0"/>
          <w14:ligatures w14:val="none"/>
        </w:rPr>
        <w:t xml:space="preserve">EMBA 26 Student </w:t>
      </w:r>
    </w:p>
    <w:p w14:paraId="2F8D6B85" w14:textId="4924FBCA" w:rsidR="003D57F7" w:rsidRPr="00420286" w:rsidRDefault="003D57F7" w:rsidP="003D57F7">
      <w:pPr>
        <w:spacing w:after="240"/>
        <w:rPr>
          <w:rFonts w:ascii="Garamond" w:eastAsia="Times New Roman" w:hAnsi="Garamond" w:cs="Times New Roman"/>
          <w:kern w:val="0"/>
          <w14:ligatures w14:val="none"/>
        </w:rPr>
      </w:pPr>
      <w:r w:rsidRPr="00420286">
        <w:rPr>
          <w:rFonts w:ascii="Garamond" w:eastAsia="Times New Roman" w:hAnsi="Garamond" w:cs="Times New Roman"/>
          <w:kern w:val="0"/>
          <w14:ligatures w14:val="none"/>
        </w:rPr>
        <w:t>Columbia Business School</w:t>
      </w:r>
    </w:p>
    <w:p w14:paraId="388101DC" w14:textId="43C45FDC" w:rsidR="003D57F7" w:rsidRPr="00420286" w:rsidRDefault="003D57F7" w:rsidP="003D57F7">
      <w:pPr>
        <w:spacing w:after="240"/>
        <w:rPr>
          <w:rFonts w:ascii="Garamond" w:eastAsia="Times New Roman" w:hAnsi="Garamond" w:cs="Times New Roman"/>
          <w:kern w:val="0"/>
          <w14:ligatures w14:val="none"/>
        </w:rPr>
      </w:pPr>
      <w:r w:rsidRPr="00420286">
        <w:rPr>
          <w:rFonts w:ascii="Garamond" w:eastAsia="Times New Roman" w:hAnsi="Garamond" w:cs="Times New Roman"/>
          <w:kern w:val="0"/>
          <w14:ligatures w14:val="none"/>
        </w:rPr>
        <w:t>jerondu26@gsb.columbia.edu</w:t>
      </w:r>
    </w:p>
    <w:p w14:paraId="1B604C27" w14:textId="5A72F5E1" w:rsidR="003D57F7" w:rsidRPr="00420286" w:rsidRDefault="003D57F7" w:rsidP="001231AA">
      <w:pPr>
        <w:spacing w:after="240"/>
        <w:rPr>
          <w:rFonts w:ascii="Garamond" w:eastAsia="Times New Roman" w:hAnsi="Garamond" w:cs="Times New Roman"/>
          <w:kern w:val="0"/>
          <w14:ligatures w14:val="none"/>
        </w:rPr>
      </w:pPr>
      <w:r w:rsidRPr="00420286">
        <w:rPr>
          <w:rFonts w:ascii="Garamond" w:eastAsia="Times New Roman" w:hAnsi="Garamond" w:cs="Times New Roman"/>
          <w:kern w:val="0"/>
          <w14:ligatures w14:val="none"/>
        </w:rPr>
        <w:t>617-368-0719</w:t>
      </w:r>
      <w:r w:rsidRPr="00420286">
        <w:rPr>
          <w:rFonts w:ascii="Garamond" w:eastAsia="Times New Roman" w:hAnsi="Garamond" w:cs="Times New Roman"/>
          <w:kern w:val="0"/>
          <w14:ligatures w14:val="none"/>
        </w:rPr>
        <w:br w:type="page"/>
      </w:r>
    </w:p>
    <w:p w14:paraId="5856247F" w14:textId="77777777" w:rsidR="003D57F7" w:rsidRPr="00420286" w:rsidRDefault="003D57F7" w:rsidP="003D57F7">
      <w:pPr>
        <w:spacing w:before="100" w:beforeAutospacing="1" w:after="100" w:afterAutospacing="1" w:line="240" w:lineRule="auto"/>
        <w:rPr>
          <w:rFonts w:ascii="Garamond" w:eastAsia="Times New Roman" w:hAnsi="Garamond" w:cs="Times New Roman"/>
          <w:kern w:val="0"/>
          <w14:ligatures w14:val="none"/>
        </w:rPr>
      </w:pPr>
      <w:r w:rsidRPr="00884FBA">
        <w:rPr>
          <w:rFonts w:ascii="Garamond" w:eastAsia="Times New Roman" w:hAnsi="Garamond" w:cs="Times New Roman"/>
          <w:b/>
          <w:bCs/>
          <w:kern w:val="0"/>
          <w14:ligatures w14:val="none"/>
        </w:rPr>
        <w:lastRenderedPageBreak/>
        <w:t>The Importance of Climate-Disclosure Legislation for Businesses and Policymakers</w:t>
      </w:r>
    </w:p>
    <w:p w14:paraId="07588040" w14:textId="77777777" w:rsidR="003D57F7" w:rsidRPr="00420286" w:rsidRDefault="003D57F7" w:rsidP="003D57F7">
      <w:pPr>
        <w:spacing w:after="240" w:line="240" w:lineRule="auto"/>
        <w:rPr>
          <w:rFonts w:ascii="Garamond" w:eastAsia="Times New Roman" w:hAnsi="Garamond" w:cs="Times New Roman"/>
          <w:kern w:val="0"/>
          <w14:ligatures w14:val="none"/>
        </w:rPr>
      </w:pPr>
      <w:r w:rsidRPr="00C171E0">
        <w:rPr>
          <w:rFonts w:ascii="Garamond" w:eastAsia="Times New Roman" w:hAnsi="Garamond" w:cs="Times New Roman"/>
          <w:kern w:val="0"/>
          <w14:ligatures w14:val="none"/>
        </w:rPr>
        <w:t xml:space="preserve">Climate change is no </w:t>
      </w:r>
      <w:r w:rsidRPr="00420286">
        <w:rPr>
          <w:rFonts w:ascii="Garamond" w:eastAsia="Times New Roman" w:hAnsi="Garamond" w:cs="Times New Roman"/>
          <w:kern w:val="0"/>
          <w14:ligatures w14:val="none"/>
        </w:rPr>
        <w:t>longer</w:t>
      </w:r>
      <w:r w:rsidRPr="00C171E0">
        <w:rPr>
          <w:rFonts w:ascii="Garamond" w:eastAsia="Times New Roman" w:hAnsi="Garamond" w:cs="Times New Roman"/>
          <w:kern w:val="0"/>
          <w14:ligatures w14:val="none"/>
        </w:rPr>
        <w:t xml:space="preserve"> only a threat; it is an immediate, tangible issue with major effects for ecosystems, people, and companies. The increasingly catastrophic consequences of climate change—including California's horrible wildfire season in 2024—showcase how urgently this disaster </w:t>
      </w:r>
      <w:proofErr w:type="gramStart"/>
      <w:r w:rsidRPr="00C171E0">
        <w:rPr>
          <w:rFonts w:ascii="Garamond" w:eastAsia="Times New Roman" w:hAnsi="Garamond" w:cs="Times New Roman"/>
          <w:kern w:val="0"/>
          <w14:ligatures w14:val="none"/>
        </w:rPr>
        <w:t>has to</w:t>
      </w:r>
      <w:proofErr w:type="gramEnd"/>
      <w:r w:rsidRPr="00C171E0">
        <w:rPr>
          <w:rFonts w:ascii="Garamond" w:eastAsia="Times New Roman" w:hAnsi="Garamond" w:cs="Times New Roman"/>
          <w:kern w:val="0"/>
          <w14:ligatures w14:val="none"/>
        </w:rPr>
        <w:t xml:space="preserve"> be solved. As they destroyed houses, displaced hundreds, and caused billions of </w:t>
      </w:r>
      <w:r w:rsidRPr="00420286">
        <w:rPr>
          <w:rFonts w:ascii="Garamond" w:eastAsia="Times New Roman" w:hAnsi="Garamond" w:cs="Times New Roman"/>
          <w:kern w:val="0"/>
          <w14:ligatures w14:val="none"/>
        </w:rPr>
        <w:t>dollars</w:t>
      </w:r>
      <w:r w:rsidRPr="00C171E0">
        <w:rPr>
          <w:rFonts w:ascii="Garamond" w:eastAsia="Times New Roman" w:hAnsi="Garamond" w:cs="Times New Roman"/>
          <w:kern w:val="0"/>
          <w14:ligatures w14:val="none"/>
        </w:rPr>
        <w:t xml:space="preserve"> in economic losses, these flames revealed the flaws in companies, infrastructure, and local communities. In response to these escalating risks, California's Senate Bills 253 and 261—as altered by SB 219—show great first step in ensuring increased corporate responsibility and openness regarding greenhouse gas (GHG) emissions and climate-related financial threats. This law protects the environment as well as provides the foundation for businesses and politicians managing the complexity of a changing climate. </w:t>
      </w:r>
    </w:p>
    <w:p w14:paraId="693CBD76" w14:textId="77777777" w:rsidR="003D57F7" w:rsidRPr="00420286" w:rsidRDefault="003D57F7" w:rsidP="003D57F7">
      <w:pPr>
        <w:spacing w:after="240" w:line="240" w:lineRule="auto"/>
        <w:rPr>
          <w:rFonts w:ascii="Garamond" w:eastAsia="Times New Roman" w:hAnsi="Garamond" w:cs="Times New Roman"/>
          <w:kern w:val="0"/>
          <w14:ligatures w14:val="none"/>
        </w:rPr>
      </w:pPr>
      <w:r w:rsidRPr="00C171E0">
        <w:rPr>
          <w:rFonts w:ascii="Garamond" w:eastAsia="Times New Roman" w:hAnsi="Garamond" w:cs="Times New Roman"/>
          <w:kern w:val="0"/>
          <w14:ligatures w14:val="none"/>
        </w:rPr>
        <w:br/>
        <w:t xml:space="preserve">Laws on climate-disclosure provide </w:t>
      </w:r>
      <w:r w:rsidRPr="00420286">
        <w:rPr>
          <w:rFonts w:ascii="Garamond" w:eastAsia="Times New Roman" w:hAnsi="Garamond" w:cs="Times New Roman"/>
          <w:kern w:val="0"/>
          <w14:ligatures w14:val="none"/>
        </w:rPr>
        <w:t>businesses with</w:t>
      </w:r>
      <w:r w:rsidRPr="00C171E0">
        <w:rPr>
          <w:rFonts w:ascii="Garamond" w:eastAsia="Times New Roman" w:hAnsi="Garamond" w:cs="Times New Roman"/>
          <w:kern w:val="0"/>
          <w14:ligatures w14:val="none"/>
        </w:rPr>
        <w:t xml:space="preserve"> a rigorous approach to identify, assess, and reduce climate-related hazards. These risks are two-fold: physical ones like damage from strong storms and transition ones brought on by shifting consumer tastes, legislative changes, and reputational pressure. The physical hazards of climate change are becoming increasingly obvious. High-risk businesses cope with significant disruptions including operational downtime, greater insurance expenses, and declining infrastructure. Companies with significant operational and financial weaknesses lack the tools to assess these hazards properly without open reporting.</w:t>
      </w:r>
      <w:r w:rsidRPr="00C171E0">
        <w:rPr>
          <w:rFonts w:ascii="Garamond" w:eastAsia="Times New Roman" w:hAnsi="Garamond" w:cs="Times New Roman"/>
          <w:kern w:val="0"/>
          <w14:ligatures w14:val="none"/>
        </w:rPr>
        <w:br/>
        <w:t xml:space="preserve">Transitions dangers also need care. More strict climate rules are being enforced by governments all around, and consumer preferences are toward eco-friendly goods and services. Companies who ignore to adapt incur the risk of paying fines to authorities, losing market share, and having stranded assets. By means of a consistent structure, </w:t>
      </w:r>
      <w:r w:rsidRPr="00420286">
        <w:rPr>
          <w:rFonts w:ascii="Garamond" w:eastAsia="Times New Roman" w:hAnsi="Garamond" w:cs="Times New Roman"/>
          <w:kern w:val="0"/>
          <w14:ligatures w14:val="none"/>
        </w:rPr>
        <w:t>disclosing</w:t>
      </w:r>
      <w:r w:rsidRPr="00C171E0">
        <w:rPr>
          <w:rFonts w:ascii="Garamond" w:eastAsia="Times New Roman" w:hAnsi="Garamond" w:cs="Times New Roman"/>
          <w:kern w:val="0"/>
          <w14:ligatures w14:val="none"/>
        </w:rPr>
        <w:t xml:space="preserve"> GHG emissions and financial risks helps businesses match evolving policy and consumer expectation. Their transparency helps them to be more competitive in a low-carbon economy and attracts investors with environmental consciousness. Measuring emissions also usually reveals operational inefficiencies, which offers opportunities for cost cuts, innovation, and enhanced resilience. </w:t>
      </w:r>
      <w:r w:rsidRPr="00C171E0">
        <w:rPr>
          <w:rFonts w:ascii="Garamond" w:eastAsia="Times New Roman" w:hAnsi="Garamond" w:cs="Times New Roman"/>
          <w:kern w:val="0"/>
          <w14:ligatures w14:val="none"/>
        </w:rPr>
        <w:br/>
      </w:r>
      <w:r w:rsidRPr="00C171E0">
        <w:rPr>
          <w:rFonts w:ascii="Garamond" w:eastAsia="Times New Roman" w:hAnsi="Garamond" w:cs="Times New Roman"/>
          <w:kern w:val="0"/>
          <w14:ligatures w14:val="none"/>
        </w:rPr>
        <w:br/>
      </w:r>
      <w:r w:rsidRPr="00C171E0">
        <w:rPr>
          <w:rFonts w:ascii="Garamond" w:eastAsia="Times New Roman" w:hAnsi="Garamond" w:cs="Times New Roman"/>
          <w:kern w:val="0"/>
          <w14:ligatures w14:val="none"/>
        </w:rPr>
        <w:br/>
        <w:t xml:space="preserve">Corporate transparency also strengthens relationships with politicians, consumers, employees, and major actors including investors. Investors—especially institutional ones—increasingly give Environmental, Social, and Governance (ESG) issues top importance as they distribute funds. Clear climate disclosures enable investors to evaluate a company's long-term viability and risk profile, therefore enhancing the attractiveness of businesses that adopt Senate Bills 253 and 261 to ESG-minded capital markets. Consumers also want businesses to take more accountability. corporations that aggressively disclose their climate risks and show efforts to minimize them would inspire confidence and loyalty among environmentally conscious consumers, even while corporations who ignore to act could suffer reputation damage. </w:t>
      </w:r>
    </w:p>
    <w:p w14:paraId="5A3D4A22" w14:textId="77777777" w:rsidR="003D57F7" w:rsidRPr="00420286" w:rsidRDefault="003D57F7" w:rsidP="003D57F7">
      <w:pPr>
        <w:spacing w:after="240" w:line="240" w:lineRule="auto"/>
        <w:rPr>
          <w:rFonts w:ascii="Garamond" w:eastAsia="Times New Roman" w:hAnsi="Garamond" w:cs="Times New Roman"/>
          <w:kern w:val="0"/>
          <w14:ligatures w14:val="none"/>
        </w:rPr>
      </w:pPr>
      <w:r w:rsidRPr="00C171E0">
        <w:rPr>
          <w:rFonts w:ascii="Garamond" w:eastAsia="Times New Roman" w:hAnsi="Garamond" w:cs="Times New Roman"/>
          <w:kern w:val="0"/>
          <w14:ligatures w14:val="none"/>
        </w:rPr>
        <w:br/>
        <w:t xml:space="preserve">Particularly younger generations of employees are attracted to businesses who more and more reflect their ideals. Openness about climate reflects a company's commitment to sustainability, therefore improving staff morale and retention. Moreover, regular reporting provides a fair playing field so that companies cannot use avoidance of accountability to acquire a competitive edge. Among legislators, the </w:t>
      </w:r>
      <w:proofErr w:type="gramStart"/>
      <w:r w:rsidRPr="00C171E0">
        <w:rPr>
          <w:rFonts w:ascii="Garamond" w:eastAsia="Times New Roman" w:hAnsi="Garamond" w:cs="Times New Roman"/>
          <w:kern w:val="0"/>
          <w14:ligatures w14:val="none"/>
        </w:rPr>
        <w:t>general public</w:t>
      </w:r>
      <w:proofErr w:type="gramEnd"/>
      <w:r w:rsidRPr="00C171E0">
        <w:rPr>
          <w:rFonts w:ascii="Garamond" w:eastAsia="Times New Roman" w:hAnsi="Garamond" w:cs="Times New Roman"/>
          <w:kern w:val="0"/>
          <w14:ligatures w14:val="none"/>
        </w:rPr>
        <w:t xml:space="preserve">, and corporate executives as well, this consistency serves to inspire confidence. </w:t>
      </w:r>
    </w:p>
    <w:p w14:paraId="7C51D443" w14:textId="77777777" w:rsidR="003D57F7" w:rsidRPr="00420286" w:rsidRDefault="003D57F7" w:rsidP="003D57F7">
      <w:pPr>
        <w:spacing w:after="240" w:line="240" w:lineRule="auto"/>
        <w:rPr>
          <w:rFonts w:ascii="Garamond" w:eastAsia="Times New Roman" w:hAnsi="Garamond" w:cs="Times New Roman"/>
          <w:kern w:val="0"/>
          <w14:ligatures w14:val="none"/>
        </w:rPr>
      </w:pPr>
      <w:r w:rsidRPr="00C171E0">
        <w:rPr>
          <w:rFonts w:ascii="Garamond" w:eastAsia="Times New Roman" w:hAnsi="Garamond" w:cs="Times New Roman"/>
          <w:kern w:val="0"/>
          <w14:ligatures w14:val="none"/>
        </w:rPr>
        <w:lastRenderedPageBreak/>
        <w:br/>
        <w:t xml:space="preserve">Laws pertaining to climate-disclosure provide legislators with the essential knowledge required to draft just and reasonable laws. The mandatory aggregated disclosures in Senate Bills 253 and 261 give a whole view of California's structural climate risks and emissions scene. This data helps legislators concentrate on industries and places that require most assistance, therefore enabling targeted solutions. Customized incentives or flexible infrastructure funding helps sectors most dependent on water-intensive processes or </w:t>
      </w:r>
      <w:proofErr w:type="gramStart"/>
      <w:r w:rsidRPr="00C171E0">
        <w:rPr>
          <w:rFonts w:ascii="Garamond" w:eastAsia="Times New Roman" w:hAnsi="Garamond" w:cs="Times New Roman"/>
          <w:kern w:val="0"/>
          <w14:ligatures w14:val="none"/>
        </w:rPr>
        <w:t>prone</w:t>
      </w:r>
      <w:proofErr w:type="gramEnd"/>
      <w:r w:rsidRPr="00C171E0">
        <w:rPr>
          <w:rFonts w:ascii="Garamond" w:eastAsia="Times New Roman" w:hAnsi="Garamond" w:cs="Times New Roman"/>
          <w:kern w:val="0"/>
          <w14:ligatures w14:val="none"/>
        </w:rPr>
        <w:t xml:space="preserve"> to wildfires, for example. Without consistent corporate disclosures, these steps run the risk of being insufficient or out of line. </w:t>
      </w:r>
      <w:r w:rsidRPr="00C171E0">
        <w:rPr>
          <w:rFonts w:ascii="Garamond" w:eastAsia="Times New Roman" w:hAnsi="Garamond" w:cs="Times New Roman"/>
          <w:kern w:val="0"/>
          <w14:ligatures w14:val="none"/>
        </w:rPr>
        <w:br/>
        <w:t xml:space="preserve">Strong climate data also helps to build economic resilience by highlighting methodical flaws before they turn into disasters. Policymakers with this kind of awareness could design preventative strategies aimed </w:t>
      </w:r>
      <w:r w:rsidRPr="00420286">
        <w:rPr>
          <w:rFonts w:ascii="Garamond" w:eastAsia="Times New Roman" w:hAnsi="Garamond" w:cs="Times New Roman"/>
          <w:kern w:val="0"/>
          <w14:ligatures w14:val="none"/>
        </w:rPr>
        <w:t>at</w:t>
      </w:r>
      <w:r w:rsidRPr="00C171E0">
        <w:rPr>
          <w:rFonts w:ascii="Garamond" w:eastAsia="Times New Roman" w:hAnsi="Garamond" w:cs="Times New Roman"/>
          <w:kern w:val="0"/>
          <w14:ligatures w14:val="none"/>
        </w:rPr>
        <w:t xml:space="preserve"> lower risks to vital sectors such infrastructure. Matching California's disclosure policies with worldwide norms as the Task Force on Climate-Related Financial Disclosures and the GHG Protocol guarantees consistency with respect to world standards. This alignment helps the state to be economically competitive and exhibits leadership in world climate governance. </w:t>
      </w:r>
    </w:p>
    <w:p w14:paraId="6A490D57" w14:textId="77777777" w:rsidR="003D57F7" w:rsidRPr="00420286" w:rsidRDefault="003D57F7" w:rsidP="003D57F7">
      <w:pPr>
        <w:spacing w:after="240" w:line="240" w:lineRule="auto"/>
        <w:rPr>
          <w:rFonts w:ascii="Garamond" w:eastAsia="Times New Roman" w:hAnsi="Garamond" w:cs="Times New Roman"/>
          <w:kern w:val="0"/>
          <w14:ligatures w14:val="none"/>
        </w:rPr>
      </w:pPr>
      <w:r w:rsidRPr="00C171E0">
        <w:rPr>
          <w:rFonts w:ascii="Garamond" w:eastAsia="Times New Roman" w:hAnsi="Garamond" w:cs="Times New Roman"/>
          <w:kern w:val="0"/>
          <w14:ligatures w14:val="none"/>
        </w:rPr>
        <w:br/>
        <w:t xml:space="preserve">California's leadership in passing climate-disclosure rules not only addresses local problems but also sets an example for other nations and jurisdictions. Long leading edge in environmental laws, California's ambitious ambitions to achieving carbon neutrality by 2045 demand for coordinated action across all sectors. Demand for corporate climate reporting ensures that businesses will be quite significant in achieving these goals. Moreover, the actions of California affect national and international climate policy frameworks outside of its borders. As other nations adopt comparable policies, the combined effect accelerates the transformation </w:t>
      </w:r>
      <w:proofErr w:type="gramStart"/>
      <w:r w:rsidRPr="00C171E0">
        <w:rPr>
          <w:rFonts w:ascii="Garamond" w:eastAsia="Times New Roman" w:hAnsi="Garamond" w:cs="Times New Roman"/>
          <w:kern w:val="0"/>
          <w14:ligatures w14:val="none"/>
        </w:rPr>
        <w:t>to</w:t>
      </w:r>
      <w:proofErr w:type="gramEnd"/>
      <w:r w:rsidRPr="00C171E0">
        <w:rPr>
          <w:rFonts w:ascii="Garamond" w:eastAsia="Times New Roman" w:hAnsi="Garamond" w:cs="Times New Roman"/>
          <w:kern w:val="0"/>
          <w14:ligatures w14:val="none"/>
        </w:rPr>
        <w:t xml:space="preserve"> a sustainable worldwide economy. </w:t>
      </w:r>
    </w:p>
    <w:p w14:paraId="0F91BE51" w14:textId="77777777" w:rsidR="003D57F7" w:rsidRPr="00420286" w:rsidRDefault="003D57F7" w:rsidP="003D57F7">
      <w:pPr>
        <w:spacing w:after="240" w:line="240" w:lineRule="auto"/>
        <w:rPr>
          <w:rFonts w:ascii="Garamond" w:eastAsia="Times New Roman" w:hAnsi="Garamond" w:cs="Times New Roman"/>
          <w:kern w:val="0"/>
          <w14:ligatures w14:val="none"/>
        </w:rPr>
      </w:pPr>
      <w:r w:rsidRPr="00C171E0">
        <w:rPr>
          <w:rFonts w:ascii="Garamond" w:eastAsia="Times New Roman" w:hAnsi="Garamond" w:cs="Times New Roman"/>
          <w:kern w:val="0"/>
          <w14:ligatures w14:val="none"/>
        </w:rPr>
        <w:br/>
        <w:t xml:space="preserve">One cannot underline the urgency of these policies any more. Already obvious are the costs of inactivity shown by human pain and financial losses brought forth by climate-related catastrophes. Encouragement of openness and responsibility helps Senate Bills 253 and 261 enable businesses, legislators, and society to cooperatively manage climate issues. This law gives businesses opportunities to strengthen resilience, boost efficiency, and build relationships among stakeholders. For legislators, it provides the knowledge needed to design reasonable, equitable, and well-written climate policies. These projects taken together ensure that California maintains its leadership in tackling climate change while protecting its environment, people, and economy. </w:t>
      </w:r>
      <w:r w:rsidRPr="00C171E0">
        <w:rPr>
          <w:rFonts w:ascii="Garamond" w:eastAsia="Times New Roman" w:hAnsi="Garamond" w:cs="Times New Roman"/>
          <w:kern w:val="0"/>
          <w14:ligatures w14:val="none"/>
        </w:rPr>
        <w:br/>
        <w:t xml:space="preserve">Transparency is not only a legal need but also a competitive advantage and a moral obligation in a society defined by developing environmental problems. Senate Bills 253 and 261 demonstrate how legislative action can result in major change therefore ensuring that businesses and politicians are ready to address one of the most pressing issues of our time. Through careful application, these guidelines could serve as a road map for how accountability and teamwork might open the path towards a more sustainable and robust future. </w:t>
      </w:r>
      <w:r w:rsidRPr="00C171E0">
        <w:rPr>
          <w:rFonts w:ascii="Garamond" w:eastAsia="Times New Roman" w:hAnsi="Garamond" w:cs="Times New Roman"/>
          <w:kern w:val="0"/>
          <w14:ligatures w14:val="none"/>
        </w:rPr>
        <w:br/>
      </w:r>
    </w:p>
    <w:p w14:paraId="213C75F8" w14:textId="77777777" w:rsidR="00244DED" w:rsidRPr="00C171E0" w:rsidRDefault="00244DED" w:rsidP="003D57F7">
      <w:pPr>
        <w:spacing w:after="240" w:line="240" w:lineRule="auto"/>
        <w:rPr>
          <w:rFonts w:ascii="Garamond" w:eastAsia="Times New Roman" w:hAnsi="Garamond" w:cs="Times New Roman"/>
          <w:kern w:val="0"/>
          <w14:ligatures w14:val="none"/>
        </w:rPr>
      </w:pPr>
    </w:p>
    <w:p w14:paraId="6AD24A50" w14:textId="77777777" w:rsidR="00420286" w:rsidRDefault="00420286">
      <w:pPr>
        <w:rPr>
          <w:rFonts w:ascii="Garamond" w:hAnsi="Garamond"/>
          <w:b/>
          <w:bCs/>
        </w:rPr>
      </w:pPr>
      <w:r>
        <w:rPr>
          <w:rFonts w:ascii="Garamond" w:hAnsi="Garamond"/>
          <w:b/>
          <w:bCs/>
        </w:rPr>
        <w:br w:type="page"/>
      </w:r>
    </w:p>
    <w:p w14:paraId="653ED8A1" w14:textId="4E09D8E3" w:rsidR="003D57F7" w:rsidRPr="00420286" w:rsidRDefault="00244DED" w:rsidP="00420286">
      <w:pPr>
        <w:pStyle w:val="NoSpacing"/>
        <w:rPr>
          <w:rFonts w:ascii="Garamond" w:hAnsi="Garamond"/>
          <w:b/>
          <w:bCs/>
        </w:rPr>
      </w:pPr>
      <w:r w:rsidRPr="00420286">
        <w:rPr>
          <w:rFonts w:ascii="Garamond" w:hAnsi="Garamond"/>
          <w:b/>
          <w:bCs/>
        </w:rPr>
        <w:lastRenderedPageBreak/>
        <w:t>Reference</w:t>
      </w:r>
    </w:p>
    <w:p w14:paraId="75716598" w14:textId="1C6E3467" w:rsidR="00792E33" w:rsidRPr="00420286" w:rsidRDefault="00792E33" w:rsidP="00420286">
      <w:pPr>
        <w:pStyle w:val="NormalWeb"/>
        <w:numPr>
          <w:ilvl w:val="0"/>
          <w:numId w:val="2"/>
        </w:numPr>
        <w:rPr>
          <w:rFonts w:ascii="Garamond" w:hAnsi="Garamond"/>
        </w:rPr>
      </w:pPr>
      <w:r w:rsidRPr="00420286">
        <w:rPr>
          <w:rFonts w:ascii="Garamond" w:hAnsi="Garamond"/>
        </w:rPr>
        <w:t>California Air Resources Board's Solicitation for Feedback on SB 253 and SB 261 Implementation:</w:t>
      </w:r>
      <w:r w:rsidRPr="00420286">
        <w:rPr>
          <w:rFonts w:ascii="Garamond" w:hAnsi="Garamond"/>
        </w:rPr>
        <w:br/>
      </w:r>
      <w:hyperlink r:id="rId5" w:history="1">
        <w:r w:rsidR="00244DED" w:rsidRPr="00420286">
          <w:rPr>
            <w:rStyle w:val="Hyperlink"/>
            <w:rFonts w:ascii="Garamond" w:hAnsi="Garamond"/>
          </w:rPr>
          <w:t>https://ww2.arb.ca.gov/sites/default/files/2024-12/ClimateDisclosureQs_Dec2024.pdf</w:t>
        </w:r>
      </w:hyperlink>
      <w:r w:rsidR="00244DED" w:rsidRPr="00420286">
        <w:rPr>
          <w:rFonts w:ascii="Garamond" w:hAnsi="Garamond"/>
        </w:rPr>
        <w:t xml:space="preserve"> </w:t>
      </w:r>
    </w:p>
    <w:p w14:paraId="75EED08F" w14:textId="77777777" w:rsidR="00420286" w:rsidRDefault="00792E33" w:rsidP="00792E33">
      <w:pPr>
        <w:pStyle w:val="NormalWeb"/>
        <w:numPr>
          <w:ilvl w:val="0"/>
          <w:numId w:val="2"/>
        </w:numPr>
        <w:rPr>
          <w:rFonts w:ascii="Garamond" w:hAnsi="Garamond"/>
        </w:rPr>
      </w:pPr>
      <w:r w:rsidRPr="00420286">
        <w:rPr>
          <w:rFonts w:ascii="Garamond" w:hAnsi="Garamond"/>
        </w:rPr>
        <w:t>Overview of SB 253 and SB 261:</w:t>
      </w:r>
      <w:r w:rsidRPr="00420286">
        <w:rPr>
          <w:rFonts w:ascii="Garamond" w:hAnsi="Garamond"/>
        </w:rPr>
        <w:br/>
      </w:r>
      <w:hyperlink r:id="rId6" w:history="1">
        <w:r w:rsidR="00244DED" w:rsidRPr="00420286">
          <w:rPr>
            <w:rStyle w:val="Hyperlink"/>
            <w:rFonts w:ascii="Garamond" w:hAnsi="Garamond"/>
          </w:rPr>
          <w:t>https://greenplaces.com/articles/california-sb-253-and-sb-261-explained</w:t>
        </w:r>
      </w:hyperlink>
      <w:r w:rsidR="00244DED" w:rsidRPr="00420286">
        <w:rPr>
          <w:rFonts w:ascii="Garamond" w:hAnsi="Garamond"/>
        </w:rPr>
        <w:t xml:space="preserve"> </w:t>
      </w:r>
    </w:p>
    <w:p w14:paraId="3A87A8A2" w14:textId="77777777" w:rsidR="00420286" w:rsidRDefault="00792E33" w:rsidP="00792E33">
      <w:pPr>
        <w:pStyle w:val="NormalWeb"/>
        <w:numPr>
          <w:ilvl w:val="0"/>
          <w:numId w:val="2"/>
        </w:numPr>
        <w:rPr>
          <w:rFonts w:ascii="Garamond" w:hAnsi="Garamond"/>
        </w:rPr>
      </w:pPr>
      <w:r w:rsidRPr="00420286">
        <w:rPr>
          <w:rFonts w:ascii="Garamond" w:hAnsi="Garamond"/>
        </w:rPr>
        <w:t>Amendments Introduced by SB 219:</w:t>
      </w:r>
      <w:r w:rsidRPr="00420286">
        <w:rPr>
          <w:rFonts w:ascii="Garamond" w:hAnsi="Garamond"/>
        </w:rPr>
        <w:br/>
      </w:r>
      <w:hyperlink r:id="rId7" w:tgtFrame="_new" w:history="1">
        <w:r w:rsidRPr="00420286">
          <w:rPr>
            <w:rStyle w:val="Hyperlink"/>
            <w:rFonts w:ascii="Garamond" w:eastAsiaTheme="majorEastAsia" w:hAnsi="Garamond"/>
          </w:rPr>
          <w:t>https://corpgov.law.harvard.edu/2024/12/04/california-climate-disclosure-laws-recent-developments</w:t>
        </w:r>
      </w:hyperlink>
    </w:p>
    <w:p w14:paraId="06068D83" w14:textId="77777777" w:rsidR="00420286" w:rsidRDefault="00792E33" w:rsidP="00792E33">
      <w:pPr>
        <w:pStyle w:val="NormalWeb"/>
        <w:numPr>
          <w:ilvl w:val="0"/>
          <w:numId w:val="2"/>
        </w:numPr>
        <w:rPr>
          <w:rFonts w:ascii="Garamond" w:hAnsi="Garamond"/>
        </w:rPr>
      </w:pPr>
      <w:r w:rsidRPr="00420286">
        <w:rPr>
          <w:rFonts w:ascii="Garamond" w:hAnsi="Garamond"/>
        </w:rPr>
        <w:t>CARB's Enforcement Notice on SB 253 Reporting:</w:t>
      </w:r>
      <w:r w:rsidRPr="00420286">
        <w:rPr>
          <w:rFonts w:ascii="Garamond" w:hAnsi="Garamond"/>
        </w:rPr>
        <w:br/>
      </w:r>
      <w:hyperlink r:id="rId8" w:history="1">
        <w:r w:rsidR="00244DED" w:rsidRPr="00420286">
          <w:rPr>
            <w:rStyle w:val="Hyperlink"/>
            <w:rFonts w:ascii="Garamond" w:hAnsi="Garamond"/>
          </w:rPr>
          <w:t>https://natlawreview.com/article/california-air-resources-board-issues-enforcement-update-climate-disclosure-laws</w:t>
        </w:r>
      </w:hyperlink>
      <w:r w:rsidR="00244DED" w:rsidRPr="00420286">
        <w:rPr>
          <w:rFonts w:ascii="Garamond" w:hAnsi="Garamond"/>
        </w:rPr>
        <w:t xml:space="preserve"> </w:t>
      </w:r>
      <w:r w:rsidRPr="00420286">
        <w:rPr>
          <w:rFonts w:ascii="Garamond" w:hAnsi="Garamond"/>
        </w:rPr>
        <w:t xml:space="preserve"> </w:t>
      </w:r>
    </w:p>
    <w:p w14:paraId="609B50C3" w14:textId="77777777" w:rsidR="00420286" w:rsidRDefault="00792E33" w:rsidP="00792E33">
      <w:pPr>
        <w:pStyle w:val="NormalWeb"/>
        <w:numPr>
          <w:ilvl w:val="0"/>
          <w:numId w:val="2"/>
        </w:numPr>
        <w:rPr>
          <w:rFonts w:ascii="Garamond" w:hAnsi="Garamond"/>
        </w:rPr>
      </w:pPr>
      <w:r w:rsidRPr="00420286">
        <w:rPr>
          <w:rFonts w:ascii="Garamond" w:hAnsi="Garamond"/>
        </w:rPr>
        <w:t>Economic Implications of Climate Disclosure Legislation:</w:t>
      </w:r>
      <w:r w:rsidRPr="00420286">
        <w:rPr>
          <w:rFonts w:ascii="Garamond" w:hAnsi="Garamond"/>
        </w:rPr>
        <w:br/>
      </w:r>
      <w:hyperlink r:id="rId9" w:history="1">
        <w:r w:rsidR="00244DED" w:rsidRPr="00420286">
          <w:rPr>
            <w:rStyle w:val="Hyperlink"/>
            <w:rFonts w:ascii="Garamond" w:hAnsi="Garamond"/>
          </w:rPr>
          <w:t>https://www.esgtoday.com/california-governor-signs-climate-disclosure-bill-into-law-with-2026-start-date-intact</w:t>
        </w:r>
      </w:hyperlink>
      <w:r w:rsidR="00244DED" w:rsidRPr="00420286">
        <w:rPr>
          <w:rFonts w:ascii="Garamond" w:hAnsi="Garamond"/>
        </w:rPr>
        <w:t xml:space="preserve"> </w:t>
      </w:r>
    </w:p>
    <w:p w14:paraId="2A41C5CC" w14:textId="77777777" w:rsidR="00420286" w:rsidRDefault="00792E33" w:rsidP="00792E33">
      <w:pPr>
        <w:pStyle w:val="NormalWeb"/>
        <w:numPr>
          <w:ilvl w:val="0"/>
          <w:numId w:val="2"/>
        </w:numPr>
        <w:rPr>
          <w:rFonts w:ascii="Garamond" w:hAnsi="Garamond"/>
        </w:rPr>
      </w:pPr>
      <w:r w:rsidRPr="00420286">
        <w:rPr>
          <w:rFonts w:ascii="Garamond" w:hAnsi="Garamond"/>
        </w:rPr>
        <w:t>California’s Carbon Neutrality Goals by 2045:</w:t>
      </w:r>
      <w:r w:rsidRPr="00420286">
        <w:rPr>
          <w:rFonts w:ascii="Garamond" w:hAnsi="Garamond"/>
        </w:rPr>
        <w:br/>
      </w:r>
      <w:hyperlink r:id="rId10" w:history="1">
        <w:r w:rsidR="00244DED" w:rsidRPr="00420286">
          <w:rPr>
            <w:rStyle w:val="Hyperlink"/>
            <w:rFonts w:ascii="Garamond" w:hAnsi="Garamond"/>
          </w:rPr>
          <w:t>https://www.energy.ca.gov/programs-and-topics/topics/clean-energy-and-pollution-free-economy/california-carbon-neutrality</w:t>
        </w:r>
      </w:hyperlink>
      <w:r w:rsidR="00244DED" w:rsidRPr="00420286">
        <w:rPr>
          <w:rFonts w:ascii="Garamond" w:hAnsi="Garamond"/>
        </w:rPr>
        <w:t xml:space="preserve"> </w:t>
      </w:r>
    </w:p>
    <w:p w14:paraId="78091B70" w14:textId="77777777" w:rsidR="00420286" w:rsidRDefault="00792E33" w:rsidP="00792E33">
      <w:pPr>
        <w:pStyle w:val="NormalWeb"/>
        <w:numPr>
          <w:ilvl w:val="0"/>
          <w:numId w:val="2"/>
        </w:numPr>
        <w:rPr>
          <w:rFonts w:ascii="Garamond" w:hAnsi="Garamond"/>
        </w:rPr>
      </w:pPr>
      <w:r w:rsidRPr="00420286">
        <w:rPr>
          <w:rFonts w:ascii="Garamond" w:hAnsi="Garamond"/>
        </w:rPr>
        <w:t>GHG Protocol Guidance:</w:t>
      </w:r>
      <w:r w:rsidRPr="00420286">
        <w:rPr>
          <w:rFonts w:ascii="Garamond" w:hAnsi="Garamond"/>
        </w:rPr>
        <w:br/>
      </w:r>
      <w:hyperlink r:id="rId11" w:history="1">
        <w:r w:rsidR="00244DED" w:rsidRPr="00420286">
          <w:rPr>
            <w:rStyle w:val="Hyperlink"/>
            <w:rFonts w:ascii="Garamond" w:hAnsi="Garamond"/>
          </w:rPr>
          <w:t>https://ghgprotocol.org/standards</w:t>
        </w:r>
      </w:hyperlink>
      <w:r w:rsidR="00244DED" w:rsidRPr="00420286">
        <w:rPr>
          <w:rFonts w:ascii="Garamond" w:hAnsi="Garamond"/>
        </w:rPr>
        <w:t xml:space="preserve"> </w:t>
      </w:r>
    </w:p>
    <w:p w14:paraId="75AAB981" w14:textId="77777777" w:rsidR="00420286" w:rsidRDefault="00792E33" w:rsidP="00792E33">
      <w:pPr>
        <w:pStyle w:val="NormalWeb"/>
        <w:numPr>
          <w:ilvl w:val="0"/>
          <w:numId w:val="2"/>
        </w:numPr>
        <w:rPr>
          <w:rFonts w:ascii="Garamond" w:hAnsi="Garamond"/>
        </w:rPr>
      </w:pPr>
      <w:r w:rsidRPr="00420286">
        <w:rPr>
          <w:rFonts w:ascii="Garamond" w:hAnsi="Garamond"/>
        </w:rPr>
        <w:t>The Role of TCFD in Climate Risk Disclosure:</w:t>
      </w:r>
      <w:r w:rsidRPr="00420286">
        <w:rPr>
          <w:rFonts w:ascii="Garamond" w:hAnsi="Garamond"/>
        </w:rPr>
        <w:br/>
      </w:r>
      <w:hyperlink r:id="rId12" w:history="1">
        <w:r w:rsidR="00244DED" w:rsidRPr="00420286">
          <w:rPr>
            <w:rStyle w:val="Hyperlink"/>
            <w:rFonts w:ascii="Garamond" w:hAnsi="Garamond"/>
          </w:rPr>
          <w:t>https://www.fsb-tcfd.org/publications/</w:t>
        </w:r>
      </w:hyperlink>
    </w:p>
    <w:p w14:paraId="2783BCE3" w14:textId="77777777" w:rsidR="00420286" w:rsidRDefault="00792E33" w:rsidP="00792E33">
      <w:pPr>
        <w:pStyle w:val="NormalWeb"/>
        <w:numPr>
          <w:ilvl w:val="0"/>
          <w:numId w:val="2"/>
        </w:numPr>
        <w:rPr>
          <w:rFonts w:ascii="Garamond" w:hAnsi="Garamond"/>
        </w:rPr>
      </w:pPr>
      <w:r w:rsidRPr="00420286">
        <w:rPr>
          <w:rFonts w:ascii="Garamond" w:hAnsi="Garamond"/>
        </w:rPr>
        <w:t>SEC Climate Disclosure Proposal:</w:t>
      </w:r>
      <w:r w:rsidRPr="00420286">
        <w:rPr>
          <w:rFonts w:ascii="Garamond" w:hAnsi="Garamond"/>
        </w:rPr>
        <w:br/>
      </w:r>
      <w:hyperlink r:id="rId13" w:history="1">
        <w:r w:rsidR="00244DED" w:rsidRPr="00420286">
          <w:rPr>
            <w:rStyle w:val="Hyperlink"/>
            <w:rFonts w:ascii="Garamond" w:hAnsi="Garamond"/>
          </w:rPr>
          <w:t>https://www.sec.gov/news/press-release/2022-46</w:t>
        </w:r>
      </w:hyperlink>
      <w:r w:rsidR="00244DED" w:rsidRPr="00420286">
        <w:rPr>
          <w:rFonts w:ascii="Garamond" w:hAnsi="Garamond"/>
        </w:rPr>
        <w:t xml:space="preserve"> </w:t>
      </w:r>
    </w:p>
    <w:p w14:paraId="6DE2DC1F" w14:textId="77777777" w:rsidR="00420286" w:rsidRDefault="00792E33" w:rsidP="00792E33">
      <w:pPr>
        <w:pStyle w:val="NormalWeb"/>
        <w:numPr>
          <w:ilvl w:val="0"/>
          <w:numId w:val="2"/>
        </w:numPr>
        <w:rPr>
          <w:rFonts w:ascii="Garamond" w:hAnsi="Garamond"/>
        </w:rPr>
      </w:pPr>
      <w:r w:rsidRPr="00420286">
        <w:rPr>
          <w:rFonts w:ascii="Garamond" w:hAnsi="Garamond"/>
        </w:rPr>
        <w:t>Corporate Sustainability Reporting Directive (CSRD) Overview:</w:t>
      </w:r>
      <w:r w:rsidRPr="00420286">
        <w:rPr>
          <w:rFonts w:ascii="Garamond" w:hAnsi="Garamond"/>
        </w:rPr>
        <w:br/>
      </w:r>
      <w:hyperlink r:id="rId14" w:tgtFrame="_new" w:history="1">
        <w:r w:rsidRPr="00420286">
          <w:rPr>
            <w:rStyle w:val="Hyperlink"/>
            <w:rFonts w:ascii="Garamond" w:eastAsiaTheme="majorEastAsia" w:hAnsi="Garamond"/>
          </w:rPr>
          <w:t>https://ec.europa.eu/info/business-economy-euro/company-reporting-and-auditing/company-reporting/corporate-sustainability-reporting_en</w:t>
        </w:r>
      </w:hyperlink>
    </w:p>
    <w:p w14:paraId="48335342" w14:textId="77777777" w:rsidR="00420286" w:rsidRDefault="00792E33" w:rsidP="00792E33">
      <w:pPr>
        <w:pStyle w:val="NormalWeb"/>
        <w:numPr>
          <w:ilvl w:val="0"/>
          <w:numId w:val="2"/>
        </w:numPr>
        <w:rPr>
          <w:rFonts w:ascii="Garamond" w:hAnsi="Garamond"/>
        </w:rPr>
      </w:pPr>
      <w:r w:rsidRPr="00420286">
        <w:rPr>
          <w:rFonts w:ascii="Garamond" w:hAnsi="Garamond"/>
        </w:rPr>
        <w:t>California’s Wildfire Impact Studies:</w:t>
      </w:r>
      <w:r w:rsidRPr="00420286">
        <w:rPr>
          <w:rFonts w:ascii="Garamond" w:hAnsi="Garamond"/>
        </w:rPr>
        <w:br/>
      </w:r>
      <w:hyperlink r:id="rId15" w:history="1">
        <w:r w:rsidR="00244DED" w:rsidRPr="00420286">
          <w:rPr>
            <w:rStyle w:val="Hyperlink"/>
            <w:rFonts w:ascii="Garamond" w:hAnsi="Garamond"/>
          </w:rPr>
          <w:t>https://www.fire.ca.gov/stats-events/</w:t>
        </w:r>
      </w:hyperlink>
    </w:p>
    <w:p w14:paraId="387FCF09" w14:textId="77777777" w:rsidR="00420286" w:rsidRDefault="00792E33" w:rsidP="00792E33">
      <w:pPr>
        <w:pStyle w:val="NormalWeb"/>
        <w:numPr>
          <w:ilvl w:val="0"/>
          <w:numId w:val="2"/>
        </w:numPr>
        <w:rPr>
          <w:rFonts w:ascii="Garamond" w:hAnsi="Garamond"/>
        </w:rPr>
      </w:pPr>
      <w:r w:rsidRPr="00420286">
        <w:rPr>
          <w:rFonts w:ascii="Garamond" w:hAnsi="Garamond"/>
        </w:rPr>
        <w:t>CDP Global Environmental Reporting:</w:t>
      </w:r>
      <w:r w:rsidRPr="00420286">
        <w:rPr>
          <w:rFonts w:ascii="Garamond" w:hAnsi="Garamond"/>
        </w:rPr>
        <w:br/>
      </w:r>
      <w:hyperlink r:id="rId16" w:history="1">
        <w:r w:rsidR="00244DED" w:rsidRPr="00420286">
          <w:rPr>
            <w:rStyle w:val="Hyperlink"/>
            <w:rFonts w:ascii="Garamond" w:hAnsi="Garamond"/>
          </w:rPr>
          <w:t>https://www.cdp.net/en</w:t>
        </w:r>
      </w:hyperlink>
      <w:r w:rsidR="00244DED" w:rsidRPr="00420286">
        <w:rPr>
          <w:rFonts w:ascii="Garamond" w:hAnsi="Garamond"/>
        </w:rPr>
        <w:t xml:space="preserve"> </w:t>
      </w:r>
    </w:p>
    <w:p w14:paraId="4A193B6D" w14:textId="77777777" w:rsidR="00420286" w:rsidRDefault="00792E33" w:rsidP="00792E33">
      <w:pPr>
        <w:pStyle w:val="NormalWeb"/>
        <w:numPr>
          <w:ilvl w:val="0"/>
          <w:numId w:val="2"/>
        </w:numPr>
        <w:rPr>
          <w:rFonts w:ascii="Garamond" w:hAnsi="Garamond"/>
        </w:rPr>
      </w:pPr>
      <w:r w:rsidRPr="00420286">
        <w:rPr>
          <w:rFonts w:ascii="Garamond" w:hAnsi="Garamond"/>
        </w:rPr>
        <w:t>The Climate Registry - Emissions Reporting Services:</w:t>
      </w:r>
      <w:r w:rsidRPr="00420286">
        <w:rPr>
          <w:rFonts w:ascii="Garamond" w:hAnsi="Garamond"/>
        </w:rPr>
        <w:br/>
      </w:r>
      <w:hyperlink r:id="rId17" w:tgtFrame="_new" w:history="1">
        <w:r w:rsidRPr="00420286">
          <w:rPr>
            <w:rStyle w:val="Hyperlink"/>
            <w:rFonts w:ascii="Garamond" w:eastAsiaTheme="majorEastAsia" w:hAnsi="Garamond"/>
          </w:rPr>
          <w:t>https://www.theclimateregistry.org/</w:t>
        </w:r>
      </w:hyperlink>
    </w:p>
    <w:p w14:paraId="3CD168F5" w14:textId="77777777" w:rsidR="00420286" w:rsidRDefault="00792E33" w:rsidP="00792E33">
      <w:pPr>
        <w:pStyle w:val="NormalWeb"/>
        <w:numPr>
          <w:ilvl w:val="0"/>
          <w:numId w:val="2"/>
        </w:numPr>
        <w:rPr>
          <w:rFonts w:ascii="Garamond" w:hAnsi="Garamond"/>
        </w:rPr>
      </w:pPr>
      <w:r w:rsidRPr="00420286">
        <w:rPr>
          <w:rFonts w:ascii="Garamond" w:hAnsi="Garamond"/>
        </w:rPr>
        <w:t>ISO 14064 Guidance on GHG Reporting:</w:t>
      </w:r>
      <w:r w:rsidRPr="00420286">
        <w:rPr>
          <w:rFonts w:ascii="Garamond" w:hAnsi="Garamond"/>
        </w:rPr>
        <w:br/>
      </w:r>
      <w:hyperlink r:id="rId18" w:history="1">
        <w:r w:rsidR="00244DED" w:rsidRPr="00420286">
          <w:rPr>
            <w:rStyle w:val="Hyperlink"/>
            <w:rFonts w:ascii="Garamond" w:hAnsi="Garamond"/>
          </w:rPr>
          <w:t>https://www.iso.org/standard/66453.html</w:t>
        </w:r>
      </w:hyperlink>
      <w:r w:rsidR="00244DED" w:rsidRPr="00420286">
        <w:rPr>
          <w:rFonts w:ascii="Garamond" w:hAnsi="Garamond"/>
        </w:rPr>
        <w:t xml:space="preserve"> </w:t>
      </w:r>
    </w:p>
    <w:p w14:paraId="3A575008" w14:textId="77777777" w:rsidR="00420286" w:rsidRDefault="00792E33" w:rsidP="00792E33">
      <w:pPr>
        <w:pStyle w:val="NormalWeb"/>
        <w:numPr>
          <w:ilvl w:val="0"/>
          <w:numId w:val="2"/>
        </w:numPr>
        <w:rPr>
          <w:rFonts w:ascii="Garamond" w:hAnsi="Garamond"/>
        </w:rPr>
      </w:pPr>
      <w:r w:rsidRPr="00420286">
        <w:rPr>
          <w:rFonts w:ascii="Garamond" w:hAnsi="Garamond"/>
        </w:rPr>
        <w:t>Verra Climate Standards and Services:</w:t>
      </w:r>
      <w:r w:rsidRPr="00420286">
        <w:rPr>
          <w:rFonts w:ascii="Garamond" w:hAnsi="Garamond"/>
        </w:rPr>
        <w:br/>
      </w:r>
      <w:hyperlink r:id="rId19" w:tgtFrame="_new" w:history="1">
        <w:r w:rsidRPr="00420286">
          <w:rPr>
            <w:rStyle w:val="Hyperlink"/>
            <w:rFonts w:ascii="Garamond" w:eastAsiaTheme="majorEastAsia" w:hAnsi="Garamond"/>
          </w:rPr>
          <w:t>https://verra.org/</w:t>
        </w:r>
      </w:hyperlink>
    </w:p>
    <w:p w14:paraId="2CAC3879" w14:textId="77777777" w:rsidR="00420286" w:rsidRDefault="00792E33" w:rsidP="00792E33">
      <w:pPr>
        <w:pStyle w:val="NormalWeb"/>
        <w:numPr>
          <w:ilvl w:val="0"/>
          <w:numId w:val="2"/>
        </w:numPr>
        <w:rPr>
          <w:rFonts w:ascii="Garamond" w:hAnsi="Garamond"/>
        </w:rPr>
      </w:pPr>
      <w:r w:rsidRPr="00420286">
        <w:rPr>
          <w:rFonts w:ascii="Garamond" w:hAnsi="Garamond"/>
        </w:rPr>
        <w:t>California’s AB 32 Scoping Plan (State Climate Goals):</w:t>
      </w:r>
      <w:r w:rsidRPr="00420286">
        <w:rPr>
          <w:rFonts w:ascii="Garamond" w:hAnsi="Garamond"/>
        </w:rPr>
        <w:br/>
      </w:r>
      <w:hyperlink r:id="rId20" w:history="1">
        <w:r w:rsidR="00244DED" w:rsidRPr="00420286">
          <w:rPr>
            <w:rStyle w:val="Hyperlink"/>
            <w:rFonts w:ascii="Garamond" w:hAnsi="Garamond"/>
          </w:rPr>
          <w:t>https://ww2.arb.ca.gov/our-work/programs/ab-32-climate-change-scoping-plan</w:t>
        </w:r>
      </w:hyperlink>
      <w:r w:rsidR="00244DED" w:rsidRPr="00420286">
        <w:rPr>
          <w:rFonts w:ascii="Garamond" w:hAnsi="Garamond"/>
        </w:rPr>
        <w:t xml:space="preserve"> </w:t>
      </w:r>
    </w:p>
    <w:p w14:paraId="53AB07A3" w14:textId="77777777" w:rsidR="00420286" w:rsidRDefault="00792E33" w:rsidP="00792E33">
      <w:pPr>
        <w:pStyle w:val="NormalWeb"/>
        <w:numPr>
          <w:ilvl w:val="0"/>
          <w:numId w:val="2"/>
        </w:numPr>
        <w:rPr>
          <w:rFonts w:ascii="Garamond" w:hAnsi="Garamond"/>
        </w:rPr>
      </w:pPr>
      <w:r w:rsidRPr="00420286">
        <w:rPr>
          <w:rFonts w:ascii="Garamond" w:hAnsi="Garamond"/>
        </w:rPr>
        <w:t>Overview of Scope 3 Emissions:</w:t>
      </w:r>
      <w:r w:rsidRPr="00420286">
        <w:rPr>
          <w:rFonts w:ascii="Garamond" w:hAnsi="Garamond"/>
        </w:rPr>
        <w:br/>
      </w:r>
      <w:hyperlink r:id="rId21" w:tgtFrame="_new" w:history="1">
        <w:r w:rsidRPr="00420286">
          <w:rPr>
            <w:rStyle w:val="Hyperlink"/>
            <w:rFonts w:ascii="Garamond" w:eastAsiaTheme="majorEastAsia" w:hAnsi="Garamond"/>
          </w:rPr>
          <w:t>https://www.epa.gov/climateleadership/scope-3-inventory-guidance</w:t>
        </w:r>
      </w:hyperlink>
    </w:p>
    <w:p w14:paraId="3A9FD74E" w14:textId="77777777" w:rsidR="00420286" w:rsidRDefault="00792E33" w:rsidP="00792E33">
      <w:pPr>
        <w:pStyle w:val="NormalWeb"/>
        <w:numPr>
          <w:ilvl w:val="0"/>
          <w:numId w:val="2"/>
        </w:numPr>
        <w:rPr>
          <w:rFonts w:ascii="Garamond" w:hAnsi="Garamond"/>
        </w:rPr>
      </w:pPr>
      <w:r w:rsidRPr="00420286">
        <w:rPr>
          <w:rFonts w:ascii="Garamond" w:hAnsi="Garamond"/>
        </w:rPr>
        <w:t>Business Roundtable Position on ESG and Sustainability:</w:t>
      </w:r>
      <w:r w:rsidRPr="00420286">
        <w:rPr>
          <w:rFonts w:ascii="Garamond" w:hAnsi="Garamond"/>
        </w:rPr>
        <w:br/>
      </w:r>
      <w:hyperlink r:id="rId22" w:history="1">
        <w:r w:rsidR="00244DED" w:rsidRPr="00420286">
          <w:rPr>
            <w:rStyle w:val="Hyperlink"/>
            <w:rFonts w:ascii="Garamond" w:hAnsi="Garamond"/>
          </w:rPr>
          <w:t>https://www.businessroundtable.org/policy-perspectives/environment</w:t>
        </w:r>
      </w:hyperlink>
      <w:r w:rsidR="00244DED" w:rsidRPr="00420286">
        <w:rPr>
          <w:rFonts w:ascii="Garamond" w:hAnsi="Garamond"/>
        </w:rPr>
        <w:t xml:space="preserve"> </w:t>
      </w:r>
    </w:p>
    <w:p w14:paraId="2832ACA7" w14:textId="77777777" w:rsidR="00420286" w:rsidRDefault="00792E33" w:rsidP="00792E33">
      <w:pPr>
        <w:pStyle w:val="NormalWeb"/>
        <w:numPr>
          <w:ilvl w:val="0"/>
          <w:numId w:val="2"/>
        </w:numPr>
        <w:rPr>
          <w:rFonts w:ascii="Garamond" w:hAnsi="Garamond"/>
        </w:rPr>
      </w:pPr>
      <w:r w:rsidRPr="00420286">
        <w:rPr>
          <w:rFonts w:ascii="Garamond" w:hAnsi="Garamond"/>
        </w:rPr>
        <w:lastRenderedPageBreak/>
        <w:t>Global Risks Report on Climate Impacts (World Economic Forum):</w:t>
      </w:r>
      <w:r w:rsidRPr="00420286">
        <w:rPr>
          <w:rFonts w:ascii="Garamond" w:hAnsi="Garamond"/>
        </w:rPr>
        <w:br/>
      </w:r>
      <w:hyperlink r:id="rId23" w:history="1">
        <w:r w:rsidR="00244DED" w:rsidRPr="00420286">
          <w:rPr>
            <w:rStyle w:val="Hyperlink"/>
            <w:rFonts w:ascii="Garamond" w:hAnsi="Garamond"/>
          </w:rPr>
          <w:t>https://www.weforum.org/reports/the-global-risks-report-2024</w:t>
        </w:r>
      </w:hyperlink>
      <w:r w:rsidR="00244DED" w:rsidRPr="00420286">
        <w:rPr>
          <w:rFonts w:ascii="Garamond" w:hAnsi="Garamond"/>
        </w:rPr>
        <w:t xml:space="preserve"> </w:t>
      </w:r>
    </w:p>
    <w:p w14:paraId="7E73746B" w14:textId="674D817C" w:rsidR="00435F36" w:rsidRDefault="00792E33" w:rsidP="00420286">
      <w:pPr>
        <w:pStyle w:val="NormalWeb"/>
        <w:numPr>
          <w:ilvl w:val="0"/>
          <w:numId w:val="2"/>
        </w:numPr>
        <w:rPr>
          <w:rFonts w:ascii="Garamond" w:hAnsi="Garamond"/>
        </w:rPr>
      </w:pPr>
      <w:r w:rsidRPr="00420286">
        <w:rPr>
          <w:rFonts w:ascii="Garamond" w:hAnsi="Garamond"/>
        </w:rPr>
        <w:t>California's Cap-and-Trade Program:</w:t>
      </w:r>
      <w:r w:rsidRPr="00420286">
        <w:rPr>
          <w:rFonts w:ascii="Garamond" w:hAnsi="Garamond"/>
        </w:rPr>
        <w:br/>
      </w:r>
      <w:hyperlink r:id="rId24" w:history="1">
        <w:r w:rsidR="00244DED" w:rsidRPr="00420286">
          <w:rPr>
            <w:rStyle w:val="Hyperlink"/>
            <w:rFonts w:ascii="Garamond" w:hAnsi="Garamond"/>
          </w:rPr>
          <w:t>https://ww2.arb.ca.gov/our-work/programs/cap-and-trade-program</w:t>
        </w:r>
      </w:hyperlink>
      <w:r w:rsidR="00244DED" w:rsidRPr="00420286">
        <w:rPr>
          <w:rFonts w:ascii="Garamond" w:hAnsi="Garamond"/>
        </w:rPr>
        <w:t xml:space="preserve"> </w:t>
      </w:r>
    </w:p>
    <w:p w14:paraId="236D7134" w14:textId="77777777" w:rsidR="00435F36" w:rsidRDefault="00435F36">
      <w:pPr>
        <w:rPr>
          <w:rFonts w:ascii="Garamond" w:eastAsia="Times New Roman" w:hAnsi="Garamond" w:cs="Times New Roman"/>
          <w:kern w:val="0"/>
          <w14:ligatures w14:val="none"/>
        </w:rPr>
      </w:pPr>
      <w:r>
        <w:rPr>
          <w:rFonts w:ascii="Garamond" w:hAnsi="Garamond"/>
        </w:rPr>
        <w:br w:type="page"/>
      </w:r>
    </w:p>
    <w:p w14:paraId="0211288E" w14:textId="4894F247" w:rsidR="009C096F" w:rsidRPr="00921C2F" w:rsidRDefault="00435F36" w:rsidP="00435F36">
      <w:pPr>
        <w:pStyle w:val="NormalWeb"/>
        <w:rPr>
          <w:rFonts w:ascii="Garamond" w:hAnsi="Garamond"/>
          <w:b/>
          <w:bCs/>
        </w:rPr>
      </w:pPr>
      <w:r w:rsidRPr="00921C2F">
        <w:rPr>
          <w:rFonts w:ascii="Garamond" w:hAnsi="Garamond"/>
          <w:b/>
          <w:bCs/>
        </w:rPr>
        <w:lastRenderedPageBreak/>
        <w:t xml:space="preserve">Biography </w:t>
      </w:r>
    </w:p>
    <w:p w14:paraId="37E527E9" w14:textId="26A264CB" w:rsidR="00435F36" w:rsidRPr="00435F36" w:rsidRDefault="00435F36" w:rsidP="00435F36">
      <w:pPr>
        <w:pStyle w:val="NormalWeb"/>
        <w:rPr>
          <w:rFonts w:ascii="Garamond" w:hAnsi="Garamond"/>
        </w:rPr>
      </w:pPr>
      <w:r w:rsidRPr="00435F36">
        <w:rPr>
          <w:rFonts w:ascii="Garamond" w:hAnsi="Garamond"/>
        </w:rPr>
        <w:t>Jude Chisom Erondu is a seasoned investment professional, strategist, and thought leader in responsible investing and sustainable finance. With a career spanning asset management, corporate banking, and climate finance, he has been at the forefront of integrating ESG principles into investment decision-making, shaping global capital flows toward sustainable outcomes.</w:t>
      </w:r>
    </w:p>
    <w:p w14:paraId="62EDF5C6" w14:textId="3DA74140" w:rsidR="00435F36" w:rsidRPr="00435F36" w:rsidRDefault="00435F36" w:rsidP="00435F36">
      <w:pPr>
        <w:pStyle w:val="NormalWeb"/>
        <w:rPr>
          <w:rFonts w:ascii="Garamond" w:hAnsi="Garamond"/>
        </w:rPr>
      </w:pPr>
      <w:r w:rsidRPr="00435F36">
        <w:rPr>
          <w:rFonts w:ascii="Garamond" w:hAnsi="Garamond"/>
        </w:rPr>
        <w:t>Currently, Jude is independently working on a tool aimed at advancing climate finance in emerging markets, leveraging artificial intelligence to enhance carbon attribution and impact-driven investment strategies. Previously, he served as the Director of Responsible Investing at Nuveen, where he played a pivotal role in ESG integration, sustainability-linked investments, and regulatory frameworks, particularly in the European financial sector.</w:t>
      </w:r>
      <w:r>
        <w:rPr>
          <w:rFonts w:ascii="Garamond" w:hAnsi="Garamond"/>
        </w:rPr>
        <w:t xml:space="preserve"> </w:t>
      </w:r>
      <w:r w:rsidRPr="00435F36">
        <w:rPr>
          <w:rFonts w:ascii="Garamond" w:hAnsi="Garamond"/>
        </w:rPr>
        <w:t>His influence extends to policy and international development, aligning with his long-term ambition of leading global financial institutions or serving in a U.S. government cabinet role.</w:t>
      </w:r>
    </w:p>
    <w:p w14:paraId="744C88F8" w14:textId="2D0AA364" w:rsidR="00435F36" w:rsidRPr="00435F36" w:rsidRDefault="00435F36" w:rsidP="00435F36">
      <w:pPr>
        <w:pStyle w:val="NormalWeb"/>
        <w:rPr>
          <w:rFonts w:ascii="Garamond" w:hAnsi="Garamond"/>
        </w:rPr>
      </w:pPr>
      <w:r w:rsidRPr="00435F36">
        <w:rPr>
          <w:rFonts w:ascii="Garamond" w:hAnsi="Garamond"/>
        </w:rPr>
        <w:t>Jude is currently pursuing an Executive MBA at Columbia Business School and is an alumnus of the London School of Economics</w:t>
      </w:r>
      <w:r>
        <w:rPr>
          <w:rFonts w:ascii="Garamond" w:hAnsi="Garamond"/>
        </w:rPr>
        <w:t xml:space="preserve"> and Green Mountain College</w:t>
      </w:r>
      <w:r w:rsidRPr="00435F36">
        <w:rPr>
          <w:rFonts w:ascii="Garamond" w:hAnsi="Garamond"/>
        </w:rPr>
        <w:t>. A recognized voice in climate finance, he has contributed thought leadership on ESG investing, emerging markets, and financial innovation, shaping discussions on sustainable finance within global policy and investment circles.</w:t>
      </w:r>
    </w:p>
    <w:p w14:paraId="372F8F99" w14:textId="77777777" w:rsidR="00435F36" w:rsidRPr="00435F36" w:rsidRDefault="00435F36" w:rsidP="00435F36">
      <w:pPr>
        <w:pStyle w:val="NormalWeb"/>
        <w:rPr>
          <w:rFonts w:ascii="Garamond" w:hAnsi="Garamond"/>
        </w:rPr>
      </w:pPr>
      <w:r w:rsidRPr="00435F36">
        <w:rPr>
          <w:rFonts w:ascii="Garamond" w:hAnsi="Garamond"/>
        </w:rPr>
        <w:t>Outside of finance and policy, Jude values personal connections, culture, and nuanced communication. He has a deep appreciation for art, enjoys thought-provoking conversations, and is passionate about building meaningful relationships.</w:t>
      </w:r>
    </w:p>
    <w:p w14:paraId="72DCEC3E" w14:textId="77777777" w:rsidR="00435F36" w:rsidRPr="00420286" w:rsidRDefault="00435F36" w:rsidP="00435F36">
      <w:pPr>
        <w:pStyle w:val="NormalWeb"/>
        <w:rPr>
          <w:rFonts w:ascii="Garamond" w:hAnsi="Garamond"/>
        </w:rPr>
      </w:pPr>
    </w:p>
    <w:p w14:paraId="4720522B" w14:textId="77777777" w:rsidR="009C096F" w:rsidRPr="00420286" w:rsidRDefault="009C096F" w:rsidP="009C096F">
      <w:pPr>
        <w:rPr>
          <w:rFonts w:ascii="Garamond" w:hAnsi="Garamond"/>
        </w:rPr>
      </w:pPr>
    </w:p>
    <w:sectPr w:rsidR="009C096F" w:rsidRPr="004202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E1D87"/>
    <w:multiLevelType w:val="hybridMultilevel"/>
    <w:tmpl w:val="57C6C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7A6A6D"/>
    <w:multiLevelType w:val="hybridMultilevel"/>
    <w:tmpl w:val="54CA2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7559550">
    <w:abstractNumId w:val="0"/>
  </w:num>
  <w:num w:numId="2" w16cid:durableId="625552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96F"/>
    <w:rsid w:val="001231AA"/>
    <w:rsid w:val="00244DED"/>
    <w:rsid w:val="00331171"/>
    <w:rsid w:val="003D57F7"/>
    <w:rsid w:val="00420286"/>
    <w:rsid w:val="00435F36"/>
    <w:rsid w:val="004E7465"/>
    <w:rsid w:val="00617B39"/>
    <w:rsid w:val="006C0BAB"/>
    <w:rsid w:val="00792E33"/>
    <w:rsid w:val="007F677C"/>
    <w:rsid w:val="00921C2F"/>
    <w:rsid w:val="00951392"/>
    <w:rsid w:val="009C096F"/>
    <w:rsid w:val="00A05002"/>
    <w:rsid w:val="00BE7284"/>
    <w:rsid w:val="00C622F3"/>
    <w:rsid w:val="00DB46B5"/>
    <w:rsid w:val="00E35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9F670"/>
  <w15:chartTrackingRefBased/>
  <w15:docId w15:val="{B231840D-181E-432C-80C2-D17AB3066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09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09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09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09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09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09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09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09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09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9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09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09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09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09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09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09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09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096F"/>
    <w:rPr>
      <w:rFonts w:eastAsiaTheme="majorEastAsia" w:cstheme="majorBidi"/>
      <w:color w:val="272727" w:themeColor="text1" w:themeTint="D8"/>
    </w:rPr>
  </w:style>
  <w:style w:type="paragraph" w:styleId="Title">
    <w:name w:val="Title"/>
    <w:basedOn w:val="Normal"/>
    <w:next w:val="Normal"/>
    <w:link w:val="TitleChar"/>
    <w:uiPriority w:val="10"/>
    <w:qFormat/>
    <w:rsid w:val="009C09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09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09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09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096F"/>
    <w:pPr>
      <w:spacing w:before="160"/>
      <w:jc w:val="center"/>
    </w:pPr>
    <w:rPr>
      <w:i/>
      <w:iCs/>
      <w:color w:val="404040" w:themeColor="text1" w:themeTint="BF"/>
    </w:rPr>
  </w:style>
  <w:style w:type="character" w:customStyle="1" w:styleId="QuoteChar">
    <w:name w:val="Quote Char"/>
    <w:basedOn w:val="DefaultParagraphFont"/>
    <w:link w:val="Quote"/>
    <w:uiPriority w:val="29"/>
    <w:rsid w:val="009C096F"/>
    <w:rPr>
      <w:i/>
      <w:iCs/>
      <w:color w:val="404040" w:themeColor="text1" w:themeTint="BF"/>
    </w:rPr>
  </w:style>
  <w:style w:type="paragraph" w:styleId="ListParagraph">
    <w:name w:val="List Paragraph"/>
    <w:basedOn w:val="Normal"/>
    <w:uiPriority w:val="34"/>
    <w:qFormat/>
    <w:rsid w:val="009C096F"/>
    <w:pPr>
      <w:ind w:left="720"/>
      <w:contextualSpacing/>
    </w:pPr>
  </w:style>
  <w:style w:type="character" w:styleId="IntenseEmphasis">
    <w:name w:val="Intense Emphasis"/>
    <w:basedOn w:val="DefaultParagraphFont"/>
    <w:uiPriority w:val="21"/>
    <w:qFormat/>
    <w:rsid w:val="009C096F"/>
    <w:rPr>
      <w:i/>
      <w:iCs/>
      <w:color w:val="0F4761" w:themeColor="accent1" w:themeShade="BF"/>
    </w:rPr>
  </w:style>
  <w:style w:type="paragraph" w:styleId="IntenseQuote">
    <w:name w:val="Intense Quote"/>
    <w:basedOn w:val="Normal"/>
    <w:next w:val="Normal"/>
    <w:link w:val="IntenseQuoteChar"/>
    <w:uiPriority w:val="30"/>
    <w:qFormat/>
    <w:rsid w:val="009C09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096F"/>
    <w:rPr>
      <w:i/>
      <w:iCs/>
      <w:color w:val="0F4761" w:themeColor="accent1" w:themeShade="BF"/>
    </w:rPr>
  </w:style>
  <w:style w:type="character" w:styleId="IntenseReference">
    <w:name w:val="Intense Reference"/>
    <w:basedOn w:val="DefaultParagraphFont"/>
    <w:uiPriority w:val="32"/>
    <w:qFormat/>
    <w:rsid w:val="009C096F"/>
    <w:rPr>
      <w:b/>
      <w:bCs/>
      <w:smallCaps/>
      <w:color w:val="0F4761" w:themeColor="accent1" w:themeShade="BF"/>
      <w:spacing w:val="5"/>
    </w:rPr>
  </w:style>
  <w:style w:type="paragraph" w:styleId="NormalWeb">
    <w:name w:val="Normal (Web)"/>
    <w:basedOn w:val="Normal"/>
    <w:uiPriority w:val="99"/>
    <w:unhideWhenUsed/>
    <w:rsid w:val="009C096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C096F"/>
    <w:rPr>
      <w:b/>
      <w:bCs/>
    </w:rPr>
  </w:style>
  <w:style w:type="character" w:styleId="Hyperlink">
    <w:name w:val="Hyperlink"/>
    <w:basedOn w:val="DefaultParagraphFont"/>
    <w:uiPriority w:val="99"/>
    <w:unhideWhenUsed/>
    <w:rsid w:val="00792E33"/>
    <w:rPr>
      <w:color w:val="0000FF"/>
      <w:u w:val="single"/>
    </w:rPr>
  </w:style>
  <w:style w:type="character" w:styleId="UnresolvedMention">
    <w:name w:val="Unresolved Mention"/>
    <w:basedOn w:val="DefaultParagraphFont"/>
    <w:uiPriority w:val="99"/>
    <w:semiHidden/>
    <w:unhideWhenUsed/>
    <w:rsid w:val="00244DED"/>
    <w:rPr>
      <w:color w:val="605E5C"/>
      <w:shd w:val="clear" w:color="auto" w:fill="E1DFDD"/>
    </w:rPr>
  </w:style>
  <w:style w:type="paragraph" w:styleId="NoSpacing">
    <w:name w:val="No Spacing"/>
    <w:uiPriority w:val="1"/>
    <w:qFormat/>
    <w:rsid w:val="004202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27486">
      <w:bodyDiv w:val="1"/>
      <w:marLeft w:val="0"/>
      <w:marRight w:val="0"/>
      <w:marTop w:val="0"/>
      <w:marBottom w:val="0"/>
      <w:divBdr>
        <w:top w:val="none" w:sz="0" w:space="0" w:color="auto"/>
        <w:left w:val="none" w:sz="0" w:space="0" w:color="auto"/>
        <w:bottom w:val="none" w:sz="0" w:space="0" w:color="auto"/>
        <w:right w:val="none" w:sz="0" w:space="0" w:color="auto"/>
      </w:divBdr>
    </w:div>
    <w:div w:id="341780264">
      <w:bodyDiv w:val="1"/>
      <w:marLeft w:val="0"/>
      <w:marRight w:val="0"/>
      <w:marTop w:val="0"/>
      <w:marBottom w:val="0"/>
      <w:divBdr>
        <w:top w:val="none" w:sz="0" w:space="0" w:color="auto"/>
        <w:left w:val="none" w:sz="0" w:space="0" w:color="auto"/>
        <w:bottom w:val="none" w:sz="0" w:space="0" w:color="auto"/>
        <w:right w:val="none" w:sz="0" w:space="0" w:color="auto"/>
      </w:divBdr>
    </w:div>
    <w:div w:id="397361751">
      <w:bodyDiv w:val="1"/>
      <w:marLeft w:val="0"/>
      <w:marRight w:val="0"/>
      <w:marTop w:val="0"/>
      <w:marBottom w:val="0"/>
      <w:divBdr>
        <w:top w:val="none" w:sz="0" w:space="0" w:color="auto"/>
        <w:left w:val="none" w:sz="0" w:space="0" w:color="auto"/>
        <w:bottom w:val="none" w:sz="0" w:space="0" w:color="auto"/>
        <w:right w:val="none" w:sz="0" w:space="0" w:color="auto"/>
      </w:divBdr>
    </w:div>
    <w:div w:id="620263440">
      <w:bodyDiv w:val="1"/>
      <w:marLeft w:val="0"/>
      <w:marRight w:val="0"/>
      <w:marTop w:val="0"/>
      <w:marBottom w:val="0"/>
      <w:divBdr>
        <w:top w:val="none" w:sz="0" w:space="0" w:color="auto"/>
        <w:left w:val="none" w:sz="0" w:space="0" w:color="auto"/>
        <w:bottom w:val="none" w:sz="0" w:space="0" w:color="auto"/>
        <w:right w:val="none" w:sz="0" w:space="0" w:color="auto"/>
      </w:divBdr>
    </w:div>
    <w:div w:id="848637512">
      <w:bodyDiv w:val="1"/>
      <w:marLeft w:val="0"/>
      <w:marRight w:val="0"/>
      <w:marTop w:val="0"/>
      <w:marBottom w:val="0"/>
      <w:divBdr>
        <w:top w:val="none" w:sz="0" w:space="0" w:color="auto"/>
        <w:left w:val="none" w:sz="0" w:space="0" w:color="auto"/>
        <w:bottom w:val="none" w:sz="0" w:space="0" w:color="auto"/>
        <w:right w:val="none" w:sz="0" w:space="0" w:color="auto"/>
      </w:divBdr>
    </w:div>
    <w:div w:id="997613435">
      <w:bodyDiv w:val="1"/>
      <w:marLeft w:val="0"/>
      <w:marRight w:val="0"/>
      <w:marTop w:val="0"/>
      <w:marBottom w:val="0"/>
      <w:divBdr>
        <w:top w:val="none" w:sz="0" w:space="0" w:color="auto"/>
        <w:left w:val="none" w:sz="0" w:space="0" w:color="auto"/>
        <w:bottom w:val="none" w:sz="0" w:space="0" w:color="auto"/>
        <w:right w:val="none" w:sz="0" w:space="0" w:color="auto"/>
      </w:divBdr>
    </w:div>
    <w:div w:id="1029918317">
      <w:bodyDiv w:val="1"/>
      <w:marLeft w:val="0"/>
      <w:marRight w:val="0"/>
      <w:marTop w:val="0"/>
      <w:marBottom w:val="0"/>
      <w:divBdr>
        <w:top w:val="none" w:sz="0" w:space="0" w:color="auto"/>
        <w:left w:val="none" w:sz="0" w:space="0" w:color="auto"/>
        <w:bottom w:val="none" w:sz="0" w:space="0" w:color="auto"/>
        <w:right w:val="none" w:sz="0" w:space="0" w:color="auto"/>
      </w:divBdr>
    </w:div>
    <w:div w:id="1656446089">
      <w:bodyDiv w:val="1"/>
      <w:marLeft w:val="0"/>
      <w:marRight w:val="0"/>
      <w:marTop w:val="0"/>
      <w:marBottom w:val="0"/>
      <w:divBdr>
        <w:top w:val="none" w:sz="0" w:space="0" w:color="auto"/>
        <w:left w:val="none" w:sz="0" w:space="0" w:color="auto"/>
        <w:bottom w:val="none" w:sz="0" w:space="0" w:color="auto"/>
        <w:right w:val="none" w:sz="0" w:space="0" w:color="auto"/>
      </w:divBdr>
    </w:div>
    <w:div w:id="171646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lawreview.com/article/california-air-resources-board-issues-enforcement-update-climate-disclosure-laws" TargetMode="External"/><Relationship Id="rId13" Type="http://schemas.openxmlformats.org/officeDocument/2006/relationships/hyperlink" Target="https://www.sec.gov/news/press-release/2022-46" TargetMode="External"/><Relationship Id="rId18" Type="http://schemas.openxmlformats.org/officeDocument/2006/relationships/hyperlink" Target="https://www.iso.org/standard/66453.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epa.gov/climateleadership/scope-3-inventory-guidance" TargetMode="External"/><Relationship Id="rId7" Type="http://schemas.openxmlformats.org/officeDocument/2006/relationships/hyperlink" Target="https://corpgov.law.harvard.edu/2024/12/04/california-climate-disclosure-laws-recent-developments" TargetMode="External"/><Relationship Id="rId12" Type="http://schemas.openxmlformats.org/officeDocument/2006/relationships/hyperlink" Target="https://www.fsb-tcfd.org/publications/" TargetMode="External"/><Relationship Id="rId17" Type="http://schemas.openxmlformats.org/officeDocument/2006/relationships/hyperlink" Target="https://www.theclimateregistry.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dp.net/en" TargetMode="External"/><Relationship Id="rId20" Type="http://schemas.openxmlformats.org/officeDocument/2006/relationships/hyperlink" Target="https://ww2.arb.ca.gov/our-work/programs/ab-32-climate-change-scoping-plan" TargetMode="External"/><Relationship Id="rId1" Type="http://schemas.openxmlformats.org/officeDocument/2006/relationships/numbering" Target="numbering.xml"/><Relationship Id="rId6" Type="http://schemas.openxmlformats.org/officeDocument/2006/relationships/hyperlink" Target="https://greenplaces.com/articles/california-sb-253-and-sb-261-explained" TargetMode="External"/><Relationship Id="rId11" Type="http://schemas.openxmlformats.org/officeDocument/2006/relationships/hyperlink" Target="https://ghgprotocol.org/standards" TargetMode="External"/><Relationship Id="rId24" Type="http://schemas.openxmlformats.org/officeDocument/2006/relationships/hyperlink" Target="https://ww2.arb.ca.gov/our-work/programs/cap-and-trade-program" TargetMode="External"/><Relationship Id="rId5" Type="http://schemas.openxmlformats.org/officeDocument/2006/relationships/hyperlink" Target="https://ww2.arb.ca.gov/sites/default/files/2024-12/ClimateDisclosureQs_Dec2024.pdf" TargetMode="External"/><Relationship Id="rId15" Type="http://schemas.openxmlformats.org/officeDocument/2006/relationships/hyperlink" Target="https://www.fire.ca.gov/stats-events/" TargetMode="External"/><Relationship Id="rId23" Type="http://schemas.openxmlformats.org/officeDocument/2006/relationships/hyperlink" Target="https://www.weforum.org/reports/the-global-risks-report-2024" TargetMode="External"/><Relationship Id="rId10" Type="http://schemas.openxmlformats.org/officeDocument/2006/relationships/hyperlink" Target="https://www.energy.ca.gov/programs-and-topics/topics/clean-energy-and-pollution-free-economy/california-carbon-neutrality" TargetMode="External"/><Relationship Id="rId19" Type="http://schemas.openxmlformats.org/officeDocument/2006/relationships/hyperlink" Target="https://verra.org/" TargetMode="External"/><Relationship Id="rId4" Type="http://schemas.openxmlformats.org/officeDocument/2006/relationships/webSettings" Target="webSettings.xml"/><Relationship Id="rId9" Type="http://schemas.openxmlformats.org/officeDocument/2006/relationships/hyperlink" Target="https://www.esgtoday.com/california-governor-signs-climate-disclosure-bill-into-law-with-2026-start-date-intact" TargetMode="External"/><Relationship Id="rId14" Type="http://schemas.openxmlformats.org/officeDocument/2006/relationships/hyperlink" Target="https://ec.europa.eu/info/business-economy-euro/company-reporting-and-auditing/company-reporting/corporate-sustainability-reporting_en" TargetMode="External"/><Relationship Id="rId22" Type="http://schemas.openxmlformats.org/officeDocument/2006/relationships/hyperlink" Target="https://www.businessroundtable.org/policy-perspectives/enviro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72</TotalTime>
  <Pages>9</Pages>
  <Words>3282</Words>
  <Characters>18709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 Chisom Erondu</dc:creator>
  <cp:keywords/>
  <dc:description/>
  <cp:lastModifiedBy>Jude Chisom Erondu</cp:lastModifiedBy>
  <cp:revision>6</cp:revision>
  <dcterms:created xsi:type="dcterms:W3CDTF">2025-01-17T13:53:00Z</dcterms:created>
  <dcterms:modified xsi:type="dcterms:W3CDTF">2025-03-13T12:42:00Z</dcterms:modified>
</cp:coreProperties>
</file>