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body>
    <w:p w:rsidR="00E962BE" w:rsidP="008A4D0A" w:rsidRDefault="00E962BE" w14:paraId="5275933E" w14:textId="77777777">
      <w:pPr>
        <w:jc w:val="left"/>
      </w:pPr>
    </w:p>
    <w:p w:rsidR="00C17749" w:rsidP="0A014797" w:rsidRDefault="003F2C83" w14:paraId="3BE23786" w14:textId="4D3A5902">
      <w:pPr>
        <w:jc w:val="left"/>
      </w:pPr>
      <w:r>
        <w:t>January 24</w:t>
      </w:r>
      <w:r w:rsidRPr="0A014797">
        <w:rPr>
          <w:vertAlign w:val="superscript"/>
        </w:rPr>
        <w:t>th</w:t>
      </w:r>
      <w:r>
        <w:t>, 2025</w:t>
      </w:r>
    </w:p>
    <w:p w:rsidR="00C17749" w:rsidP="00C17749" w:rsidRDefault="00C17749" w14:paraId="7078E878" w14:textId="77777777"/>
    <w:p w:rsidR="00C17749" w:rsidP="00C17749" w:rsidRDefault="00C17749" w14:paraId="697B26CC" w14:textId="213B586A">
      <w:r>
        <w:t>Liane Randolph</w:t>
      </w:r>
    </w:p>
    <w:p w:rsidR="00C17749" w:rsidP="00C17749" w:rsidRDefault="00C17749" w14:paraId="348C4CD5" w14:textId="2248519B">
      <w:r>
        <w:t>Chair</w:t>
      </w:r>
    </w:p>
    <w:p w:rsidR="00C17749" w:rsidP="00C17749" w:rsidRDefault="00C17749" w14:paraId="056C505D" w14:textId="39FC0375">
      <w:r>
        <w:t>California Air Resources Board</w:t>
      </w:r>
    </w:p>
    <w:p w:rsidR="00C17749" w:rsidP="00C17749" w:rsidRDefault="00C17749" w14:paraId="2753B01E" w14:textId="48D0A1A2">
      <w:r>
        <w:t>Submitted Electronically</w:t>
      </w:r>
    </w:p>
    <w:p w:rsidR="00C17749" w:rsidP="00C17749" w:rsidRDefault="00C17749" w14:paraId="50982871" w14:textId="77777777"/>
    <w:p w:rsidR="00C17749" w:rsidP="00C17749" w:rsidRDefault="00C17749" w14:paraId="78546411" w14:textId="4F6C2ECA">
      <w:r>
        <w:tab/>
      </w:r>
      <w:r>
        <w:t>RE:</w:t>
      </w:r>
      <w:r>
        <w:tab/>
      </w:r>
      <w:r>
        <w:t xml:space="preserve"> </w:t>
      </w:r>
      <w:r>
        <w:rPr>
          <w:u w:val="single"/>
        </w:rPr>
        <w:t>Comments on Proposed Changes to the Landfill Methane Regulation</w:t>
      </w:r>
      <w:r>
        <w:t xml:space="preserve"> </w:t>
      </w:r>
    </w:p>
    <w:p w:rsidR="00C17749" w:rsidP="00C17749" w:rsidRDefault="00C17749" w14:paraId="588FEB64" w14:textId="77777777"/>
    <w:p w:rsidR="00C17749" w:rsidP="00C17749" w:rsidRDefault="00C17749" w14:paraId="2446480D" w14:textId="605D38D8">
      <w:r>
        <w:t>Dear Chair Randolph,</w:t>
      </w:r>
    </w:p>
    <w:p w:rsidR="00C17749" w:rsidP="00C17749" w:rsidRDefault="00C17749" w14:paraId="3746E3B4" w14:textId="77777777"/>
    <w:p w:rsidR="00C17749" w:rsidP="00C17749" w:rsidRDefault="00C17749" w14:paraId="359A4715" w14:textId="6246F5B6">
      <w:r>
        <w:t>Thank you for the opportunity to comment on the proposed updates to the Landfill Methane Regulation. I am writing on behalf of Recology, one of the leading recycling, composting</w:t>
      </w:r>
      <w:r w:rsidR="00D1619E">
        <w:t>,</w:t>
      </w:r>
      <w:r>
        <w:t xml:space="preserve"> and waste collection companies in the state.</w:t>
      </w:r>
    </w:p>
    <w:p w:rsidR="00C17749" w:rsidP="00C17749" w:rsidRDefault="00C17749" w14:paraId="7AA5D089" w14:textId="77777777"/>
    <w:p w:rsidR="00C17749" w:rsidP="00C17749" w:rsidRDefault="6E067295" w14:paraId="463E04CA" w14:textId="28A1E97B">
      <w:r w:rsidR="6E067295">
        <w:rPr/>
        <w:t>Recology is an employee-owned company and its California</w:t>
      </w:r>
      <w:r w:rsidR="7C9C89FE">
        <w:rPr/>
        <w:t>-</w:t>
      </w:r>
      <w:r w:rsidR="6E067295">
        <w:rPr/>
        <w:t xml:space="preserve">based subsidiaries that </w:t>
      </w:r>
      <w:r w:rsidR="013F082E">
        <w:rPr/>
        <w:t xml:space="preserve">own and </w:t>
      </w:r>
      <w:r w:rsidR="013F082E">
        <w:rPr/>
        <w:t>operate</w:t>
      </w:r>
      <w:r w:rsidR="013F082E">
        <w:rPr/>
        <w:t xml:space="preserve"> a</w:t>
      </w:r>
      <w:r w:rsidR="0F59C5AC">
        <w:rPr/>
        <w:t>ctive and closed landfills</w:t>
      </w:r>
      <w:r w:rsidR="6E067295">
        <w:rPr/>
        <w:t xml:space="preserve"> will be </w:t>
      </w:r>
      <w:r w:rsidR="6E067295">
        <w:rPr/>
        <w:t>impacted</w:t>
      </w:r>
      <w:r w:rsidR="6E067295">
        <w:rPr/>
        <w:t xml:space="preserve"> by the regulation. </w:t>
      </w:r>
      <w:r w:rsidR="1B3E77E4">
        <w:rPr/>
        <w:t xml:space="preserve">In addition to </w:t>
      </w:r>
      <w:r w:rsidR="4EC8C1A8">
        <w:rPr/>
        <w:t>operating landfills, w</w:t>
      </w:r>
      <w:r w:rsidR="6E067295">
        <w:rPr/>
        <w:t>e provide curbside collection services as the franchised haule</w:t>
      </w:r>
      <w:r w:rsidR="7772D7B4">
        <w:rPr/>
        <w:t>r</w:t>
      </w:r>
      <w:r w:rsidR="6E067295">
        <w:rPr/>
        <w:t xml:space="preserve"> in over 88 communities throughout Northern California, ranging from major cities and suburban communities to remote rural areas, </w:t>
      </w:r>
      <w:r w:rsidR="6E067295">
        <w:rPr/>
        <w:t>and also</w:t>
      </w:r>
      <w:r w:rsidR="6E067295">
        <w:rPr/>
        <w:t xml:space="preserve"> </w:t>
      </w:r>
      <w:r w:rsidR="6E067295">
        <w:rPr/>
        <w:t>operate</w:t>
      </w:r>
      <w:r w:rsidR="6E067295">
        <w:rPr/>
        <w:t xml:space="preserve"> composting and material recovery facilities. We trace our roots back more than 100 years. </w:t>
      </w:r>
    </w:p>
    <w:p w:rsidR="00C17749" w:rsidP="00C17749" w:rsidRDefault="00C17749" w14:paraId="544A9E4F" w14:textId="77777777"/>
    <w:p w:rsidR="00C17749" w:rsidP="00C17749" w:rsidRDefault="6E067295" w14:paraId="4DA8303D" w14:textId="2304D810">
      <w:r w:rsidR="6E067295">
        <w:rPr/>
        <w:t xml:space="preserve">Recology is proud to have been at the forefront of the state’s push towards </w:t>
      </w:r>
      <w:r w:rsidR="6E067295">
        <w:rPr/>
        <w:t>diversion</w:t>
      </w:r>
      <w:r w:rsidR="6E067295">
        <w:rPr/>
        <w:t xml:space="preserve"> of solid waste from </w:t>
      </w:r>
      <w:r w:rsidR="6E067295">
        <w:rPr/>
        <w:t>landfill</w:t>
      </w:r>
      <w:r w:rsidR="6E067295">
        <w:rPr/>
        <w:t xml:space="preserve">. In partnership with the City of San Francisco, we pioneered the first 3-bin system in any major U.S. city, and helped the </w:t>
      </w:r>
      <w:r w:rsidR="6E067295">
        <w:rPr/>
        <w:t>City</w:t>
      </w:r>
      <w:r w:rsidR="6E067295">
        <w:rPr/>
        <w:t xml:space="preserve"> achieve the highest diversion rate of any major U.S. city. We have actively supported the cities and counties we work with in meeting the state’s </w:t>
      </w:r>
      <w:r w:rsidR="283A29A2">
        <w:rPr/>
        <w:t xml:space="preserve">ambitious </w:t>
      </w:r>
      <w:r w:rsidR="6E067295">
        <w:rPr/>
        <w:t xml:space="preserve">recycling </w:t>
      </w:r>
      <w:r w:rsidR="283A29A2">
        <w:rPr/>
        <w:t xml:space="preserve">and </w:t>
      </w:r>
      <w:r w:rsidR="1916ED69">
        <w:rPr/>
        <w:t xml:space="preserve">emissions reduction </w:t>
      </w:r>
      <w:r w:rsidR="6E067295">
        <w:rPr/>
        <w:t xml:space="preserve">mandates, including AB 939, AB 1826, AB 341, and SB 1383. Through our </w:t>
      </w:r>
      <w:r w:rsidR="680F8AD1">
        <w:rPr/>
        <w:t>five</w:t>
      </w:r>
      <w:r w:rsidR="6E067295">
        <w:rPr/>
        <w:t xml:space="preserve"> California compost facilities, we are also one of the state’s largest commercial composters.</w:t>
      </w:r>
    </w:p>
    <w:p w:rsidR="00C17749" w:rsidP="00C17749" w:rsidRDefault="00C17749" w14:paraId="484F7172" w14:textId="77777777"/>
    <w:p w:rsidR="00C17749" w:rsidP="00C17749" w:rsidRDefault="00C17749" w14:paraId="2AC001B9" w14:textId="524A053C">
      <w:r>
        <w:t xml:space="preserve">Consistent with our mission, Recology supports the robust effort California has undertaken to reduce landfill emissions and combat climate change. Updates to this rule will continue to push in that direction and should </w:t>
      </w:r>
      <w:r w:rsidR="02D97E0F">
        <w:t>make</w:t>
      </w:r>
      <w:r>
        <w:t xml:space="preserve"> the program more effective and efficient.</w:t>
      </w:r>
    </w:p>
    <w:p w:rsidR="00C17749" w:rsidP="00C17749" w:rsidRDefault="00C17749" w14:paraId="230EF1D9" w14:textId="77777777"/>
    <w:p w:rsidR="00C17749" w:rsidP="00C17749" w:rsidRDefault="6E067295" w14:paraId="0F60CAEE" w14:textId="6E47B8EA">
      <w:r w:rsidR="6E067295">
        <w:rPr/>
        <w:t xml:space="preserve">With this in mind, we believe the goals of the landfill methane rule are best served through fair, workable regulations that consider the operational intricacies and significant costs faced by entities </w:t>
      </w:r>
      <w:r w:rsidR="6E067295">
        <w:rPr/>
        <w:t>operating</w:t>
      </w:r>
      <w:r w:rsidR="6E067295">
        <w:rPr/>
        <w:t xml:space="preserve"> in this sector.</w:t>
      </w:r>
      <w:r w:rsidR="7F47FF74">
        <w:rPr/>
        <w:t xml:space="preserve"> CARB should view the efforts undertaken by individual landfills in totality and avoid a one-size-fits-all approach for </w:t>
      </w:r>
      <w:r w:rsidR="7F47FF74">
        <w:rPr/>
        <w:t>landfills.</w:t>
      </w:r>
      <w:r w:rsidR="6E067295">
        <w:rPr/>
        <w:t xml:space="preserve"> We offer the following comments in that spirit.</w:t>
      </w:r>
    </w:p>
    <w:p w:rsidR="00C17749" w:rsidP="00C17749" w:rsidRDefault="00C17749" w14:paraId="44ED4677" w14:textId="77777777"/>
    <w:p w:rsidRPr="00C17749" w:rsidR="00C17749" w:rsidP="00C17749" w:rsidRDefault="002219E6" w14:paraId="39EE1587" w14:textId="1C5C1D6C">
      <w:pPr>
        <w:keepNext/>
        <w:spacing w:after="240"/>
        <w:outlineLvl w:val="0"/>
        <w:rPr>
          <w:rFonts w:eastAsia="Times New Roman"/>
          <w:b/>
          <w:bCs/>
          <w:u w:val="single"/>
        </w:rPr>
      </w:pPr>
      <w:r>
        <w:rPr>
          <w:rFonts w:eastAsia="Times New Roman"/>
          <w:b/>
          <w:bCs/>
          <w:u w:val="single"/>
        </w:rPr>
        <w:t>Surface Emission Monitoring</w:t>
      </w:r>
    </w:p>
    <w:p w:rsidRPr="00297901" w:rsidR="00C17749" w:rsidP="002219E6" w:rsidRDefault="206D3D1F" w14:paraId="0795354E" w14:textId="4BA756B3">
      <w:pPr>
        <w:pStyle w:val="ListParagraph"/>
        <w:numPr>
          <w:ilvl w:val="0"/>
          <w:numId w:val="1"/>
        </w:numPr>
        <w:rPr>
          <w:u w:val="single"/>
        </w:rPr>
      </w:pPr>
      <w:r w:rsidRPr="46D21C4E" w:rsidR="206D3D1F">
        <w:rPr>
          <w:rFonts w:eastAsia="Calibri"/>
          <w:b w:val="1"/>
          <w:bCs w:val="1"/>
          <w:i w:val="1"/>
          <w:iCs w:val="1"/>
        </w:rPr>
        <w:t>Proposal: Reduce threshold for surface emissions monitoring from 500ppm to 200ppm</w:t>
      </w:r>
      <w:r w:rsidRPr="46D21C4E" w:rsidR="6E067295">
        <w:rPr>
          <w:rFonts w:eastAsia="Calibri"/>
          <w:b w:val="1"/>
          <w:bCs w:val="1"/>
          <w:i w:val="1"/>
          <w:iCs w:val="1"/>
        </w:rPr>
        <w:t>.</w:t>
      </w:r>
      <w:r w:rsidRPr="46D21C4E" w:rsidR="6E067295">
        <w:rPr>
          <w:rFonts w:eastAsia="Calibri"/>
        </w:rPr>
        <w:t xml:space="preserve"> </w:t>
      </w:r>
      <w:r w:rsidRPr="46D21C4E" w:rsidR="348CC66D">
        <w:rPr>
          <w:rFonts w:eastAsia="Calibri"/>
        </w:rPr>
        <w:t xml:space="preserve">The proposed 200 ppm </w:t>
      </w:r>
      <w:r w:rsidRPr="46D21C4E" w:rsidR="2E95CA0A">
        <w:rPr>
          <w:rFonts w:eastAsia="Calibri"/>
        </w:rPr>
        <w:t>trigger for</w:t>
      </w:r>
      <w:r w:rsidRPr="46D21C4E" w:rsidR="449C570D">
        <w:rPr>
          <w:rFonts w:eastAsia="Calibri"/>
        </w:rPr>
        <w:t xml:space="preserve"> </w:t>
      </w:r>
      <w:r w:rsidRPr="46D21C4E" w:rsidR="49DF400D">
        <w:rPr>
          <w:rFonts w:eastAsia="Calibri"/>
        </w:rPr>
        <w:t>i</w:t>
      </w:r>
      <w:r w:rsidRPr="46D21C4E" w:rsidR="206D3D1F">
        <w:rPr>
          <w:rFonts w:eastAsia="Calibri"/>
        </w:rPr>
        <w:t xml:space="preserve">ncreased </w:t>
      </w:r>
      <w:r w:rsidRPr="46D21C4E" w:rsidR="2C64CCC7">
        <w:rPr>
          <w:rFonts w:eastAsia="Calibri"/>
        </w:rPr>
        <w:t>monitoring</w:t>
      </w:r>
      <w:r w:rsidRPr="46D21C4E" w:rsidR="7B8810CA">
        <w:rPr>
          <w:rFonts w:eastAsia="Calibri"/>
        </w:rPr>
        <w:t xml:space="preserve"> based on</w:t>
      </w:r>
      <w:r w:rsidRPr="46D21C4E" w:rsidR="2C64CCC7">
        <w:rPr>
          <w:rFonts w:eastAsia="Calibri"/>
        </w:rPr>
        <w:t xml:space="preserve"> </w:t>
      </w:r>
      <w:r w:rsidRPr="46D21C4E" w:rsidR="2C64CCC7">
        <w:rPr>
          <w:rFonts w:eastAsia="Calibri"/>
        </w:rPr>
        <w:t xml:space="preserve">instantaneous readings </w:t>
      </w:r>
      <w:r w:rsidRPr="46D21C4E" w:rsidR="6E394B79">
        <w:rPr>
          <w:rFonts w:eastAsia="Calibri"/>
        </w:rPr>
        <w:t>is too low</w:t>
      </w:r>
      <w:r w:rsidRPr="46D21C4E" w:rsidR="2C64CCC7">
        <w:rPr>
          <w:rFonts w:eastAsia="Calibri"/>
        </w:rPr>
        <w:t xml:space="preserve">. Readings can vary depending on a variety of factors and if the source of the increase is known, increased monitoring should not be mandatory. The required monitoring for the low threshold will increase costs of compliance without providing meaningful </w:t>
      </w:r>
      <w:r w:rsidRPr="46D21C4E" w:rsidR="240C6A48">
        <w:rPr>
          <w:rFonts w:eastAsia="Calibri"/>
        </w:rPr>
        <w:t>reduction in emissions from the current standard</w:t>
      </w:r>
      <w:r w:rsidRPr="46D21C4E" w:rsidR="2C64CCC7">
        <w:rPr>
          <w:rFonts w:eastAsia="Calibri"/>
        </w:rPr>
        <w:t>.</w:t>
      </w:r>
      <w:r w:rsidRPr="46D21C4E" w:rsidR="7F47FF74">
        <w:rPr>
          <w:rFonts w:eastAsia="Calibri"/>
        </w:rPr>
        <w:t xml:space="preserve"> Efforts should focus on the entirety of system</w:t>
      </w:r>
      <w:r w:rsidRPr="46D21C4E" w:rsidR="348138BB">
        <w:rPr>
          <w:rFonts w:eastAsia="Calibri"/>
        </w:rPr>
        <w:t>’s</w:t>
      </w:r>
      <w:r w:rsidRPr="46D21C4E" w:rsidR="7F47FF74">
        <w:rPr>
          <w:rFonts w:eastAsia="Calibri"/>
        </w:rPr>
        <w:t xml:space="preserve"> performance and not solely on individual readings.</w:t>
      </w:r>
    </w:p>
    <w:p w:rsidRPr="00542950" w:rsidR="00297901" w:rsidP="002219E6" w:rsidRDefault="2C64CCC7" w14:paraId="0EB6F1E7" w14:textId="45D1672F">
      <w:pPr>
        <w:pStyle w:val="ListParagraph"/>
        <w:numPr>
          <w:ilvl w:val="0"/>
          <w:numId w:val="1"/>
        </w:numPr>
        <w:rPr>
          <w:u w:val="single"/>
        </w:rPr>
      </w:pPr>
      <w:r w:rsidRPr="46D21C4E" w:rsidR="2C64CCC7">
        <w:rPr>
          <w:rFonts w:eastAsia="Calibri"/>
          <w:b w:val="1"/>
          <w:bCs w:val="1"/>
          <w:i w:val="1"/>
          <w:iCs w:val="1"/>
        </w:rPr>
        <w:t>Proposal:</w:t>
      </w:r>
      <w:r w:rsidR="64F4308E">
        <w:rPr/>
        <w:t xml:space="preserve"> </w:t>
      </w:r>
      <w:r w:rsidRPr="46D21C4E" w:rsidR="64F4308E">
        <w:rPr>
          <w:b w:val="1"/>
          <w:bCs w:val="1"/>
          <w:i w:val="1"/>
          <w:iCs w:val="1"/>
        </w:rPr>
        <w:t>Align monitoring after Satellite-Detected Emissions with oil and gas methane rule.</w:t>
      </w:r>
      <w:r w:rsidR="64F4308E">
        <w:rPr/>
        <w:t xml:space="preserve"> </w:t>
      </w:r>
      <w:r w:rsidR="3F3F4447">
        <w:rPr/>
        <w:t xml:space="preserve">The proposal to </w:t>
      </w:r>
      <w:r w:rsidR="3F3F4447">
        <w:rPr/>
        <w:t>reduce</w:t>
      </w:r>
      <w:r w:rsidR="3F3F4447">
        <w:rPr/>
        <w:t xml:space="preserve"> </w:t>
      </w:r>
      <w:r w:rsidR="4D23D443">
        <w:rPr/>
        <w:t xml:space="preserve">from ten to three days </w:t>
      </w:r>
      <w:r w:rsidR="3F3F4447">
        <w:rPr/>
        <w:t>to address emissions</w:t>
      </w:r>
      <w:r w:rsidR="2985834A">
        <w:rPr/>
        <w:t xml:space="preserve"> </w:t>
      </w:r>
      <w:r w:rsidR="3F3F4447">
        <w:rPr/>
        <w:t xml:space="preserve">would not allow sufficient time to take any necessary action. </w:t>
      </w:r>
      <w:r w:rsidR="64F4308E">
        <w:rPr/>
        <w:t xml:space="preserve">Oil and gas facilities differ from landfills in significant ways. Emissions at </w:t>
      </w:r>
      <w:r w:rsidR="1E7E2DB1">
        <w:rPr/>
        <w:t xml:space="preserve">oil and gas </w:t>
      </w:r>
      <w:r w:rsidR="64F4308E">
        <w:rPr/>
        <w:t xml:space="preserve">facilities are often restricted to certain </w:t>
      </w:r>
      <w:r w:rsidR="2A8F4D32">
        <w:rPr/>
        <w:t xml:space="preserve">localized </w:t>
      </w:r>
      <w:r w:rsidR="64F4308E">
        <w:rPr/>
        <w:t xml:space="preserve">operations and point sources. </w:t>
      </w:r>
      <w:r w:rsidR="64F4308E">
        <w:rPr/>
        <w:t xml:space="preserve">Landfills, on the other hand, </w:t>
      </w:r>
      <w:r w:rsidR="37E582CF">
        <w:rPr/>
        <w:t xml:space="preserve">have the </w:t>
      </w:r>
      <w:r w:rsidR="10D1056C">
        <w:rPr/>
        <w:t>potential</w:t>
      </w:r>
      <w:r w:rsidR="005FE3EF">
        <w:rPr/>
        <w:t xml:space="preserve"> to</w:t>
      </w:r>
      <w:r w:rsidR="64F4308E">
        <w:rPr/>
        <w:t xml:space="preserve"> </w:t>
      </w:r>
      <w:r w:rsidR="7E11E1A7">
        <w:rPr/>
        <w:t xml:space="preserve">experience </w:t>
      </w:r>
      <w:r w:rsidR="64F4308E">
        <w:rPr/>
        <w:t>emissions from nearly any spot on the site.</w:t>
      </w:r>
      <w:r w:rsidR="64F4308E">
        <w:rPr/>
        <w:t xml:space="preserve"> </w:t>
      </w:r>
      <w:r w:rsidR="64F4308E">
        <w:rPr/>
        <w:t xml:space="preserve">Furthermore, oil and gas facilities </w:t>
      </w:r>
      <w:r w:rsidR="62C1C855">
        <w:rPr/>
        <w:t xml:space="preserve">generally </w:t>
      </w:r>
      <w:r w:rsidR="64F4308E">
        <w:rPr/>
        <w:t>operate</w:t>
      </w:r>
      <w:r w:rsidR="64F4308E">
        <w:rPr/>
        <w:t xml:space="preserve"> around the clock with </w:t>
      </w:r>
      <w:r w:rsidR="64F4308E">
        <w:rPr/>
        <w:t xml:space="preserve">a large </w:t>
      </w:r>
      <w:r w:rsidR="6677094D">
        <w:rPr/>
        <w:t>number</w:t>
      </w:r>
      <w:r w:rsidR="64F4308E">
        <w:rPr/>
        <w:t xml:space="preserve"> of</w:t>
      </w:r>
      <w:r w:rsidR="64F4308E">
        <w:rPr/>
        <w:t xml:space="preserve"> staff available </w:t>
      </w:r>
      <w:r w:rsidR="66789C34">
        <w:rPr/>
        <w:t xml:space="preserve">to </w:t>
      </w:r>
      <w:r w:rsidR="66789C34">
        <w:rPr/>
        <w:t>identify</w:t>
      </w:r>
      <w:r w:rsidR="66789C34">
        <w:rPr/>
        <w:t xml:space="preserve"> causes and </w:t>
      </w:r>
      <w:r w:rsidR="66789C34">
        <w:rPr/>
        <w:t>take action</w:t>
      </w:r>
      <w:r w:rsidR="64F4308E">
        <w:rPr/>
        <w:t xml:space="preserve">. </w:t>
      </w:r>
      <w:r w:rsidR="3EB4A0E0">
        <w:rPr/>
        <w:t xml:space="preserve">By contrast, </w:t>
      </w:r>
      <w:r w:rsidR="752312BC">
        <w:rPr/>
        <w:t>l</w:t>
      </w:r>
      <w:r w:rsidR="64F4308E">
        <w:rPr/>
        <w:t>andfill operations are not perpetually staffed and</w:t>
      </w:r>
      <w:r w:rsidR="4A98C250">
        <w:rPr/>
        <w:t xml:space="preserve"> have fewer</w:t>
      </w:r>
      <w:r w:rsidR="64F4308E">
        <w:rPr/>
        <w:t xml:space="preserve"> </w:t>
      </w:r>
      <w:r w:rsidR="64F4308E">
        <w:rPr/>
        <w:t>operators on site at any</w:t>
      </w:r>
      <w:r w:rsidR="28357D12">
        <w:rPr/>
        <w:t xml:space="preserve"> given</w:t>
      </w:r>
      <w:r w:rsidR="64F4308E">
        <w:rPr/>
        <w:t xml:space="preserve"> time</w:t>
      </w:r>
      <w:r w:rsidR="64F4308E">
        <w:rPr/>
        <w:t xml:space="preserve">. </w:t>
      </w:r>
      <w:r w:rsidR="64F4308E">
        <w:rPr/>
        <w:t>The regulation should take these factors into account when determining appropriate response times.</w:t>
      </w:r>
    </w:p>
    <w:p w:rsidRPr="00AE1B2B" w:rsidR="00C64C29" w:rsidP="7FABBCA4" w:rsidRDefault="4E1797C7" w14:paraId="130A0391" w14:textId="23BD9FC4">
      <w:pPr>
        <w:pStyle w:val="ListParagraph"/>
        <w:numPr>
          <w:ilvl w:val="0"/>
          <w:numId w:val="1"/>
        </w:numPr>
        <w:rPr/>
      </w:pPr>
      <w:commentRangeStart w:id="47"/>
      <w:commentRangeStart w:id="48"/>
      <w:r w:rsidRPr="46D21C4E" w:rsidR="4E1797C7">
        <w:rPr>
          <w:b w:val="1"/>
          <w:bCs w:val="1"/>
          <w:i w:val="1"/>
          <w:iCs w:val="1"/>
        </w:rPr>
        <w:t xml:space="preserve">Proposal: CARB will </w:t>
      </w:r>
      <w:r w:rsidRPr="46D21C4E" w:rsidR="4E1797C7">
        <w:rPr>
          <w:b w:val="1"/>
          <w:bCs w:val="1"/>
          <w:i w:val="1"/>
          <w:iCs w:val="1"/>
        </w:rPr>
        <w:t>establish</w:t>
      </w:r>
      <w:r w:rsidRPr="46D21C4E" w:rsidR="4E1797C7">
        <w:rPr>
          <w:b w:val="1"/>
          <w:bCs w:val="1"/>
          <w:i w:val="1"/>
          <w:iCs w:val="1"/>
        </w:rPr>
        <w:t xml:space="preserve"> a process for technology providers to apply for alternative surface emissions monitoring screening.</w:t>
      </w:r>
      <w:r w:rsidR="4E1797C7">
        <w:rPr/>
        <w:t xml:space="preserve"> </w:t>
      </w:r>
      <w:commentRangeEnd w:id="47"/>
      <w:r>
        <w:rPr>
          <w:rStyle w:val="CommentReference"/>
        </w:rPr>
        <w:commentReference w:id="47"/>
      </w:r>
      <w:commentRangeEnd w:id="48"/>
      <w:r>
        <w:rPr>
          <w:rStyle w:val="CommentReference"/>
        </w:rPr>
        <w:commentReference w:id="48"/>
      </w:r>
      <w:r w:rsidR="504BC59E">
        <w:rPr/>
        <w:t>Alternative monitoring technologies for land</w:t>
      </w:r>
      <w:r w:rsidR="1ACD1E61">
        <w:rPr/>
        <w:t xml:space="preserve">fills are still being studied and tested to evaluate their effectiveness </w:t>
      </w:r>
      <w:r w:rsidR="451BF7BF">
        <w:rPr/>
        <w:t>and accuracy. CARB should consider partnering with organizations</w:t>
      </w:r>
      <w:r w:rsidR="3D0AF068">
        <w:rPr/>
        <w:t xml:space="preserve"> </w:t>
      </w:r>
      <w:r w:rsidR="55F2DB8E">
        <w:rPr/>
        <w:t>that are currently conducting studies, such</w:t>
      </w:r>
      <w:r w:rsidR="5C36D8CA">
        <w:rPr/>
        <w:t xml:space="preserve"> as</w:t>
      </w:r>
      <w:r w:rsidR="55F2DB8E">
        <w:rPr/>
        <w:t xml:space="preserve"> </w:t>
      </w:r>
      <w:r w:rsidR="4E1797C7">
        <w:rPr/>
        <w:t xml:space="preserve">the Environmental Research and Education Foundation </w:t>
      </w:r>
      <w:r w:rsidR="65107549">
        <w:rPr/>
        <w:t xml:space="preserve">(EREF), to </w:t>
      </w:r>
      <w:r w:rsidR="33FAFED8">
        <w:rPr/>
        <w:t>inform their process</w:t>
      </w:r>
      <w:r w:rsidR="13725F35">
        <w:rPr/>
        <w:t xml:space="preserve"> and support realistic timelines for compliance</w:t>
      </w:r>
      <w:r w:rsidR="33FAFED8">
        <w:rPr/>
        <w:t xml:space="preserve">. </w:t>
      </w:r>
      <w:r w:rsidR="005D4F98">
        <w:rPr/>
        <w:t xml:space="preserve">Recent and ongoing studies have highlighted the </w:t>
      </w:r>
      <w:r w:rsidR="6CFB0347">
        <w:rPr/>
        <w:t xml:space="preserve">current </w:t>
      </w:r>
      <w:r w:rsidR="005D4F98">
        <w:rPr/>
        <w:t xml:space="preserve">challenges of using alternative monitoring technologies </w:t>
      </w:r>
      <w:r w:rsidR="03E28F54">
        <w:rPr/>
        <w:t xml:space="preserve">at </w:t>
      </w:r>
      <w:bookmarkStart w:name="_Int_EnBe5R2u" w:id="552136797"/>
      <w:r w:rsidR="03E28F54">
        <w:rPr/>
        <w:t>landfills</w:t>
      </w:r>
      <w:r w:rsidR="5C1A7117">
        <w:rPr/>
        <w:t>.</w:t>
      </w:r>
      <w:bookmarkEnd w:id="552136797"/>
      <w:r w:rsidR="03E28F54">
        <w:rPr/>
        <w:t xml:space="preserve"> </w:t>
      </w:r>
      <w:r w:rsidR="213B2729">
        <w:rPr/>
        <w:t>A</w:t>
      </w:r>
      <w:r w:rsidR="03E28F54">
        <w:rPr/>
        <w:t xml:space="preserve">s the technology improves in accuracy it will be important for CARB </w:t>
      </w:r>
      <w:r w:rsidR="38AE5CB8">
        <w:rPr/>
        <w:t>to have a robust evaluation process in place</w:t>
      </w:r>
      <w:r w:rsidR="0B48060E">
        <w:rPr/>
        <w:t xml:space="preserve"> that allows for input from landfill operators</w:t>
      </w:r>
      <w:r w:rsidR="38AE5CB8">
        <w:rPr/>
        <w:t xml:space="preserve">. </w:t>
      </w:r>
    </w:p>
    <w:p w:rsidR="00C17749" w:rsidP="00C17749" w:rsidRDefault="394034F3" w14:paraId="0F55CFAD" w14:textId="4AED111E">
      <w:pPr>
        <w:pStyle w:val="ListParagraph"/>
        <w:numPr>
          <w:ilvl w:val="0"/>
          <w:numId w:val="1"/>
        </w:numPr>
        <w:rPr/>
      </w:pPr>
      <w:r w:rsidRPr="46D21C4E" w:rsidR="394034F3">
        <w:rPr>
          <w:b w:val="1"/>
          <w:bCs w:val="1"/>
          <w:i w:val="1"/>
          <w:iCs w:val="1"/>
        </w:rPr>
        <w:t>Proposal:</w:t>
      </w:r>
      <w:r w:rsidR="394034F3">
        <w:rPr/>
        <w:t xml:space="preserve"> </w:t>
      </w:r>
      <w:r w:rsidRPr="46D21C4E" w:rsidR="394034F3">
        <w:rPr>
          <w:b w:val="1"/>
          <w:bCs w:val="1"/>
          <w:i w:val="1"/>
          <w:iCs w:val="1"/>
        </w:rPr>
        <w:t xml:space="preserve">Remove exclusions for areas that are difficult to </w:t>
      </w:r>
      <w:r w:rsidRPr="46D21C4E" w:rsidR="394034F3">
        <w:rPr>
          <w:b w:val="1"/>
          <w:bCs w:val="1"/>
          <w:i w:val="1"/>
          <w:iCs w:val="1"/>
        </w:rPr>
        <w:t>monitor</w:t>
      </w:r>
      <w:r w:rsidRPr="46D21C4E" w:rsidR="394034F3">
        <w:rPr>
          <w:b w:val="1"/>
          <w:bCs w:val="1"/>
          <w:i w:val="1"/>
          <w:iCs w:val="1"/>
        </w:rPr>
        <w:t xml:space="preserve"> due to worker safety.</w:t>
      </w:r>
      <w:r w:rsidRPr="46D21C4E" w:rsidR="394034F3">
        <w:rPr>
          <w:b w:val="1"/>
          <w:bCs w:val="1"/>
        </w:rPr>
        <w:t xml:space="preserve"> </w:t>
      </w:r>
      <w:r w:rsidR="3DE7B3D9">
        <w:rPr/>
        <w:t xml:space="preserve">CARB should </w:t>
      </w:r>
      <w:r w:rsidR="3DE7B3D9">
        <w:rPr/>
        <w:t>maintain</w:t>
      </w:r>
      <w:r w:rsidR="3DE7B3D9">
        <w:rPr/>
        <w:t xml:space="preserve"> the current exclusions for the working face and construction areas as </w:t>
      </w:r>
      <w:r w:rsidR="1818CD1C">
        <w:rPr/>
        <w:t xml:space="preserve">they </w:t>
      </w:r>
      <w:r w:rsidR="1818CD1C">
        <w:rPr/>
        <w:t>remain</w:t>
      </w:r>
      <w:r w:rsidR="1818CD1C">
        <w:rPr/>
        <w:t xml:space="preserve"> too hazardous to require walking monitoring by individuals</w:t>
      </w:r>
      <w:r w:rsidR="3DE7B3D9">
        <w:rPr/>
        <w:t xml:space="preserve">. </w:t>
      </w:r>
      <w:commentRangeStart w:id="55"/>
      <w:commentRangeStart w:id="56"/>
      <w:commentRangeStart w:id="57"/>
      <w:r w:rsidR="3A6DBC95">
        <w:rPr/>
        <w:t xml:space="preserve">While alternative monitoring technologies </w:t>
      </w:r>
      <w:r w:rsidR="018482FE">
        <w:rPr/>
        <w:t>may be used in place of SEM</w:t>
      </w:r>
      <w:r w:rsidR="43714DF6">
        <w:rPr/>
        <w:t xml:space="preserve"> under the proposal</w:t>
      </w:r>
      <w:commentRangeEnd w:id="55"/>
      <w:r>
        <w:rPr>
          <w:rStyle w:val="CommentReference"/>
        </w:rPr>
        <w:commentReference w:id="55"/>
      </w:r>
      <w:commentRangeEnd w:id="56"/>
      <w:r>
        <w:rPr>
          <w:rStyle w:val="CommentReference"/>
        </w:rPr>
        <w:commentReference w:id="56"/>
      </w:r>
      <w:commentRangeEnd w:id="57"/>
      <w:r>
        <w:rPr>
          <w:rStyle w:val="CommentReference"/>
        </w:rPr>
        <w:commentReference w:id="57"/>
      </w:r>
      <w:r w:rsidR="1818CD1C">
        <w:rPr/>
        <w:t>,</w:t>
      </w:r>
      <w:r w:rsidR="05A4B9DF">
        <w:rPr/>
        <w:t xml:space="preserve"> </w:t>
      </w:r>
      <w:r w:rsidR="5F34F3F6">
        <w:rPr/>
        <w:t>these will be more costly for landfill operators</w:t>
      </w:r>
      <w:r w:rsidR="3F77534B">
        <w:rPr/>
        <w:t xml:space="preserve">. Further, alternative monitoring technologies have not yet </w:t>
      </w:r>
      <w:r w:rsidR="1708919C">
        <w:rPr/>
        <w:t>proven</w:t>
      </w:r>
      <w:r w:rsidR="1708919C">
        <w:rPr/>
        <w:t xml:space="preserve"> to </w:t>
      </w:r>
      <w:r w:rsidR="1708919C">
        <w:rPr/>
        <w:t>reliably and accurately measure continuous emissions</w:t>
      </w:r>
      <w:r w:rsidR="1708919C">
        <w:rPr/>
        <w:t xml:space="preserve">. </w:t>
      </w:r>
      <w:r w:rsidR="0D5A536F">
        <w:rPr/>
        <w:t xml:space="preserve">While alternative monitoring technologies </w:t>
      </w:r>
      <w:r w:rsidR="1FEE6119">
        <w:rPr/>
        <w:t>can be effective in</w:t>
      </w:r>
      <w:r w:rsidR="46C46632">
        <w:rPr/>
        <w:t xml:space="preserve"> detect</w:t>
      </w:r>
      <w:r w:rsidR="1FEE6119">
        <w:rPr/>
        <w:t>ing</w:t>
      </w:r>
      <w:r w:rsidR="46C46632">
        <w:rPr/>
        <w:t xml:space="preserve"> leaks</w:t>
      </w:r>
      <w:r w:rsidR="4F90C5BD">
        <w:rPr/>
        <w:t xml:space="preserve">, </w:t>
      </w:r>
      <w:r w:rsidR="1D8169EE">
        <w:rPr/>
        <w:t>the proposed application of these technologies may result in inaccurate reporting of emissions</w:t>
      </w:r>
      <w:r w:rsidR="7A017FCC">
        <w:rPr/>
        <w:t>.</w:t>
      </w:r>
      <w:r w:rsidR="1818CD1C">
        <w:rPr/>
        <w:t xml:space="preserve"> Size and area of the working face rely on a variety of factors</w:t>
      </w:r>
      <w:r w:rsidR="508DFE75">
        <w:rPr/>
        <w:t>,</w:t>
      </w:r>
      <w:r w:rsidR="1818CD1C">
        <w:rPr/>
        <w:t xml:space="preserve"> such as topography and material intake</w:t>
      </w:r>
      <w:r w:rsidR="1BDDD589">
        <w:rPr/>
        <w:t>,</w:t>
      </w:r>
      <w:r w:rsidR="1818CD1C">
        <w:rPr/>
        <w:t xml:space="preserve"> and </w:t>
      </w:r>
      <w:r w:rsidR="3CAF404B">
        <w:rPr/>
        <w:t xml:space="preserve">compliance is </w:t>
      </w:r>
      <w:r w:rsidR="24111CED">
        <w:rPr/>
        <w:t xml:space="preserve">best addressed by </w:t>
      </w:r>
      <w:r w:rsidR="1818CD1C">
        <w:rPr/>
        <w:t>operational best practices. CARB should not limit the size and scope of these</w:t>
      </w:r>
      <w:r w:rsidR="00B9A30F">
        <w:rPr/>
        <w:t xml:space="preserve"> operational</w:t>
      </w:r>
      <w:r w:rsidR="1818CD1C">
        <w:rPr/>
        <w:t xml:space="preserve"> </w:t>
      </w:r>
      <w:commentRangeStart w:id="68"/>
      <w:commentRangeStart w:id="69"/>
      <w:r w:rsidR="1818CD1C">
        <w:rPr/>
        <w:t>aspects</w:t>
      </w:r>
      <w:commentRangeEnd w:id="68"/>
      <w:r>
        <w:rPr>
          <w:rStyle w:val="CommentReference"/>
        </w:rPr>
        <w:commentReference w:id="68"/>
      </w:r>
      <w:commentRangeEnd w:id="69"/>
      <w:r>
        <w:rPr>
          <w:rStyle w:val="CommentReference"/>
        </w:rPr>
        <w:commentReference w:id="69"/>
      </w:r>
      <w:r w:rsidR="1818CD1C">
        <w:rPr/>
        <w:t xml:space="preserve"> without considering </w:t>
      </w:r>
      <w:r w:rsidR="1818CD1C">
        <w:rPr/>
        <w:t>additional</w:t>
      </w:r>
      <w:r w:rsidR="1818CD1C">
        <w:rPr/>
        <w:t xml:space="preserve"> relevant factors.</w:t>
      </w:r>
    </w:p>
    <w:p w:rsidR="0049281E" w:rsidP="1BF075C2" w:rsidRDefault="1455EDF0" w14:paraId="15E7FAEB" w14:textId="6E0D3305">
      <w:pPr>
        <w:pStyle w:val="ListParagraph"/>
        <w:numPr>
          <w:ilvl w:val="0"/>
          <w:numId w:val="1"/>
        </w:numPr>
        <w:rPr/>
      </w:pPr>
      <w:commentRangeStart w:id="70"/>
      <w:r w:rsidRPr="46D21C4E" w:rsidR="1455EDF0">
        <w:rPr>
          <w:b w:val="1"/>
          <w:bCs w:val="1"/>
          <w:i w:val="1"/>
          <w:iCs w:val="1"/>
        </w:rPr>
        <w:t>Proposal: New or replacement well installation must be completed within 120 days of first exceedance</w:t>
      </w:r>
      <w:commentRangeEnd w:id="70"/>
      <w:r>
        <w:rPr>
          <w:rStyle w:val="CommentReference"/>
        </w:rPr>
        <w:commentReference w:id="70"/>
      </w:r>
      <w:r w:rsidRPr="46D21C4E" w:rsidR="1455EDF0">
        <w:rPr>
          <w:b w:val="1"/>
          <w:bCs w:val="1"/>
          <w:i w:val="1"/>
          <w:iCs w:val="1"/>
        </w:rPr>
        <w:t xml:space="preserve">: </w:t>
      </w:r>
      <w:r w:rsidR="362361D4">
        <w:rPr/>
        <w:t>This proposal appears to rest on an assumption that all e</w:t>
      </w:r>
      <w:r w:rsidR="2D3142E9">
        <w:rPr/>
        <w:t>xceedances</w:t>
      </w:r>
      <w:r w:rsidR="66B6C809">
        <w:rPr/>
        <w:t xml:space="preserve"> </w:t>
      </w:r>
      <w:r w:rsidR="66B6C809">
        <w:rPr/>
        <w:t>warrant</w:t>
      </w:r>
      <w:r w:rsidR="66B6C809">
        <w:rPr/>
        <w:t xml:space="preserve"> replacement of the well</w:t>
      </w:r>
      <w:r w:rsidR="66B6C809">
        <w:rPr/>
        <w:t xml:space="preserve"> registering an exceedance</w:t>
      </w:r>
      <w:r w:rsidR="66B6C809">
        <w:rPr/>
        <w:t>.</w:t>
      </w:r>
      <w:r w:rsidR="2D3142E9">
        <w:rPr/>
        <w:t xml:space="preserve"> </w:t>
      </w:r>
      <w:r w:rsidR="656CF15F">
        <w:rPr/>
        <w:t xml:space="preserve">Exceedances </w:t>
      </w:r>
      <w:r w:rsidR="2D3142E9">
        <w:rPr/>
        <w:t xml:space="preserve">may </w:t>
      </w:r>
      <w:r w:rsidR="4CB51806">
        <w:rPr/>
        <w:t>occur</w:t>
      </w:r>
      <w:r w:rsidR="2D3142E9">
        <w:rPr/>
        <w:t xml:space="preserve"> due to a variety of factors</w:t>
      </w:r>
      <w:r w:rsidR="16D184E7">
        <w:rPr/>
        <w:t>,</w:t>
      </w:r>
      <w:r w:rsidR="2D3142E9">
        <w:rPr/>
        <w:t xml:space="preserve"> which should be considered</w:t>
      </w:r>
      <w:r w:rsidR="16D184E7">
        <w:rPr/>
        <w:t xml:space="preserve"> when </w:t>
      </w:r>
      <w:r w:rsidR="16D184E7">
        <w:rPr/>
        <w:t>determining</w:t>
      </w:r>
      <w:r w:rsidR="16D184E7">
        <w:rPr/>
        <w:t xml:space="preserve"> the cause of </w:t>
      </w:r>
      <w:r w:rsidR="356F4AC1">
        <w:rPr/>
        <w:t xml:space="preserve">and how to remedy </w:t>
      </w:r>
      <w:r w:rsidR="366E5ED3">
        <w:rPr/>
        <w:t>an</w:t>
      </w:r>
      <w:r w:rsidR="356F4AC1">
        <w:rPr/>
        <w:t xml:space="preserve"> exceedance</w:t>
      </w:r>
      <w:r w:rsidR="16D184E7">
        <w:rPr/>
        <w:t xml:space="preserve">. </w:t>
      </w:r>
      <w:r w:rsidR="7D2B2E25">
        <w:rPr/>
        <w:t xml:space="preserve">The rule should </w:t>
      </w:r>
      <w:r w:rsidR="7D2B2E25">
        <w:rPr/>
        <w:t>maintain</w:t>
      </w:r>
      <w:r w:rsidR="7D2B2E25">
        <w:rPr/>
        <w:t xml:space="preserve"> an operator’s ability to investigate and correct exceedances through </w:t>
      </w:r>
      <w:r w:rsidR="5B3DA6B1">
        <w:rPr/>
        <w:t xml:space="preserve">operational means such as adjustment </w:t>
      </w:r>
      <w:r w:rsidR="0F16D1F5">
        <w:rPr/>
        <w:t xml:space="preserve">or repair </w:t>
      </w:r>
      <w:r w:rsidR="5B3DA6B1">
        <w:rPr/>
        <w:t>of the existing collection system</w:t>
      </w:r>
      <w:r w:rsidR="77AB75B9">
        <w:rPr/>
        <w:t>, enhanced waste cover placement, or other operational adjustments</w:t>
      </w:r>
      <w:r w:rsidR="5828F0E1">
        <w:rPr/>
        <w:t>.</w:t>
      </w:r>
      <w:r w:rsidR="4EC85D9F">
        <w:rPr/>
        <w:t xml:space="preserve"> </w:t>
      </w:r>
      <w:commentRangeStart w:id="81"/>
      <w:commentRangeStart w:id="82"/>
      <w:r w:rsidR="2037E167">
        <w:rPr/>
        <w:t xml:space="preserve">If </w:t>
      </w:r>
      <w:r w:rsidR="599C2BB0">
        <w:rPr/>
        <w:t>a new well is determined to be needed</w:t>
      </w:r>
      <w:r w:rsidR="1061B3DB">
        <w:rPr/>
        <w:t>, i</w:t>
      </w:r>
      <w:r w:rsidR="1455EDF0">
        <w:rPr/>
        <w:t>n some cases</w:t>
      </w:r>
      <w:r w:rsidR="71BCA2E1">
        <w:rPr/>
        <w:t>,</w:t>
      </w:r>
      <w:r w:rsidR="1455EDF0">
        <w:rPr/>
        <w:t xml:space="preserve"> </w:t>
      </w:r>
      <w:r w:rsidR="55792A5C">
        <w:rPr/>
        <w:t xml:space="preserve">replacement within </w:t>
      </w:r>
      <w:r w:rsidR="1455EDF0">
        <w:rPr/>
        <w:t>120 days</w:t>
      </w:r>
      <w:r w:rsidR="1455EDF0">
        <w:rPr/>
        <w:t xml:space="preserve"> may </w:t>
      </w:r>
      <w:r w:rsidR="55792A5C">
        <w:rPr/>
        <w:t xml:space="preserve">not </w:t>
      </w:r>
      <w:r w:rsidR="1455EDF0">
        <w:rPr/>
        <w:t>be achievable</w:t>
      </w:r>
      <w:commentRangeEnd w:id="81"/>
      <w:r>
        <w:rPr>
          <w:rStyle w:val="CommentReference"/>
        </w:rPr>
        <w:commentReference w:id="81"/>
      </w:r>
      <w:commentRangeEnd w:id="82"/>
      <w:r>
        <w:rPr>
          <w:rStyle w:val="CommentReference"/>
        </w:rPr>
        <w:commentReference w:id="82"/>
      </w:r>
      <w:r w:rsidR="1455EDF0">
        <w:rPr/>
        <w:t xml:space="preserve">. In areas with seasonal wet weather, it may be impossible to access the location with the proper equipment and replace the well safely within the proposed timeline. </w:t>
      </w:r>
      <w:r w:rsidR="50D462FA">
        <w:rPr/>
        <w:t xml:space="preserve">Additionally, availability of </w:t>
      </w:r>
      <w:r w:rsidR="23A78D3F">
        <w:rPr/>
        <w:t xml:space="preserve">contractors and </w:t>
      </w:r>
      <w:r w:rsidR="50D462FA">
        <w:rPr/>
        <w:t>drill rigs used for work on landfills can be limited at times.</w:t>
      </w:r>
    </w:p>
    <w:p w:rsidR="00B42587" w:rsidP="00C17749" w:rsidRDefault="380CA47E" w14:paraId="7D60BBBC" w14:textId="370AA07F">
      <w:pPr>
        <w:pStyle w:val="ListParagraph"/>
        <w:numPr>
          <w:ilvl w:val="0"/>
          <w:numId w:val="1"/>
        </w:numPr>
        <w:rPr/>
      </w:pPr>
      <w:r w:rsidRPr="46D21C4E" w:rsidR="380CA47E">
        <w:rPr>
          <w:b w:val="1"/>
          <w:bCs w:val="1"/>
          <w:i w:val="1"/>
          <w:iCs w:val="1"/>
        </w:rPr>
        <w:t>Proposal:</w:t>
      </w:r>
      <w:r w:rsidR="380CA47E">
        <w:rPr/>
        <w:t xml:space="preserve"> </w:t>
      </w:r>
      <w:r w:rsidRPr="46D21C4E" w:rsidR="380CA47E">
        <w:rPr>
          <w:b w:val="1"/>
          <w:bCs w:val="1"/>
          <w:i w:val="1"/>
          <w:iCs w:val="1"/>
        </w:rPr>
        <w:t>Perform surface emission monitoring in all areas of landfills on a quarterly basis:</w:t>
      </w:r>
      <w:r w:rsidRPr="46D21C4E" w:rsidR="09CCE6F2">
        <w:rPr>
          <w:b w:val="1"/>
          <w:bCs w:val="1"/>
          <w:i w:val="1"/>
          <w:iCs w:val="1"/>
        </w:rPr>
        <w:t xml:space="preserve"> </w:t>
      </w:r>
      <w:r w:rsidR="09CCE6F2">
        <w:rPr/>
        <w:t>For facilities meeting current surface</w:t>
      </w:r>
      <w:r w:rsidR="2EAAC788">
        <w:rPr/>
        <w:t xml:space="preserve"> emissions requirements, moving to quarterly monitoring would </w:t>
      </w:r>
      <w:r w:rsidR="2EAAC788">
        <w:rPr/>
        <w:t>greatly increase</w:t>
      </w:r>
      <w:r w:rsidR="2EAAC788">
        <w:rPr/>
        <w:t xml:space="preserve"> </w:t>
      </w:r>
      <w:r w:rsidR="0088D6CF">
        <w:rPr/>
        <w:t>the</w:t>
      </w:r>
      <w:r w:rsidR="2EAAC788">
        <w:rPr/>
        <w:t xml:space="preserve"> cost of monitoring but would be unlikely to result in significant emissions reductions</w:t>
      </w:r>
      <w:r w:rsidR="6EA55198">
        <w:rPr/>
        <w:t xml:space="preserve"> or </w:t>
      </w:r>
      <w:r w:rsidR="6EA55198">
        <w:rPr/>
        <w:t>additional</w:t>
      </w:r>
      <w:r w:rsidR="6EA55198">
        <w:rPr/>
        <w:t xml:space="preserve"> meaningful data</w:t>
      </w:r>
      <w:r w:rsidR="6EA55198">
        <w:rPr/>
        <w:t xml:space="preserve"> </w:t>
      </w:r>
      <w:r w:rsidR="1C7D210B">
        <w:rPr/>
        <w:t xml:space="preserve">justifying the </w:t>
      </w:r>
      <w:r w:rsidR="1C7D210B">
        <w:rPr/>
        <w:t>additional</w:t>
      </w:r>
      <w:r w:rsidR="1C7D210B">
        <w:rPr/>
        <w:t xml:space="preserve"> burdens</w:t>
      </w:r>
      <w:r w:rsidR="2EAAC788">
        <w:rPr/>
        <w:t xml:space="preserve">. Shifting the quarter during which monitoring is conducted would help address seasonal variability while </w:t>
      </w:r>
      <w:r w:rsidR="2EAAC788">
        <w:rPr/>
        <w:t>retaining</w:t>
      </w:r>
      <w:r w:rsidR="2EAAC788">
        <w:rPr/>
        <w:t xml:space="preserve"> a balance of the labor and cost of conducting emissions monitoring at the full site.</w:t>
      </w:r>
    </w:p>
    <w:p w:rsidR="00771C6D" w:rsidP="00C17749" w:rsidRDefault="0848B764" w14:paraId="0F6EA8F4" w14:textId="353246A3">
      <w:pPr>
        <w:pStyle w:val="ListParagraph"/>
        <w:numPr>
          <w:ilvl w:val="0"/>
          <w:numId w:val="1"/>
        </w:numPr>
      </w:pPr>
      <w:r w:rsidRPr="7FABBCA4">
        <w:rPr>
          <w:b/>
          <w:bCs/>
          <w:i/>
          <w:iCs/>
        </w:rPr>
        <w:t>Proposal: Align wellhead monitoring with U.S. EPA emission guidelines:</w:t>
      </w:r>
      <w:r w:rsidRPr="7FABBCA4">
        <w:rPr>
          <w:b/>
          <w:bCs/>
        </w:rPr>
        <w:t xml:space="preserve"> </w:t>
      </w:r>
      <w:r>
        <w:t>Federal and state wellhead monitoring requirements overlap in numerous ways. Aligning these requirements would significantly reduce additional work needed to</w:t>
      </w:r>
      <w:r w:rsidR="5EBE1D1E">
        <w:t xml:space="preserve"> ensure compliance with all regulations.</w:t>
      </w:r>
    </w:p>
    <w:p w:rsidR="00771C6D" w:rsidP="7FABBCA4" w:rsidRDefault="65591B9C" w14:paraId="4BF4E5C6" w14:textId="0D5982E2">
      <w:pPr>
        <w:pStyle w:val="ListParagraph"/>
        <w:numPr>
          <w:ilvl w:val="0"/>
          <w:numId w:val="1"/>
        </w:numPr>
        <w:rPr/>
      </w:pPr>
      <w:r w:rsidRPr="46D21C4E" w:rsidR="65591B9C">
        <w:rPr>
          <w:b w:val="1"/>
          <w:bCs w:val="1"/>
          <w:i w:val="1"/>
          <w:iCs w:val="1"/>
        </w:rPr>
        <w:t xml:space="preserve">Proposal: Various requirements to reduce downtime of the gas collection system: </w:t>
      </w:r>
      <w:r w:rsidR="4FD0BF06">
        <w:rPr/>
        <w:t xml:space="preserve">While </w:t>
      </w:r>
      <w:r w:rsidR="5F076A0D">
        <w:rPr/>
        <w:t xml:space="preserve">landfill operators should make </w:t>
      </w:r>
      <w:r w:rsidR="5F076A0D">
        <w:rPr/>
        <w:t>best</w:t>
      </w:r>
      <w:r w:rsidR="5F076A0D">
        <w:rPr/>
        <w:t xml:space="preserve"> efforts to minimize downtime of the gas collection system</w:t>
      </w:r>
      <w:r w:rsidR="4FD0BF06">
        <w:rPr/>
        <w:t xml:space="preserve">, there are situations where downtime cannot be </w:t>
      </w:r>
      <w:r w:rsidR="43164838">
        <w:rPr/>
        <w:t>avoided</w:t>
      </w:r>
      <w:r w:rsidR="4FD0BF06">
        <w:rPr/>
        <w:t xml:space="preserve">. Rather than setting strict limits on total downtime or units deactivated, a notification requirement would allow CARB to evaluate and respond to extended downtime when necessary. </w:t>
      </w:r>
      <w:r w:rsidR="7CBB66DB">
        <w:rPr/>
        <w:t>Each landfill is unique and a one</w:t>
      </w:r>
      <w:r w:rsidR="3A04E802">
        <w:rPr/>
        <w:t>-</w:t>
      </w:r>
      <w:r w:rsidR="7CBB66DB">
        <w:rPr/>
        <w:t>size</w:t>
      </w:r>
      <w:r w:rsidR="5E05C6D6">
        <w:rPr/>
        <w:t>-</w:t>
      </w:r>
      <w:r w:rsidR="7CBB66DB">
        <w:rPr/>
        <w:t>fits</w:t>
      </w:r>
      <w:r w:rsidR="65BAE97F">
        <w:rPr/>
        <w:t>-</w:t>
      </w:r>
      <w:r w:rsidR="7CBB66DB">
        <w:rPr/>
        <w:t xml:space="preserve">all approach that dictates </w:t>
      </w:r>
      <w:r w:rsidR="23E72D85">
        <w:rPr/>
        <w:t xml:space="preserve">when wells can be disconnected from or reconnected to the system is likely to </w:t>
      </w:r>
      <w:r w:rsidR="3D624F76">
        <w:rPr/>
        <w:t xml:space="preserve">result in unintended consequences. For example, </w:t>
      </w:r>
      <w:r w:rsidR="31325A43">
        <w:rPr/>
        <w:t>r</w:t>
      </w:r>
      <w:r w:rsidR="4FD0BF06">
        <w:rPr/>
        <w:t>equiring daily reconnect</w:t>
      </w:r>
      <w:r w:rsidR="6EB201CC">
        <w:rPr/>
        <w:t>ion of wells near the active fill area</w:t>
      </w:r>
      <w:r w:rsidR="4FD0BF06">
        <w:rPr/>
        <w:t xml:space="preserve"> may also lead to overpulling</w:t>
      </w:r>
      <w:r w:rsidR="4FD0BF06">
        <w:rPr/>
        <w:t xml:space="preserve">, which can cause </w:t>
      </w:r>
      <w:r w:rsidR="41F238F0">
        <w:rPr/>
        <w:t xml:space="preserve">undesirable effects including </w:t>
      </w:r>
      <w:commentRangeStart w:id="94"/>
      <w:r w:rsidR="51E67476">
        <w:rPr/>
        <w:t>subsurface oxidation</w:t>
      </w:r>
      <w:commentRangeEnd w:id="94"/>
      <w:r>
        <w:rPr>
          <w:rStyle w:val="CommentReference"/>
        </w:rPr>
        <w:commentReference w:id="94"/>
      </w:r>
      <w:r w:rsidR="4FD0BF06">
        <w:rPr/>
        <w:t xml:space="preserve">. </w:t>
      </w:r>
      <w:r w:rsidR="02336FCE">
        <w:rPr/>
        <w:t xml:space="preserve"> The new rule should </w:t>
      </w:r>
      <w:r w:rsidR="02336FCE">
        <w:rPr/>
        <w:t>maintain</w:t>
      </w:r>
      <w:r w:rsidR="02336FCE">
        <w:rPr/>
        <w:t xml:space="preserve"> the operators</w:t>
      </w:r>
      <w:r w:rsidR="12E60E9C">
        <w:rPr/>
        <w:t>’</w:t>
      </w:r>
      <w:r w:rsidR="02336FCE">
        <w:rPr/>
        <w:t xml:space="preserve"> ability to </w:t>
      </w:r>
      <w:r w:rsidR="49B45958">
        <w:rPr/>
        <w:t>operate</w:t>
      </w:r>
      <w:r w:rsidR="49B45958">
        <w:rPr/>
        <w:t xml:space="preserve"> their landfill gas system</w:t>
      </w:r>
      <w:r w:rsidR="5F2492AE">
        <w:rPr/>
        <w:t>s</w:t>
      </w:r>
      <w:r w:rsidR="49B45958">
        <w:rPr/>
        <w:t xml:space="preserve"> based on site and system conditions.</w:t>
      </w:r>
    </w:p>
    <w:p w:rsidR="003205A9" w:rsidP="00C17749" w:rsidRDefault="009F4960" w14:paraId="1DB96A7D" w14:textId="5DE11CB1">
      <w:pPr>
        <w:pStyle w:val="ListParagraph"/>
        <w:numPr>
          <w:ilvl w:val="0"/>
          <w:numId w:val="1"/>
        </w:numPr>
      </w:pPr>
      <w:r>
        <w:rPr>
          <w:b/>
          <w:bCs/>
          <w:i/>
          <w:iCs/>
        </w:rPr>
        <w:t>Proposal:</w:t>
      </w:r>
      <w:r>
        <w:t xml:space="preserve"> </w:t>
      </w:r>
      <w:r>
        <w:rPr>
          <w:b/>
          <w:bCs/>
          <w:i/>
          <w:iCs/>
        </w:rPr>
        <w:t xml:space="preserve">Standardized requirements for well decommissioning and semi-continuous operation: </w:t>
      </w:r>
      <w:r>
        <w:t>In many cases, operators may seek to take additional measures due to declining gas generation. In other situations, changes to operations and procedures may require additional permitting from local air districts. These often include stricter standards for monitoring and releases despite the lower level of gas generation. Sites should be evaluated individually to determine whether and when changes to processes are necessary.</w:t>
      </w:r>
    </w:p>
    <w:p w:rsidR="00DE4984" w:rsidP="7FABBCA4" w:rsidRDefault="00DE4984" w14:paraId="7A5A7B46" w14:textId="172E60A9">
      <w:pPr>
        <w:numPr>
          <w:ilvl w:val="0"/>
          <w:numId w:val="1"/>
        </w:numPr>
      </w:pPr>
      <w:r w:rsidRPr="7FABBCA4">
        <w:rPr>
          <w:b/>
          <w:bCs/>
          <w:i/>
          <w:iCs/>
        </w:rPr>
        <w:t>Proposal:</w:t>
      </w:r>
      <w:r>
        <w:t xml:space="preserve"> </w:t>
      </w:r>
      <w:r w:rsidRPr="7FABBCA4">
        <w:rPr>
          <w:b/>
          <w:bCs/>
          <w:i/>
          <w:iCs/>
        </w:rPr>
        <w:t>Require standardized digital reporting:</w:t>
      </w:r>
      <w:r>
        <w:t xml:space="preserve"> Both CARB and system operators would benefit from standardized digital reporting procedures.</w:t>
      </w:r>
    </w:p>
    <w:p w:rsidR="00C17749" w:rsidP="00C17749" w:rsidRDefault="00C17749" w14:paraId="2F3A3943" w14:textId="77777777">
      <w:pPr>
        <w:pStyle w:val="ListParagraph"/>
        <w:ind w:left="0"/>
      </w:pPr>
    </w:p>
    <w:p w:rsidR="00C17749" w:rsidP="00C17749" w:rsidRDefault="00C17749" w14:paraId="67B38373" w14:textId="77777777">
      <w:pPr>
        <w:pStyle w:val="ListParagraph"/>
        <w:ind w:left="0"/>
      </w:pPr>
      <w:r>
        <w:t>* * *</w:t>
      </w:r>
    </w:p>
    <w:p w:rsidR="00C17749" w:rsidP="00C17749" w:rsidRDefault="00C17749" w14:paraId="6CC6BE86" w14:textId="77777777"/>
    <w:p w:rsidR="00C17749" w:rsidP="00C17749" w:rsidRDefault="00C17749" w14:paraId="1F87FC2A" w14:textId="77777777">
      <w:r>
        <w:t xml:space="preserve">Thank you for considering these comments. If you have any questions, please do not hesitate to contact me at </w:t>
      </w:r>
      <w:hyperlink w:history="1" r:id="rId14">
        <w:r>
          <w:rPr>
            <w:rStyle w:val="Hyperlink"/>
          </w:rPr>
          <w:t>gkazanjian@recology.com</w:t>
        </w:r>
      </w:hyperlink>
      <w:r>
        <w:t>.</w:t>
      </w:r>
    </w:p>
    <w:p w:rsidR="00C17749" w:rsidP="00C17749" w:rsidRDefault="00C17749" w14:paraId="3EE196DF" w14:textId="77777777"/>
    <w:p w:rsidR="00C17749" w:rsidP="00C17749" w:rsidRDefault="00C17749" w14:paraId="6F65CB04" w14:textId="77777777">
      <w:r>
        <w:t>Respectfully,</w:t>
      </w:r>
    </w:p>
    <w:p w:rsidR="00C17749" w:rsidP="00C17749" w:rsidRDefault="00C17749" w14:paraId="2F2A48C6" w14:textId="77777777"/>
    <w:p w:rsidR="00C17749" w:rsidP="00C17749" w:rsidRDefault="00C17749" w14:paraId="04369233" w14:textId="77777777"/>
    <w:p w:rsidR="00C17749" w:rsidP="00C17749" w:rsidRDefault="00C17749" w14:paraId="3C935FD5" w14:textId="77777777">
      <w:r>
        <w:rPr>
          <w:rFonts w:eastAsia="Times New Roman"/>
          <w:noProof/>
          <w:color w:val="1D2228"/>
          <w:sz w:val="24"/>
          <w:szCs w:val="24"/>
        </w:rPr>
        <mc:AlternateContent>
          <mc:Choice Requires="wpi">
            <w:drawing>
              <wp:anchor distT="0" distB="0" distL="114300" distR="114300" simplePos="0" relativeHeight="251658240" behindDoc="0" locked="0" layoutInCell="1" allowOverlap="1" wp14:anchorId="3E85A0CF" wp14:editId="2776EDA8">
                <wp:simplePos x="0" y="0"/>
                <wp:positionH relativeFrom="column">
                  <wp:posOffset>14605</wp:posOffset>
                </wp:positionH>
                <wp:positionV relativeFrom="paragraph">
                  <wp:posOffset>-155575</wp:posOffset>
                </wp:positionV>
                <wp:extent cx="1596045" cy="356765"/>
                <wp:effectExtent l="38100" t="38100" r="23495" b="24765"/>
                <wp:wrapNone/>
                <wp:docPr id="118" name="Ink 118"/>
                <wp:cNvGraphicFramePr>
                  <a:graphicFrameLocks xmlns:a="http://schemas.openxmlformats.org/drawingml/2006/main"/>
                </wp:cNvGraphicFramePr>
                <a:graphic xmlns:a="http://schemas.openxmlformats.org/drawingml/2006/main">
                  <a:graphicData uri="http://schemas.microsoft.com/office/word/2010/wordprocessingInk">
                    <w14:contentPart bwMode="auto" r:id="rId15">
                      <w14:nvContentPartPr>
                        <w14:cNvContentPartPr>
                          <a14:cpLocks xmlns:a14="http://schemas.microsoft.com/office/drawing/2010/main" noRot="1"/>
                        </w14:cNvContentPartPr>
                      </w14:nvContentPartPr>
                      <w14:xfrm>
                        <a:off x="0" y="0"/>
                        <a:ext cx="1596045" cy="356765"/>
                      </w14:xfrm>
                    </w14:contentPart>
                  </a:graphicData>
                </a:graphic>
              </wp:anchor>
            </w:drawing>
          </mc:Choice>
          <mc:Fallback xmlns:arto="http://schemas.microsoft.com/office/word/2006/arto" xmlns:a14="http://schemas.microsoft.com/office/drawing/2010/main" xmlns:a="http://schemas.openxmlformats.org/drawingml/2006/main" xmlns:w16sdtfl="http://schemas.microsoft.com/office/word/2024/wordml/sdtformatlock">
            <w:pict w14:anchorId="759B3B24">
              <v:shapetype id="_x0000_t75" coordsize="21600,21600" filled="f" stroked="f" o:spt="75" o:preferrelative="t" path="m@4@5l@4@11@9@11@9@5xe" w14:anchorId="318E1CF6">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18" style="position:absolute;margin-left:.45pt;margin-top:-12.95pt;width:127.05pt;height:29.55pt;z-index:251659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">
                <v:imagedata o:title="" r:id="rId16"/>
                <o:lock v:ext="edit" rotation="t" aspectratio="f"/>
              </v:shape>
            </w:pict>
          </mc:Fallback>
        </mc:AlternateContent>
      </w:r>
    </w:p>
    <w:p w:rsidR="00C17749" w:rsidP="00C17749" w:rsidRDefault="00C17749" w14:paraId="7CD035C8" w14:textId="77777777">
      <w:r>
        <w:t>Garen Kazanjian</w:t>
      </w:r>
    </w:p>
    <w:p w:rsidR="00C17749" w:rsidP="00C17749" w:rsidRDefault="00C17749" w14:paraId="5AAC3DD4" w14:textId="77777777">
      <w:r>
        <w:t>Public Policy &amp; Regulatory Affairs Manager</w:t>
      </w:r>
    </w:p>
    <w:p w:rsidR="00C17749" w:rsidP="00C17749" w:rsidRDefault="00C17749" w14:paraId="1CCCD7BE" w14:textId="77777777">
      <w:r>
        <w:t>Recology</w:t>
      </w:r>
    </w:p>
    <w:p w:rsidR="00C17749" w:rsidP="00C17749" w:rsidRDefault="00C17749" w14:paraId="797D52CF" w14:textId="77777777"/>
    <w:p w:rsidR="00C17749" w:rsidP="00C17749" w:rsidRDefault="00C17749" w14:paraId="57DED7A4" w14:textId="77777777"/>
    <w:p w:rsidR="00C17749" w:rsidP="00C17749" w:rsidRDefault="00C17749" w14:paraId="1B03A5F1" w14:textId="77777777"/>
    <w:p w:rsidR="00C17749" w:rsidP="00C17749" w:rsidRDefault="00C17749" w14:paraId="7601CF96" w14:textId="77777777"/>
    <w:p w:rsidR="00AD5AA1" w:rsidP="00C17749" w:rsidRDefault="00AD5AA1" w14:paraId="549FAE2A" w14:textId="77777777">
      <w:pPr>
        <w:jc w:val="center"/>
      </w:pPr>
    </w:p>
    <w:sectPr w:rsidR="00AD5AA1">
      <w:headerReference w:type="default" r:id="rId17"/>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JM" w:author="Julia Mangin" w:date="2025-01-16T16:21:00Z" w:id="47">
    <w:p w:rsidR="00FB7B54" w:rsidP="00FB7B54" w:rsidRDefault="00FB7B54" w14:paraId="2662DDFE" w14:textId="77777777">
      <w:pPr>
        <w:pStyle w:val="CommentText"/>
        <w:jc w:val="left"/>
      </w:pPr>
      <w:r>
        <w:rPr>
          <w:rStyle w:val="CommentReference"/>
        </w:rPr>
        <w:annotationRef/>
      </w:r>
      <w:r>
        <w:t xml:space="preserve">I’m not super concerned with CARB approving alternative monitoring technologies because it doesn’t sound like we would be required to use them, it would just be another option for us. Do I have that right? I would just advise them to use the data and information that’s out there to help inform their evaluation process. I think having more options for monitoring technologies that will be allowed by CARB is ultimately better for us. </w:t>
      </w:r>
    </w:p>
  </w:comment>
  <w:comment w:initials="" w:author="Greg Pryor" w:date="2025-01-20T17:48:00Z" w:id="48">
    <w:p w:rsidR="0049655A" w:rsidP="0049655A" w:rsidRDefault="0049655A" w14:paraId="0C745A36" w14:textId="77777777">
      <w:pPr>
        <w:jc w:val="left"/>
      </w:pPr>
      <w:r>
        <w:rPr>
          <w:rStyle w:val="CommentReference"/>
        </w:rPr>
        <w:annotationRef/>
      </w:r>
      <w:r>
        <w:rPr>
          <w:b/>
          <w:bCs/>
          <w:sz w:val="20"/>
        </w:rPr>
        <w:t xml:space="preserve">Agree Julia </w:t>
      </w:r>
    </w:p>
  </w:comment>
  <w:comment w:initials="JM" w:author="Julia Mangin" w:date="2025-01-16T16:53:00Z" w:id="55">
    <w:p w:rsidR="00BB36C0" w:rsidP="00BB36C0" w:rsidRDefault="00BB36C0" w14:paraId="1A299AB8" w14:textId="0298F6EF">
      <w:pPr>
        <w:pStyle w:val="CommentText"/>
        <w:jc w:val="left"/>
      </w:pPr>
      <w:r>
        <w:rPr>
          <w:rStyle w:val="CommentReference"/>
        </w:rPr>
        <w:annotationRef/>
      </w:r>
      <w:r>
        <w:t xml:space="preserve">It sounds like CARB is proposing requiring alternative monitoring technologies here as opposed to trying to set limits on the size of the working face. I think our comment should more directly address this proposal of requiring alternative monitoring technologies for these currently excluded areas. </w:t>
      </w:r>
      <w:r>
        <w:fldChar w:fldCharType="begin"/>
      </w:r>
      <w:r>
        <w:instrText>HYPERLINK "mailto:ksteed@recology.com"</w:instrText>
      </w:r>
      <w:bookmarkStart w:name="_@_57D9FC24081C48239E3D066007318663Z" w:id="59"/>
      <w:r>
        <w:fldChar w:fldCharType="separate"/>
      </w:r>
      <w:bookmarkEnd w:id="59"/>
      <w:r w:rsidRPr="00BB36C0">
        <w:rPr>
          <w:rStyle w:val="Mention"/>
          <w:noProof/>
        </w:rPr>
        <w:t>@Kirk Steed</w:t>
      </w:r>
      <w:r>
        <w:fldChar w:fldCharType="end"/>
      </w:r>
      <w:r>
        <w:t xml:space="preserve"> </w:t>
      </w:r>
      <w:r>
        <w:fldChar w:fldCharType="begin"/>
      </w:r>
      <w:r>
        <w:instrText>HYPERLINK "mailto:AKrekel@recology.com"</w:instrText>
      </w:r>
      <w:bookmarkStart w:name="_@_DE732FAE74B946D7A5AA0641BA44A3A5Z" w:id="60"/>
      <w:r>
        <w:fldChar w:fldCharType="separate"/>
      </w:r>
      <w:bookmarkEnd w:id="60"/>
      <w:r w:rsidRPr="00BB36C0">
        <w:rPr>
          <w:rStyle w:val="Mention"/>
          <w:noProof/>
        </w:rPr>
        <w:t>@Alexis Krekel</w:t>
      </w:r>
      <w:r>
        <w:fldChar w:fldCharType="end"/>
      </w:r>
      <w:r>
        <w:t xml:space="preserve"> </w:t>
      </w:r>
      <w:r>
        <w:fldChar w:fldCharType="begin"/>
      </w:r>
      <w:r>
        <w:instrText>HYPERLINK "mailto:cgibson@recology.com"</w:instrText>
      </w:r>
      <w:bookmarkStart w:name="_@_167206070A114C01A226533C57867584Z" w:id="61"/>
      <w:r>
        <w:fldChar w:fldCharType="separate"/>
      </w:r>
      <w:bookmarkEnd w:id="61"/>
      <w:r w:rsidRPr="00BB36C0">
        <w:rPr>
          <w:rStyle w:val="Mention"/>
          <w:noProof/>
        </w:rPr>
        <w:t>@Christopher Gibson</w:t>
      </w:r>
      <w:r>
        <w:fldChar w:fldCharType="end"/>
      </w:r>
      <w:r>
        <w:t xml:space="preserve"> thoughts? I proposed some language but not sure how folks feel about it. </w:t>
      </w:r>
    </w:p>
  </w:comment>
  <w:comment w:initials="GK" w:author="Garen Kazanjian" w:date="2025-01-16T17:08:00Z" w:id="56">
    <w:p w:rsidR="0036549D" w:rsidRDefault="0036549D" w14:paraId="41CBD9AE" w14:textId="38B71CED">
      <w:pPr>
        <w:pStyle w:val="CommentText"/>
      </w:pPr>
      <w:r>
        <w:rPr>
          <w:rStyle w:val="CommentReference"/>
        </w:rPr>
        <w:annotationRef/>
      </w:r>
      <w:r w:rsidRPr="3D8C5558">
        <w:t>There is another section of the presentation that asks about limiting the size of the working face, so that's why I included it here. Not a problem to remove it.</w:t>
      </w:r>
    </w:p>
  </w:comment>
  <w:comment w:initials="JM" w:author="Julia Mangin" w:date="2025-01-16T17:15:00Z" w:id="57">
    <w:p w:rsidR="00924D31" w:rsidP="00924D31" w:rsidRDefault="00924D31" w14:paraId="0C2C0FFF" w14:textId="77777777">
      <w:pPr>
        <w:pStyle w:val="CommentText"/>
        <w:jc w:val="left"/>
      </w:pPr>
      <w:r>
        <w:rPr>
          <w:rStyle w:val="CommentReference"/>
        </w:rPr>
        <w:annotationRef/>
      </w:r>
      <w:r>
        <w:t xml:space="preserve">Ah! I didn’t see that. I’m good with keeping that part then. </w:t>
      </w:r>
    </w:p>
  </w:comment>
  <w:comment w:initials="RS" w:author="Robin Stafford" w:date="2025-01-21T13:48:00Z" w:id="68">
    <w:p w:rsidR="00884E6B" w:rsidRDefault="00884E6B" w14:paraId="01341246" w14:textId="6F0FB95F">
      <w:pPr>
        <w:pStyle w:val="CommentText"/>
      </w:pPr>
      <w:r>
        <w:rPr>
          <w:rStyle w:val="CommentReference"/>
        </w:rPr>
        <w:annotationRef/>
      </w:r>
      <w:r w:rsidRPr="105E43D0">
        <w:t xml:space="preserve">I'm not sure what is meant by "these aspects" here. Challenges? BMPs?  </w:t>
      </w:r>
    </w:p>
  </w:comment>
  <w:comment w:initials="GK" w:author="Garen Kazanjian" w:date="2025-01-21T14:58:00Z" w:id="69">
    <w:p w:rsidR="00BE201D" w:rsidRDefault="00BE201D" w14:paraId="33520F3E" w14:textId="05379923">
      <w:pPr>
        <w:pStyle w:val="CommentText"/>
      </w:pPr>
      <w:r>
        <w:rPr>
          <w:rStyle w:val="CommentReference"/>
        </w:rPr>
        <w:annotationRef/>
      </w:r>
      <w:r w:rsidRPr="500059F5">
        <w:t>We're referencing aspects of the landfill, the working face and construction areas.</w:t>
      </w:r>
    </w:p>
  </w:comment>
  <w:comment w:initials="KS" w:author="Kirk Steed" w:date="2025-01-17T11:25:00Z" w:id="70">
    <w:p w:rsidR="00452DF5" w:rsidRDefault="00452DF5" w14:paraId="7F3D38A1" w14:textId="27487004">
      <w:pPr>
        <w:pStyle w:val="CommentText"/>
      </w:pPr>
      <w:r>
        <w:rPr>
          <w:rStyle w:val="CommentReference"/>
        </w:rPr>
        <w:annotationRef/>
      </w:r>
      <w:r w:rsidRPr="18A57794">
        <w:t>I reworked the narrative on this one a bit - my understanding is CARB wants us to jump directly into putting new wells in as opposed to the current procedure which allows us to investigate and make adjustments then retest.</w:t>
      </w:r>
    </w:p>
  </w:comment>
  <w:comment w:initials="JM" w:author="Julia Mangin" w:date="2025-01-16T19:43:00Z" w:id="81">
    <w:p w:rsidR="005717BF" w:rsidP="005717BF" w:rsidRDefault="005717BF" w14:paraId="2FB65B52" w14:textId="77777777">
      <w:pPr>
        <w:pStyle w:val="CommentText"/>
        <w:jc w:val="left"/>
      </w:pPr>
      <w:r>
        <w:rPr>
          <w:rStyle w:val="CommentReference"/>
        </w:rPr>
        <w:annotationRef/>
      </w:r>
      <w:r>
        <w:t>Would it make sense to propose that the 120 day clock doesn’t start until after the cause of the exceedance is determined?</w:t>
      </w:r>
    </w:p>
  </w:comment>
  <w:comment w:initials="KS" w:author="Kirk Steed" w:date="2025-01-17T11:28:00Z" w:id="82">
    <w:p w:rsidR="00452DF5" w:rsidRDefault="00452DF5" w14:paraId="03FE82FA" w14:textId="2073535E">
      <w:pPr>
        <w:pStyle w:val="CommentText"/>
      </w:pPr>
      <w:r>
        <w:rPr>
          <w:rStyle w:val="CommentReference"/>
        </w:rPr>
        <w:annotationRef/>
      </w:r>
      <w:r w:rsidRPr="69A1C063">
        <w:t>Yes, that is inferred in how I updated this.  But I'd like to keep the parts that discuss how weather and availability of a drill rig could still make 120 days unachievable.</w:t>
      </w:r>
    </w:p>
  </w:comment>
  <w:comment w:initials="AK" w:author="Alexis Krekel" w:date="2025-01-17T14:28:00Z" w:id="94">
    <w:p w:rsidR="002A7A90" w:rsidRDefault="002A7A90" w14:paraId="3DFB3EF0" w14:textId="027BD8B9">
      <w:pPr>
        <w:pStyle w:val="CommentText"/>
      </w:pPr>
      <w:r>
        <w:rPr>
          <w:rStyle w:val="CommentReference"/>
        </w:rPr>
        <w:annotationRef/>
      </w:r>
      <w:r w:rsidRPr="50139EA1">
        <w:t xml:space="preserve">Suggest changing to subsurface oxidation. </w:t>
      </w:r>
    </w:p>
  </w:comment>
</w:comments>
</file>

<file path=word/commentsExtended.xml><?xml version="1.0" encoding="utf-8"?>
<w15:commentsEx xmlns:mc="http://schemas.openxmlformats.org/markup-compatibility/2006" xmlns:w15="http://schemas.microsoft.com/office/word/2012/wordml" mc:Ignorable="w15">
  <w15:commentEx w15:done="1" w15:paraId="2662DDFE"/>
  <w15:commentEx w15:done="1" w15:paraId="0C745A36" w15:paraIdParent="2662DDFE"/>
  <w15:commentEx w15:done="1" w15:paraId="1A299AB8"/>
  <w15:commentEx w15:done="1" w15:paraId="41CBD9AE" w15:paraIdParent="1A299AB8"/>
  <w15:commentEx w15:done="1" w15:paraId="0C2C0FFF" w15:paraIdParent="1A299AB8"/>
  <w15:commentEx w15:done="1" w15:paraId="01341246"/>
  <w15:commentEx w15:done="1" w15:paraId="33520F3E" w15:paraIdParent="01341246"/>
  <w15:commentEx w15:done="1" w15:paraId="7F3D38A1"/>
  <w15:commentEx w15:done="1" w15:paraId="2FB65B52"/>
  <w15:commentEx w15:done="1" w15:paraId="03FE82FA" w15:paraIdParent="2FB65B52"/>
  <w15:commentEx w15:done="1" w15:paraId="3DFB3EF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EF429CA" w16cex:dateUtc="2025-01-17T00:21:00Z">
    <w16cex:extLst>
      <w16:ext w16:uri="{CE6994B0-6A32-4C9F-8C6B-6E91EDA988CE}">
        <cr:reactions xmlns:cr="http://schemas.microsoft.com/office/comments/2020/reactions">
          <cr:reaction reactionType="1">
            <cr:reactionInfo dateUtc="2025-01-17T01:06:12Z">
              <cr:user userId="S::gkazanjian@recology.com::3d437fc1-6c24-4b6d-b566-46169cf916e5" userProvider="AD" userName="Garen Kazanjian"/>
            </cr:reactionInfo>
          </cr:reaction>
        </cr:reactions>
      </w16:ext>
    </w16cex:extLst>
  </w16cex:commentExtensible>
  <w16cex:commentExtensible w16cex:durableId="33458A62" w16cex:dateUtc="2025-01-21T01:48:00Z"/>
  <w16cex:commentExtensible w16cex:durableId="56DAA9D2" w16cex:dateUtc="2025-01-17T00:53:00Z"/>
  <w16cex:commentExtensible w16cex:durableId="5055666B" w16cex:dateUtc="2025-01-17T01:08:00Z"/>
  <w16cex:commentExtensible w16cex:durableId="3B738A07" w16cex:dateUtc="2025-01-17T01:15:00Z"/>
  <w16cex:commentExtensible w16cex:durableId="76CF05DC" w16cex:dateUtc="2025-01-21T21:48:00Z"/>
  <w16cex:commentExtensible w16cex:durableId="192F7C91" w16cex:dateUtc="2025-01-21T22:58:00Z"/>
  <w16cex:commentExtensible w16cex:durableId="2D8A1657" w16cex:dateUtc="2025-01-17T19:25:00Z"/>
  <w16cex:commentExtensible w16cex:durableId="004F082A" w16cex:dateUtc="2025-01-17T03:43:00Z"/>
  <w16cex:commentExtensible w16cex:durableId="5BBBE8B3" w16cex:dateUtc="2025-01-17T19:28:00Z"/>
  <w16cex:commentExtensible w16cex:durableId="3D4FDD48" w16cex:dateUtc="2025-01-17T22:28:00Z">
    <w16cex:extLst>
      <w16:ext w16:uri="{CE6994B0-6A32-4C9F-8C6B-6E91EDA988CE}">
        <cr:reactions xmlns:cr="http://schemas.microsoft.com/office/comments/2020/reactions">
          <cr:reaction reactionType="1">
            <cr:reactionInfo dateUtc="2025-01-17T23:57:03Z">
              <cr:user userId="S::tdaleiden@recology.com::b9adb361-6925-432b-b664-cc95f9acf568" userProvider="AD" userName="Tim Daleiden"/>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2662DDFE" w16cid:durableId="4EF429CA"/>
  <w16cid:commentId w16cid:paraId="0C745A36" w16cid:durableId="33458A62"/>
  <w16cid:commentId w16cid:paraId="1A299AB8" w16cid:durableId="56DAA9D2"/>
  <w16cid:commentId w16cid:paraId="41CBD9AE" w16cid:durableId="5055666B"/>
  <w16cid:commentId w16cid:paraId="0C2C0FFF" w16cid:durableId="3B738A07"/>
  <w16cid:commentId w16cid:paraId="01341246" w16cid:durableId="76CF05DC"/>
  <w16cid:commentId w16cid:paraId="33520F3E" w16cid:durableId="192F7C91"/>
  <w16cid:commentId w16cid:paraId="7F3D38A1" w16cid:durableId="2D8A1657"/>
  <w16cid:commentId w16cid:paraId="2FB65B52" w16cid:durableId="004F082A"/>
  <w16cid:commentId w16cid:paraId="03FE82FA" w16cid:durableId="5BBBE8B3"/>
  <w16cid:commentId w16cid:paraId="3DFB3EF0" w16cid:durableId="3D4FDD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50DA3" w:rsidP="00C17749" w:rsidRDefault="00250DA3" w14:paraId="6841C586" w14:textId="77777777">
      <w:r>
        <w:separator/>
      </w:r>
    </w:p>
  </w:endnote>
  <w:endnote w:type="continuationSeparator" w:id="0">
    <w:p w:rsidR="00250DA3" w:rsidP="00C17749" w:rsidRDefault="00250DA3" w14:paraId="400C9124" w14:textId="77777777">
      <w:r>
        <w:continuationSeparator/>
      </w:r>
    </w:p>
  </w:endnote>
  <w:endnote w:type="continuationNotice" w:id="1">
    <w:p w:rsidR="00250DA3" w:rsidRDefault="00250DA3" w14:paraId="66E0DD2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50DA3" w:rsidP="00C17749" w:rsidRDefault="00250DA3" w14:paraId="61E13359" w14:textId="77777777">
      <w:r>
        <w:separator/>
      </w:r>
    </w:p>
  </w:footnote>
  <w:footnote w:type="continuationSeparator" w:id="0">
    <w:p w:rsidR="00250DA3" w:rsidP="00C17749" w:rsidRDefault="00250DA3" w14:paraId="04A9191C" w14:textId="77777777">
      <w:r>
        <w:continuationSeparator/>
      </w:r>
    </w:p>
  </w:footnote>
  <w:footnote w:type="continuationNotice" w:id="1">
    <w:p w:rsidR="00250DA3" w:rsidRDefault="00250DA3" w14:paraId="1AA5B6C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17749" w:rsidP="00C17749" w:rsidRDefault="00C17749" w14:paraId="58AF6905" w14:textId="11EB8F5A">
    <w:pPr>
      <w:pStyle w:val="Header"/>
      <w:jc w:val="center"/>
    </w:pPr>
    <w:r>
      <w:rPr>
        <w:noProof/>
      </w:rPr>
      <w:drawing>
        <wp:inline distT="0" distB="0" distL="0" distR="0" wp14:anchorId="14E72665" wp14:editId="02B8BB19">
          <wp:extent cx="1057275" cy="962025"/>
          <wp:effectExtent l="0" t="0" r="9525" b="9525"/>
          <wp:docPr id="1" name="Picture 1" descr="Recology_Corporate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ology_Corporate_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962025"/>
                  </a:xfrm>
                  <a:prstGeom prst="rect">
                    <a:avLst/>
                  </a:prstGeom>
                  <a:noFill/>
                  <a:ln>
                    <a:noFill/>
                  </a:ln>
                </pic:spPr>
              </pic:pic>
            </a:graphicData>
          </a:graphic>
        </wp:inline>
      </w:drawing>
    </w:r>
  </w:p>
</w:hdr>
</file>

<file path=word/intelligence2.xml><?xml version="1.0" encoding="utf-8"?>
<int2:intelligence xmlns:int2="http://schemas.microsoft.com/office/intelligence/2020/intelligence">
  <int2:observations>
    <int2:bookmark int2:bookmarkName="_Int_EnBe5R2u" int2:invalidationBookmarkName="" int2:hashCode="kFfPpWcvqyNKpF" int2:id="nwFqKFD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89171A"/>
    <w:multiLevelType w:val="hybridMultilevel"/>
    <w:tmpl w:val="B5062E4A"/>
    <w:lvl w:ilvl="0" w:tplc="57F8466C">
      <w:start w:val="1"/>
      <w:numFmt w:val="decimal"/>
      <w:lvlText w:val="%1."/>
      <w:lvlJc w:val="left"/>
      <w:pPr>
        <w:ind w:left="360" w:hanging="360"/>
      </w:pPr>
      <w:rPr>
        <w:rFonts w:hint="default" w:eastAsia="Calibri"/>
        <w:b/>
        <w:bCs w:val="0"/>
        <w:i w:val="0"/>
        <w:iCs/>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443459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bin Stafford">
    <w15:presenceInfo w15:providerId="AD" w15:userId="S::rstafford@recology.com::2b273ab3-f185-4e6d-831f-ae56aaad002b"/>
  </w15:person>
  <w15:person w15:author="Julia Mangin">
    <w15:presenceInfo w15:providerId="AD" w15:userId="S::jmangin@recology.com::9d0b7caf-cfa3-4d74-a96a-87eb4197325c"/>
  </w15:person>
  <w15:person w15:author="Greg Pryor">
    <w15:presenceInfo w15:providerId="AD" w15:userId="S::gpryor@recology.com::32f1a247-47bb-4a33-acd8-868122fb2178"/>
  </w15:person>
  <w15:person w15:author="Garen Kazanjian">
    <w15:presenceInfo w15:providerId="AD" w15:userId="S::gkazanjian@recology.com::3d437fc1-6c24-4b6d-b566-46169cf916e5"/>
  </w15:person>
  <w15:person w15:author="Kirk Steed">
    <w15:presenceInfo w15:providerId="AD" w15:userId="S::ksteed@recology.com::78870ab8-591a-4d0b-a8ec-0a15c7cf31c7"/>
  </w15:person>
  <w15:person w15:author="Alexis Krekel">
    <w15:presenceInfo w15:providerId="AD" w15:userId="S::akrekel@recology.com::f469e5aa-1dc9-488a-91dc-69108eb33d26"/>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749"/>
    <w:rsid w:val="00011650"/>
    <w:rsid w:val="00042E7F"/>
    <w:rsid w:val="00063C88"/>
    <w:rsid w:val="00077F0A"/>
    <w:rsid w:val="000E7603"/>
    <w:rsid w:val="000F344D"/>
    <w:rsid w:val="00113815"/>
    <w:rsid w:val="0012173E"/>
    <w:rsid w:val="0014486F"/>
    <w:rsid w:val="00147280"/>
    <w:rsid w:val="00163ECD"/>
    <w:rsid w:val="00171C9A"/>
    <w:rsid w:val="0019400C"/>
    <w:rsid w:val="0019775E"/>
    <w:rsid w:val="001A0BBB"/>
    <w:rsid w:val="001A2DF1"/>
    <w:rsid w:val="001A6B38"/>
    <w:rsid w:val="001E4D79"/>
    <w:rsid w:val="001F3E01"/>
    <w:rsid w:val="00211EAD"/>
    <w:rsid w:val="002219E6"/>
    <w:rsid w:val="00221BEB"/>
    <w:rsid w:val="0022221F"/>
    <w:rsid w:val="00243E86"/>
    <w:rsid w:val="00250DA3"/>
    <w:rsid w:val="00251EFD"/>
    <w:rsid w:val="0028732C"/>
    <w:rsid w:val="00290641"/>
    <w:rsid w:val="00295089"/>
    <w:rsid w:val="00297901"/>
    <w:rsid w:val="002A7A90"/>
    <w:rsid w:val="002B6D9F"/>
    <w:rsid w:val="002D7BD2"/>
    <w:rsid w:val="002F39FC"/>
    <w:rsid w:val="003205A9"/>
    <w:rsid w:val="003206D0"/>
    <w:rsid w:val="00327540"/>
    <w:rsid w:val="0034561E"/>
    <w:rsid w:val="0036549D"/>
    <w:rsid w:val="00370805"/>
    <w:rsid w:val="00371698"/>
    <w:rsid w:val="003A4F89"/>
    <w:rsid w:val="003B62E9"/>
    <w:rsid w:val="003C7369"/>
    <w:rsid w:val="003D1EFE"/>
    <w:rsid w:val="003D7DB2"/>
    <w:rsid w:val="003F2C83"/>
    <w:rsid w:val="00440CDA"/>
    <w:rsid w:val="00452DF5"/>
    <w:rsid w:val="0047689A"/>
    <w:rsid w:val="0049281E"/>
    <w:rsid w:val="00495DDB"/>
    <w:rsid w:val="0049655A"/>
    <w:rsid w:val="004D0526"/>
    <w:rsid w:val="004D422C"/>
    <w:rsid w:val="004E6136"/>
    <w:rsid w:val="005115DF"/>
    <w:rsid w:val="00542950"/>
    <w:rsid w:val="00562609"/>
    <w:rsid w:val="005717BF"/>
    <w:rsid w:val="005917FC"/>
    <w:rsid w:val="005C2D87"/>
    <w:rsid w:val="005D4F98"/>
    <w:rsid w:val="005F016E"/>
    <w:rsid w:val="005FE3EF"/>
    <w:rsid w:val="00613852"/>
    <w:rsid w:val="00631055"/>
    <w:rsid w:val="00635B27"/>
    <w:rsid w:val="006434FD"/>
    <w:rsid w:val="006A2556"/>
    <w:rsid w:val="006C1338"/>
    <w:rsid w:val="00722BC9"/>
    <w:rsid w:val="00724C95"/>
    <w:rsid w:val="00760B9E"/>
    <w:rsid w:val="00771C6D"/>
    <w:rsid w:val="0077333B"/>
    <w:rsid w:val="00792975"/>
    <w:rsid w:val="007948D0"/>
    <w:rsid w:val="00794C49"/>
    <w:rsid w:val="007B2B69"/>
    <w:rsid w:val="007B2C69"/>
    <w:rsid w:val="007D522A"/>
    <w:rsid w:val="007E68D5"/>
    <w:rsid w:val="00827C76"/>
    <w:rsid w:val="008558CE"/>
    <w:rsid w:val="00884E6B"/>
    <w:rsid w:val="0088D6CF"/>
    <w:rsid w:val="008A4D0A"/>
    <w:rsid w:val="0091507D"/>
    <w:rsid w:val="00924D31"/>
    <w:rsid w:val="00940796"/>
    <w:rsid w:val="009556EC"/>
    <w:rsid w:val="00962665"/>
    <w:rsid w:val="009822E7"/>
    <w:rsid w:val="009A1741"/>
    <w:rsid w:val="009C3A1D"/>
    <w:rsid w:val="009D5B14"/>
    <w:rsid w:val="009D6513"/>
    <w:rsid w:val="009F4960"/>
    <w:rsid w:val="009F792E"/>
    <w:rsid w:val="00A31B48"/>
    <w:rsid w:val="00A3457C"/>
    <w:rsid w:val="00A56C59"/>
    <w:rsid w:val="00A84457"/>
    <w:rsid w:val="00AC201D"/>
    <w:rsid w:val="00AD5AA1"/>
    <w:rsid w:val="00AE12A9"/>
    <w:rsid w:val="00AE1B2B"/>
    <w:rsid w:val="00AF76B7"/>
    <w:rsid w:val="00B42587"/>
    <w:rsid w:val="00B54B36"/>
    <w:rsid w:val="00B616D5"/>
    <w:rsid w:val="00B9A30F"/>
    <w:rsid w:val="00BA5FBE"/>
    <w:rsid w:val="00BB36C0"/>
    <w:rsid w:val="00BC4C1F"/>
    <w:rsid w:val="00BD120D"/>
    <w:rsid w:val="00BD788B"/>
    <w:rsid w:val="00BE201D"/>
    <w:rsid w:val="00BE41F2"/>
    <w:rsid w:val="00C06810"/>
    <w:rsid w:val="00C13949"/>
    <w:rsid w:val="00C17749"/>
    <w:rsid w:val="00C64C29"/>
    <w:rsid w:val="00C73FF7"/>
    <w:rsid w:val="00C93FF5"/>
    <w:rsid w:val="00CB2D3B"/>
    <w:rsid w:val="00CB6BA4"/>
    <w:rsid w:val="00D0479F"/>
    <w:rsid w:val="00D1619E"/>
    <w:rsid w:val="00D22A25"/>
    <w:rsid w:val="00D23BD4"/>
    <w:rsid w:val="00D30A7A"/>
    <w:rsid w:val="00D54BB6"/>
    <w:rsid w:val="00D80FB0"/>
    <w:rsid w:val="00DA0110"/>
    <w:rsid w:val="00DA50EB"/>
    <w:rsid w:val="00DB7FF2"/>
    <w:rsid w:val="00DE4984"/>
    <w:rsid w:val="00DE508A"/>
    <w:rsid w:val="00DF599C"/>
    <w:rsid w:val="00E01D46"/>
    <w:rsid w:val="00E205A6"/>
    <w:rsid w:val="00E31888"/>
    <w:rsid w:val="00E33A59"/>
    <w:rsid w:val="00E34FC9"/>
    <w:rsid w:val="00E40D79"/>
    <w:rsid w:val="00E543B2"/>
    <w:rsid w:val="00E54BB6"/>
    <w:rsid w:val="00E61A67"/>
    <w:rsid w:val="00E962BE"/>
    <w:rsid w:val="00EA78C5"/>
    <w:rsid w:val="00EB567E"/>
    <w:rsid w:val="00EC4EA4"/>
    <w:rsid w:val="00F12848"/>
    <w:rsid w:val="00F14352"/>
    <w:rsid w:val="00F21ABD"/>
    <w:rsid w:val="00F2478D"/>
    <w:rsid w:val="00F50D09"/>
    <w:rsid w:val="00FA3C6C"/>
    <w:rsid w:val="00FB7B54"/>
    <w:rsid w:val="00FD3EE4"/>
    <w:rsid w:val="00FE7D25"/>
    <w:rsid w:val="00FF5816"/>
    <w:rsid w:val="00FF68C9"/>
    <w:rsid w:val="013F082E"/>
    <w:rsid w:val="0166AC6A"/>
    <w:rsid w:val="018482FE"/>
    <w:rsid w:val="01B5040A"/>
    <w:rsid w:val="02336FCE"/>
    <w:rsid w:val="0283B626"/>
    <w:rsid w:val="02D97E0F"/>
    <w:rsid w:val="02FAD618"/>
    <w:rsid w:val="032597E4"/>
    <w:rsid w:val="0344B236"/>
    <w:rsid w:val="03E28F54"/>
    <w:rsid w:val="040A291E"/>
    <w:rsid w:val="052AF944"/>
    <w:rsid w:val="0587ACFB"/>
    <w:rsid w:val="05A4B9DF"/>
    <w:rsid w:val="05BD8A2D"/>
    <w:rsid w:val="0632B248"/>
    <w:rsid w:val="0677D21A"/>
    <w:rsid w:val="06847A1F"/>
    <w:rsid w:val="070EAD31"/>
    <w:rsid w:val="07A4F146"/>
    <w:rsid w:val="081A2CAE"/>
    <w:rsid w:val="0848B764"/>
    <w:rsid w:val="08581463"/>
    <w:rsid w:val="087573B4"/>
    <w:rsid w:val="09CCE6F2"/>
    <w:rsid w:val="09E18722"/>
    <w:rsid w:val="09FA8495"/>
    <w:rsid w:val="0A014797"/>
    <w:rsid w:val="0A3797CE"/>
    <w:rsid w:val="0B48060E"/>
    <w:rsid w:val="0C7DE822"/>
    <w:rsid w:val="0CCA4B4A"/>
    <w:rsid w:val="0CCF2A77"/>
    <w:rsid w:val="0CE2DE38"/>
    <w:rsid w:val="0D1B19BC"/>
    <w:rsid w:val="0D5A536F"/>
    <w:rsid w:val="0D6AD4DB"/>
    <w:rsid w:val="0E067AEE"/>
    <w:rsid w:val="0E618971"/>
    <w:rsid w:val="0E728570"/>
    <w:rsid w:val="0E9E4CC6"/>
    <w:rsid w:val="0F16D1F5"/>
    <w:rsid w:val="0F2239E9"/>
    <w:rsid w:val="0F59C5AC"/>
    <w:rsid w:val="0FDEBE61"/>
    <w:rsid w:val="104C0920"/>
    <w:rsid w:val="1061B3DB"/>
    <w:rsid w:val="10AC90C3"/>
    <w:rsid w:val="10C6F39B"/>
    <w:rsid w:val="10D1056C"/>
    <w:rsid w:val="11C9E7E7"/>
    <w:rsid w:val="120B0051"/>
    <w:rsid w:val="125F46EA"/>
    <w:rsid w:val="129E0EE8"/>
    <w:rsid w:val="12B44E3C"/>
    <w:rsid w:val="12E60E9C"/>
    <w:rsid w:val="13725F35"/>
    <w:rsid w:val="1455EDF0"/>
    <w:rsid w:val="14D6F9A5"/>
    <w:rsid w:val="152ACA95"/>
    <w:rsid w:val="16D184E7"/>
    <w:rsid w:val="1708919C"/>
    <w:rsid w:val="18094638"/>
    <w:rsid w:val="1818CD1C"/>
    <w:rsid w:val="190AD933"/>
    <w:rsid w:val="1916ED69"/>
    <w:rsid w:val="1917858F"/>
    <w:rsid w:val="19789D1F"/>
    <w:rsid w:val="1A277A59"/>
    <w:rsid w:val="1A2D9BCC"/>
    <w:rsid w:val="1ACD1E61"/>
    <w:rsid w:val="1B3E77E4"/>
    <w:rsid w:val="1B5D6A4B"/>
    <w:rsid w:val="1BDDD589"/>
    <w:rsid w:val="1BF075C2"/>
    <w:rsid w:val="1C7D210B"/>
    <w:rsid w:val="1D8169EE"/>
    <w:rsid w:val="1DA78B6A"/>
    <w:rsid w:val="1DC6E57D"/>
    <w:rsid w:val="1DD4F3F3"/>
    <w:rsid w:val="1E07924B"/>
    <w:rsid w:val="1E2F1E87"/>
    <w:rsid w:val="1E7E2DB1"/>
    <w:rsid w:val="1ECC7943"/>
    <w:rsid w:val="1F9BE06D"/>
    <w:rsid w:val="1FEE6119"/>
    <w:rsid w:val="20107927"/>
    <w:rsid w:val="2029CBD6"/>
    <w:rsid w:val="2037E167"/>
    <w:rsid w:val="206D3D1F"/>
    <w:rsid w:val="20CC92FC"/>
    <w:rsid w:val="213B2729"/>
    <w:rsid w:val="2185F5EE"/>
    <w:rsid w:val="22BF1C56"/>
    <w:rsid w:val="23A78D3F"/>
    <w:rsid w:val="23E72D85"/>
    <w:rsid w:val="240C6A48"/>
    <w:rsid w:val="24111CED"/>
    <w:rsid w:val="2594034C"/>
    <w:rsid w:val="260A5F91"/>
    <w:rsid w:val="26101B3C"/>
    <w:rsid w:val="27597C30"/>
    <w:rsid w:val="27936B49"/>
    <w:rsid w:val="279DB7A2"/>
    <w:rsid w:val="28357D12"/>
    <w:rsid w:val="283A29A2"/>
    <w:rsid w:val="287022AA"/>
    <w:rsid w:val="2911BB2E"/>
    <w:rsid w:val="296FBF72"/>
    <w:rsid w:val="2978AEC4"/>
    <w:rsid w:val="297FFEC8"/>
    <w:rsid w:val="2985834A"/>
    <w:rsid w:val="2A8F4D32"/>
    <w:rsid w:val="2B3DE3E0"/>
    <w:rsid w:val="2B7AC8FD"/>
    <w:rsid w:val="2C64CCC7"/>
    <w:rsid w:val="2D26CD90"/>
    <w:rsid w:val="2D3142E9"/>
    <w:rsid w:val="2DB1CA16"/>
    <w:rsid w:val="2E95CA0A"/>
    <w:rsid w:val="2EAAC788"/>
    <w:rsid w:val="2EBA550A"/>
    <w:rsid w:val="2EFF475F"/>
    <w:rsid w:val="2F2367FA"/>
    <w:rsid w:val="2F2E6649"/>
    <w:rsid w:val="2F8D6935"/>
    <w:rsid w:val="31325A43"/>
    <w:rsid w:val="32798F40"/>
    <w:rsid w:val="32B3548A"/>
    <w:rsid w:val="32FC3B1C"/>
    <w:rsid w:val="331C225D"/>
    <w:rsid w:val="33FAFED8"/>
    <w:rsid w:val="348138BB"/>
    <w:rsid w:val="348CC66D"/>
    <w:rsid w:val="34916BEA"/>
    <w:rsid w:val="34FF0BE9"/>
    <w:rsid w:val="356F4AC1"/>
    <w:rsid w:val="362361D4"/>
    <w:rsid w:val="3651E98A"/>
    <w:rsid w:val="366E5ED3"/>
    <w:rsid w:val="368BC5A8"/>
    <w:rsid w:val="36AC42B4"/>
    <w:rsid w:val="36FCDE0B"/>
    <w:rsid w:val="37238711"/>
    <w:rsid w:val="37E582CF"/>
    <w:rsid w:val="380CA47E"/>
    <w:rsid w:val="38AE5CB8"/>
    <w:rsid w:val="394034F3"/>
    <w:rsid w:val="3945A15B"/>
    <w:rsid w:val="3996246F"/>
    <w:rsid w:val="39EBC362"/>
    <w:rsid w:val="3A04E802"/>
    <w:rsid w:val="3A6DBC95"/>
    <w:rsid w:val="3AB0E12F"/>
    <w:rsid w:val="3B0FFCF6"/>
    <w:rsid w:val="3B3F9637"/>
    <w:rsid w:val="3BB35349"/>
    <w:rsid w:val="3BB4C246"/>
    <w:rsid w:val="3BBEE841"/>
    <w:rsid w:val="3C3CBD70"/>
    <w:rsid w:val="3C84B030"/>
    <w:rsid w:val="3CAF404B"/>
    <w:rsid w:val="3D0AF068"/>
    <w:rsid w:val="3D0E2B42"/>
    <w:rsid w:val="3D4108F5"/>
    <w:rsid w:val="3D624F76"/>
    <w:rsid w:val="3D7B8893"/>
    <w:rsid w:val="3D9EAD0E"/>
    <w:rsid w:val="3DE7B3D9"/>
    <w:rsid w:val="3E04B917"/>
    <w:rsid w:val="3E9A542D"/>
    <w:rsid w:val="3EB4A0E0"/>
    <w:rsid w:val="3EFF0D5D"/>
    <w:rsid w:val="3F3F4447"/>
    <w:rsid w:val="3F77534B"/>
    <w:rsid w:val="3F8D4274"/>
    <w:rsid w:val="3F936301"/>
    <w:rsid w:val="3FB3D3DE"/>
    <w:rsid w:val="3FD248C0"/>
    <w:rsid w:val="402DAF54"/>
    <w:rsid w:val="41915EE3"/>
    <w:rsid w:val="41F238F0"/>
    <w:rsid w:val="43164838"/>
    <w:rsid w:val="43714DF6"/>
    <w:rsid w:val="43B1C890"/>
    <w:rsid w:val="44120D93"/>
    <w:rsid w:val="443F2B86"/>
    <w:rsid w:val="449C570D"/>
    <w:rsid w:val="44D82047"/>
    <w:rsid w:val="44E2EEDB"/>
    <w:rsid w:val="451BF7BF"/>
    <w:rsid w:val="452D9E05"/>
    <w:rsid w:val="452F144E"/>
    <w:rsid w:val="45CFCBD3"/>
    <w:rsid w:val="46C46632"/>
    <w:rsid w:val="46D21C4E"/>
    <w:rsid w:val="4769CBB2"/>
    <w:rsid w:val="485E03DD"/>
    <w:rsid w:val="48CF0099"/>
    <w:rsid w:val="48D6E25A"/>
    <w:rsid w:val="48F6B4A9"/>
    <w:rsid w:val="49094208"/>
    <w:rsid w:val="49B45958"/>
    <w:rsid w:val="49DF400D"/>
    <w:rsid w:val="4A98C250"/>
    <w:rsid w:val="4ABB8B55"/>
    <w:rsid w:val="4B1C19C3"/>
    <w:rsid w:val="4C60BB83"/>
    <w:rsid w:val="4C751224"/>
    <w:rsid w:val="4CB51806"/>
    <w:rsid w:val="4CDFF0DE"/>
    <w:rsid w:val="4CE087D1"/>
    <w:rsid w:val="4D02E3DD"/>
    <w:rsid w:val="4D23D443"/>
    <w:rsid w:val="4D514F85"/>
    <w:rsid w:val="4D9473B9"/>
    <w:rsid w:val="4D962645"/>
    <w:rsid w:val="4E1797C7"/>
    <w:rsid w:val="4E5174D8"/>
    <w:rsid w:val="4EC85D9F"/>
    <w:rsid w:val="4EC8C1A8"/>
    <w:rsid w:val="4EC93775"/>
    <w:rsid w:val="4F0E634C"/>
    <w:rsid w:val="4F90C5BD"/>
    <w:rsid w:val="4F91D296"/>
    <w:rsid w:val="4FD0BF06"/>
    <w:rsid w:val="504BC59E"/>
    <w:rsid w:val="508DFE75"/>
    <w:rsid w:val="50D462FA"/>
    <w:rsid w:val="51E67476"/>
    <w:rsid w:val="522DCA2E"/>
    <w:rsid w:val="5264BD17"/>
    <w:rsid w:val="5272AF8E"/>
    <w:rsid w:val="527C8062"/>
    <w:rsid w:val="52CA05B7"/>
    <w:rsid w:val="53CABF10"/>
    <w:rsid w:val="5441E67F"/>
    <w:rsid w:val="5497426A"/>
    <w:rsid w:val="54C7FB43"/>
    <w:rsid w:val="54DA1BD6"/>
    <w:rsid w:val="553F0527"/>
    <w:rsid w:val="55792A5C"/>
    <w:rsid w:val="55F2DB8E"/>
    <w:rsid w:val="56323086"/>
    <w:rsid w:val="569FAA5B"/>
    <w:rsid w:val="56C500AB"/>
    <w:rsid w:val="57A9289A"/>
    <w:rsid w:val="57DC8092"/>
    <w:rsid w:val="5828F0E1"/>
    <w:rsid w:val="5878BD37"/>
    <w:rsid w:val="58A924B5"/>
    <w:rsid w:val="58BD596A"/>
    <w:rsid w:val="5959A96C"/>
    <w:rsid w:val="597BB652"/>
    <w:rsid w:val="59861E4A"/>
    <w:rsid w:val="599C2BB0"/>
    <w:rsid w:val="5B3DA6B1"/>
    <w:rsid w:val="5B85A804"/>
    <w:rsid w:val="5BF8B19F"/>
    <w:rsid w:val="5C1A7117"/>
    <w:rsid w:val="5C36D8CA"/>
    <w:rsid w:val="5C9C0F69"/>
    <w:rsid w:val="5E05C6D6"/>
    <w:rsid w:val="5E244536"/>
    <w:rsid w:val="5E7E894A"/>
    <w:rsid w:val="5EBE1D1E"/>
    <w:rsid w:val="5F076A0D"/>
    <w:rsid w:val="5F2492AE"/>
    <w:rsid w:val="5F34F3F6"/>
    <w:rsid w:val="5F4ACF86"/>
    <w:rsid w:val="6051E735"/>
    <w:rsid w:val="60A2E428"/>
    <w:rsid w:val="60C2864A"/>
    <w:rsid w:val="61E9AC65"/>
    <w:rsid w:val="61F9263F"/>
    <w:rsid w:val="621AAAAD"/>
    <w:rsid w:val="627A30C7"/>
    <w:rsid w:val="62C1C855"/>
    <w:rsid w:val="6348D2A3"/>
    <w:rsid w:val="639CAB5D"/>
    <w:rsid w:val="6444092C"/>
    <w:rsid w:val="64E1BFF8"/>
    <w:rsid w:val="64F4308E"/>
    <w:rsid w:val="65107549"/>
    <w:rsid w:val="65591B9C"/>
    <w:rsid w:val="656CF15F"/>
    <w:rsid w:val="65BAE97F"/>
    <w:rsid w:val="6648919F"/>
    <w:rsid w:val="6677094D"/>
    <w:rsid w:val="66789C34"/>
    <w:rsid w:val="66B6C809"/>
    <w:rsid w:val="67C950EF"/>
    <w:rsid w:val="67D6041C"/>
    <w:rsid w:val="680F8AD1"/>
    <w:rsid w:val="6836D55E"/>
    <w:rsid w:val="69FD3867"/>
    <w:rsid w:val="6C3AB171"/>
    <w:rsid w:val="6CA05D12"/>
    <w:rsid w:val="6CB3AF6D"/>
    <w:rsid w:val="6CFB0347"/>
    <w:rsid w:val="6D428044"/>
    <w:rsid w:val="6DA94CD8"/>
    <w:rsid w:val="6DBB33A5"/>
    <w:rsid w:val="6E004D03"/>
    <w:rsid w:val="6E067295"/>
    <w:rsid w:val="6E21926C"/>
    <w:rsid w:val="6E394B79"/>
    <w:rsid w:val="6E65BB01"/>
    <w:rsid w:val="6EA55198"/>
    <w:rsid w:val="6EB201CC"/>
    <w:rsid w:val="6F10B5A0"/>
    <w:rsid w:val="6F5D436B"/>
    <w:rsid w:val="715ABC63"/>
    <w:rsid w:val="71BCA2E1"/>
    <w:rsid w:val="73A17A6B"/>
    <w:rsid w:val="74C5E44B"/>
    <w:rsid w:val="74E157CE"/>
    <w:rsid w:val="74FEC0E0"/>
    <w:rsid w:val="752312BC"/>
    <w:rsid w:val="766BB9F5"/>
    <w:rsid w:val="76C381FC"/>
    <w:rsid w:val="76C6BBDF"/>
    <w:rsid w:val="7772D7B4"/>
    <w:rsid w:val="77AB75B9"/>
    <w:rsid w:val="77EA93D0"/>
    <w:rsid w:val="7903689A"/>
    <w:rsid w:val="79F484CB"/>
    <w:rsid w:val="7A017FCC"/>
    <w:rsid w:val="7A3BFFF1"/>
    <w:rsid w:val="7AFCDCCB"/>
    <w:rsid w:val="7B11825F"/>
    <w:rsid w:val="7B8810CA"/>
    <w:rsid w:val="7B9ECE05"/>
    <w:rsid w:val="7B9F8EB2"/>
    <w:rsid w:val="7BF1F145"/>
    <w:rsid w:val="7C9C89FE"/>
    <w:rsid w:val="7CBB66DB"/>
    <w:rsid w:val="7D2B2E25"/>
    <w:rsid w:val="7E11E1A7"/>
    <w:rsid w:val="7E8280A5"/>
    <w:rsid w:val="7EE3FD36"/>
    <w:rsid w:val="7F47FF74"/>
    <w:rsid w:val="7FABBCA4"/>
    <w:rsid w:val="7FF064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F3010"/>
  <w15:chartTrackingRefBased/>
  <w15:docId w15:val="{1FED7353-64FF-4A66-B476-6CFB56A121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7749"/>
    <w:pPr>
      <w:spacing w:after="0" w:line="240" w:lineRule="auto"/>
      <w:jc w:val="both"/>
    </w:pPr>
    <w:rPr>
      <w:rFonts w:ascii="Times New Roman" w:hAnsi="Times New Roman" w:cs="Times New Roman"/>
      <w:kern w:val="0"/>
      <w:sz w:val="22"/>
      <w:szCs w:val="20"/>
      <w14:ligatures w14:val="none"/>
    </w:rPr>
  </w:style>
  <w:style w:type="paragraph" w:styleId="Heading1">
    <w:name w:val="heading 1"/>
    <w:basedOn w:val="Normal"/>
    <w:next w:val="Normal"/>
    <w:link w:val="Heading1Char"/>
    <w:uiPriority w:val="9"/>
    <w:qFormat/>
    <w:rsid w:val="00C1774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774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77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77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77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77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77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77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7749"/>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1774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1774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1774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1774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1774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1774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1774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1774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17749"/>
    <w:rPr>
      <w:rFonts w:eastAsiaTheme="majorEastAsia" w:cstheme="majorBidi"/>
      <w:color w:val="272727" w:themeColor="text1" w:themeTint="D8"/>
    </w:rPr>
  </w:style>
  <w:style w:type="paragraph" w:styleId="Title">
    <w:name w:val="Title"/>
    <w:basedOn w:val="Normal"/>
    <w:next w:val="Normal"/>
    <w:link w:val="TitleChar"/>
    <w:uiPriority w:val="10"/>
    <w:qFormat/>
    <w:rsid w:val="00C17749"/>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1774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1774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177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7749"/>
    <w:pPr>
      <w:spacing w:before="160"/>
      <w:jc w:val="center"/>
    </w:pPr>
    <w:rPr>
      <w:i/>
      <w:iCs/>
      <w:color w:val="404040" w:themeColor="text1" w:themeTint="BF"/>
    </w:rPr>
  </w:style>
  <w:style w:type="character" w:styleId="QuoteChar" w:customStyle="1">
    <w:name w:val="Quote Char"/>
    <w:basedOn w:val="DefaultParagraphFont"/>
    <w:link w:val="Quote"/>
    <w:uiPriority w:val="29"/>
    <w:rsid w:val="00C17749"/>
    <w:rPr>
      <w:i/>
      <w:iCs/>
      <w:color w:val="404040" w:themeColor="text1" w:themeTint="BF"/>
    </w:rPr>
  </w:style>
  <w:style w:type="paragraph" w:styleId="ListParagraph">
    <w:name w:val="List Paragraph"/>
    <w:basedOn w:val="Normal"/>
    <w:uiPriority w:val="34"/>
    <w:qFormat/>
    <w:rsid w:val="00C17749"/>
    <w:pPr>
      <w:ind w:left="720"/>
      <w:contextualSpacing/>
    </w:pPr>
  </w:style>
  <w:style w:type="character" w:styleId="IntenseEmphasis">
    <w:name w:val="Intense Emphasis"/>
    <w:basedOn w:val="DefaultParagraphFont"/>
    <w:uiPriority w:val="21"/>
    <w:qFormat/>
    <w:rsid w:val="00C17749"/>
    <w:rPr>
      <w:i/>
      <w:iCs/>
      <w:color w:val="0F4761" w:themeColor="accent1" w:themeShade="BF"/>
    </w:rPr>
  </w:style>
  <w:style w:type="paragraph" w:styleId="IntenseQuote">
    <w:name w:val="Intense Quote"/>
    <w:basedOn w:val="Normal"/>
    <w:next w:val="Normal"/>
    <w:link w:val="IntenseQuoteChar"/>
    <w:uiPriority w:val="30"/>
    <w:qFormat/>
    <w:rsid w:val="00C1774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17749"/>
    <w:rPr>
      <w:i/>
      <w:iCs/>
      <w:color w:val="0F4761" w:themeColor="accent1" w:themeShade="BF"/>
    </w:rPr>
  </w:style>
  <w:style w:type="character" w:styleId="IntenseReference">
    <w:name w:val="Intense Reference"/>
    <w:basedOn w:val="DefaultParagraphFont"/>
    <w:uiPriority w:val="32"/>
    <w:qFormat/>
    <w:rsid w:val="00C17749"/>
    <w:rPr>
      <w:b/>
      <w:bCs/>
      <w:smallCaps/>
      <w:color w:val="0F4761" w:themeColor="accent1" w:themeShade="BF"/>
      <w:spacing w:val="5"/>
    </w:rPr>
  </w:style>
  <w:style w:type="paragraph" w:styleId="Header">
    <w:name w:val="header"/>
    <w:basedOn w:val="Normal"/>
    <w:link w:val="HeaderChar"/>
    <w:uiPriority w:val="99"/>
    <w:unhideWhenUsed/>
    <w:rsid w:val="00C17749"/>
    <w:pPr>
      <w:tabs>
        <w:tab w:val="center" w:pos="4680"/>
        <w:tab w:val="right" w:pos="9360"/>
      </w:tabs>
    </w:pPr>
  </w:style>
  <w:style w:type="character" w:styleId="HeaderChar" w:customStyle="1">
    <w:name w:val="Header Char"/>
    <w:basedOn w:val="DefaultParagraphFont"/>
    <w:link w:val="Header"/>
    <w:uiPriority w:val="99"/>
    <w:rsid w:val="00C17749"/>
  </w:style>
  <w:style w:type="paragraph" w:styleId="Footer">
    <w:name w:val="footer"/>
    <w:basedOn w:val="Normal"/>
    <w:link w:val="FooterChar"/>
    <w:uiPriority w:val="99"/>
    <w:unhideWhenUsed/>
    <w:rsid w:val="00C17749"/>
    <w:pPr>
      <w:tabs>
        <w:tab w:val="center" w:pos="4680"/>
        <w:tab w:val="right" w:pos="9360"/>
      </w:tabs>
    </w:pPr>
  </w:style>
  <w:style w:type="character" w:styleId="FooterChar" w:customStyle="1">
    <w:name w:val="Footer Char"/>
    <w:basedOn w:val="DefaultParagraphFont"/>
    <w:link w:val="Footer"/>
    <w:uiPriority w:val="99"/>
    <w:rsid w:val="00C17749"/>
  </w:style>
  <w:style w:type="character" w:styleId="Hyperlink">
    <w:name w:val="Hyperlink"/>
    <w:basedOn w:val="DefaultParagraphFont"/>
    <w:uiPriority w:val="99"/>
    <w:unhideWhenUsed/>
    <w:rsid w:val="00C17749"/>
    <w:rPr>
      <w:color w:val="467886" w:themeColor="hyperlink"/>
      <w:u w:val="single"/>
    </w:rPr>
  </w:style>
  <w:style w:type="paragraph" w:styleId="Revision">
    <w:name w:val="Revision"/>
    <w:hidden/>
    <w:uiPriority w:val="99"/>
    <w:semiHidden/>
    <w:rsid w:val="00962665"/>
    <w:pPr>
      <w:spacing w:after="0" w:line="240" w:lineRule="auto"/>
    </w:pPr>
    <w:rPr>
      <w:rFonts w:ascii="Times New Roman" w:hAnsi="Times New Roman" w:cs="Times New Roman"/>
      <w:kern w:val="0"/>
      <w:sz w:val="22"/>
      <w:szCs w:val="20"/>
      <w14:ligatures w14:val="none"/>
    </w:rPr>
  </w:style>
  <w:style w:type="character" w:styleId="CommentReference">
    <w:name w:val="annotation reference"/>
    <w:basedOn w:val="DefaultParagraphFont"/>
    <w:uiPriority w:val="99"/>
    <w:semiHidden/>
    <w:unhideWhenUsed/>
    <w:rsid w:val="00251EFD"/>
    <w:rPr>
      <w:sz w:val="16"/>
      <w:szCs w:val="16"/>
    </w:rPr>
  </w:style>
  <w:style w:type="paragraph" w:styleId="CommentText">
    <w:name w:val="annotation text"/>
    <w:basedOn w:val="Normal"/>
    <w:link w:val="CommentTextChar"/>
    <w:uiPriority w:val="99"/>
    <w:unhideWhenUsed/>
    <w:rsid w:val="00251EFD"/>
    <w:rPr>
      <w:sz w:val="20"/>
    </w:rPr>
  </w:style>
  <w:style w:type="character" w:styleId="CommentTextChar" w:customStyle="1">
    <w:name w:val="Comment Text Char"/>
    <w:basedOn w:val="DefaultParagraphFont"/>
    <w:link w:val="CommentText"/>
    <w:uiPriority w:val="99"/>
    <w:rsid w:val="00251EFD"/>
    <w:rPr>
      <w:rFonts w:ascii="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51EFD"/>
    <w:rPr>
      <w:b/>
      <w:bCs/>
    </w:rPr>
  </w:style>
  <w:style w:type="character" w:styleId="CommentSubjectChar" w:customStyle="1">
    <w:name w:val="Comment Subject Char"/>
    <w:basedOn w:val="CommentTextChar"/>
    <w:link w:val="CommentSubject"/>
    <w:uiPriority w:val="99"/>
    <w:semiHidden/>
    <w:rsid w:val="00251EFD"/>
    <w:rPr>
      <w:rFonts w:ascii="Times New Roman" w:hAnsi="Times New Roman" w:cs="Times New Roman"/>
      <w:b/>
      <w:bCs/>
      <w:kern w:val="0"/>
      <w:sz w:val="20"/>
      <w:szCs w:val="20"/>
      <w14:ligatures w14:val="none"/>
    </w:rPr>
  </w:style>
  <w:style w:type="character" w:styleId="Mention">
    <w:name w:val="Mention"/>
    <w:basedOn w:val="DefaultParagraphFont"/>
    <w:uiPriority w:val="99"/>
    <w:unhideWhenUsed/>
    <w:rsid w:val="00251EF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8/08/relationships/commentsExtensible" Target="commentsExtensible.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image" Target="media/image1.pn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customXml" Target="ink/ink1.xml" Id="rId15" /><Relationship Type="http://schemas.openxmlformats.org/officeDocument/2006/relationships/comments" Target="comments.xml" Id="rId10"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gkazanjian@recology.com" TargetMode="External" Id="rId14" /><Relationship Type="http://schemas.microsoft.com/office/2020/10/relationships/intelligence" Target="intelligence2.xml" Id="R81c74af54363431f"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5-20T17:25:13.921"/>
    </inkml:context>
    <inkml:brush xml:id="br0">
      <inkml:brushProperty name="width" value="0.05" units="cm"/>
      <inkml:brushProperty name="height" value="0.05" units="cm"/>
      <inkml:brushProperty name="ignorePressure" value="1"/>
    </inkml:brush>
  </inkml:definitions>
  <inkml:trace contextRef="#ctx0" brushRef="#br0">4 595,'0'0,"0"1,-1-1,1 1,0-1,-1 1,1 0,0-1,-1 1,1-1,0 1,0-1,0 1,0 0,-1-1,1 1,0 0,0-1,0 1,0-1,0 1,1 0,-1-1,0 1,0 0,0-1,1 1,-1-1,0 1,0-1,1 1,-1 0,0-1,1 1,-1-1,1 0,-1 1,1-1,-1 1,1-1,-1 0,1 1,-1-1,1 0,0 1,1-1,-1 0,1 0,0 1,-1-1,1 0,-1-1,1 1,0 0,-1 0,1-1,-1 1,1-1,-1 1,1-1,-1 0,0 0,3-1,167-138,-163 134,0-1,-1 0,0 0,0-1,-1 0,0 0,0-1,-1 0,0 1,0-2,4-14,3-13,13-67,-9 32,-8 41,17-78,-26 108,1 1,0 0,-1-1,1 1,0-1,-1 1,1-1,0 1,-1 0,1-1,-1 1,1 0,-1-1,1 1,-1 0,1 0,-1-1,1 1,-1 0,1 0,-1 0,1 0,-1 0,1 0,-1 0,0 0,1 0,-1 0,1 0,-1 0,1 0,-1 0,1 0,-1 1,1-1,-1 0,1 0,-2 1,1-1,-1 1,0-1,1 1,-1-1,0 1,1 0,-1-1,1 1,0 0,-1 0,1 0,-1 0,1 0,-2 2,-37 38,36-32,0-1,0 1,1 0,0 0,1 0,0 1,1 0,-1 11,1-18,2 0,-1 0,0 1,1-1,-1 0,1 0,0 0,0 0,0-1,1 1,-1 0,1 0,-1-1,1 1,0-1,0 1,0-1,0 0,1 0,-1 0,0 0,1 0,0 0,-1-1,1 1,0-1,0 0,4 2,5 1,0 0,0-1,1 0,-1-1,1-1,-1 0,1 0,0-1,-1-1,1 0,0-1,14-3,-19 2,-1 1,0-1,0-1,0 1,0-1,-1 0,0-1,1 0,-2 0,1 0,0 0,-1-1,0 0,-1 0,1 0,-1-1,0 0,-1 0,1 0,-1 0,2-10,-3 9,12-49,-18 92,-1 1,-2-1,-2-1,-20 53,-67 130,86-198,-58 105,60-112,0-1,0 0,-2 0,1 0,-1-1,0-1,-20 14,30-22,-1-1,1 1,-1-1,1 1,-1-1,0 1,0-1,1 1,-1-1,0 0,0 1,1-1,-1 0,0 0,0 0,1 1,-1-1,0 0,0 0,0 0,0 0,1 0,-1-1,0 1,0 0,0 0,1 0,-1-1,0 1,0 0,1-1,-1 1,0-1,1 1,-1-1,0 1,1-1,-1 1,1-1,-1 0,1 1,-1-1,1 0,-1 1,1-1,0 0,-1 0,1 0,0 1,0-1,0 0,-1 0,1 0,0 0,-1-61,2 34,-3 20,0 0,-1 0,0 0,0 1,-1-1,0 1,0-1,-1 0,-7-7,8 10,0 0,0 0,0-1,1 1,0-1,0 0,0 0,0 0,1 0,0 0,1-1,-1 1,1-1,0 1,1-11,4 21,0 0,0 0,0-1,1 0,0 1,7 2,111 48,-74-34,75 42,-123-61,0 0,-1-1,1 0,0 1,-1-1,1 1,0-1,0 0,-1 1,1-1,0 0,0 0,-1 0,1 0,0 0,0 0,0 0,0 0,-1 0,1 0,0 0,0 0,0 0,-1-1,1 1,0 0,0-1,-1 1,1 0,0-1,-1 1,1-1,-1 1,1-1,0 0,-1 1,1-1,-1 1,1-1,-1 0,0 0,1 1,-1-1,1-1,18-18,33-20,-37 26,1 2,1 0,0 1,1 0,27-11,-40 21,-5 3,-13 8,-22 11,24-15,1 0,-1 0,1 1,0 1,1 0,0 0,0 0,1 1,0 1,0 0,1 0,1 1,0-1,0 1,1 0,0 0,-5 17,10-27,0 0,-1 0,1 0,0-1,-1 1,1 0,0 0,0 0,0 0,0 0,0 0,0-1,0 1,0 0,0 0,0 0,1 0,-1 0,0-1,0 1,1 0,-1 0,1 0,-1-1,1 1,-1 0,1-1,-1 1,1 0,0-1,-1 1,1-1,1 2,0-2,0 1,0-1,1 0,-1 0,0 0,1 0,-1 0,0-1,0 1,1-1,-1 1,3-2,61-30,-46 19,-2-2,0 0,-1-1,0 0,-1-3,14-18,6-6,-38 49,0-1,0 1,0 0,1 0,0 0,0 0,1 0,0 0,0 0,0 0,1 7,0-13,0 1,-1-1,1 0,0 1,0-1,-1 0,1 0,0 1,0-1,-1 0,1 0,0 0,0 0,0 0,-1 0,1 0,0 0,0-1,-1 1,1 0,0 0,0-1,-1 1,1 0,0-1,-1 1,1-1,0 1,0-2,29-17,-23 15,15-9,-11 4,1 1,1 1,-1 0,1 1,1 0,-1 1,1 0,22-4,-35 9,-1 0,1 0,-1 0,1 0,-1-1,1 1,0 0,-1 0,1 0,-1 0,1 0,-1 0,1 0,-1 1,1-1,-1 0,1 0,-1 0,1 0,-1 1,1-1,-1 0,1 0,-1 1,1-1,-1 0,0 1,1-1,-1 1,1-1,-1 0,0 1,0-1,1 1,-1-1,0 1,0-1,1 1,-1-1,0 1,0-1,0 1,0-1,0 1,0-1,0 1,0 0,0-1,0 1,0-1,0 1,0-1,-1 2,0-1,1 1,-1-1,0 1,0-1,0 1,0-1,0 0,0 1,0-1,0 0,0 0,-1 0,1 0,-1 0,1 0,-3 1,-2 0,0 1,1 0,0 0,-1 1,1-1,0 1,1 0,-1 1,1-1,0 1,0 0,0 0,-6 10,5-4,0-1,0 0,1 0,0 1,1 0,0 0,-2 11,6-21,-1 0,0 0,0 0,0 0,0 0,1 0,-1 0,0 0,1 0,-1 0,1 0,-1 0,1-1,0 1,-1 0,1 0,0 0,-1-1,1 1,0 0,0-1,0 1,0-1,0 1,0-1,-1 1,1-1,0 0,0 1,0-1,0 0,1 0,-1 0,0 0,0 0,0 0,0 0,0 0,0 0,0 0,2-1,57-8,-47 6,13-1,0-1,-1-2,38-14,-57 19,0 0,0-1,0 0,-1 0,1-1,-1 1,1-1,-1 0,-1-1,1 1,0-1,-1 0,0 0,0 0,-1 0,1-2,-1 1,0 0,3-11,-5 15,-1 0,1 1,-1-1,0 0,0 0,0 0,0 0,0 1,0-1,-1 0,1 0,0 1,-1-1,0 0,1 0,-1 1,0-1,0 1,0-1,0 1,0-1,0 1,0-1,0 1,-1 0,1 0,0 0,-1-1,1 1,-1 1,0-1,1 0,-1 0,0 1,1-1,-1 1,0-1,0 1,1 0,-1-1,0 1,0 0,0 0,1 0,-5 1,0-1,-1 1,1-1,-1 1,1 1,0-1,-1 1,1 0,0 0,0 1,0 0,-10 7,11-6,1 0,0 1,1-1,-1 1,1 0,-1 0,2 1,-1-1,1 1,-1-1,1 2,1-1,-1 0,1 0,0 0,1 0,-1 0,1 0,1 12,0-15,-1 0,1 1,-1-1,1 0,0 0,1 0,-1 0,0 0,1 0,0 0,-1-1,1 1,0 0,1-1,-1 0,0 1,1-1,-1 0,1 0,-1 0,1-1,0 1,0-1,0 1,0-1,0 0,0 0,1 0,-1-1,0 1,0-1,0 1,1-1,-1 0,0-1,1 1,3-1,4-2,0 1,0-2,0 1,-1-1,1-1,-1 0,0 0,-1-1,1-1,-1 1,15-15,-13 10,0-1,0 1,-1-2,-1 0,0-1,-1 1,13-28,-18 66,-3-10,1-1,0 2,1-2,1 0,6 20,-9-34,1 0,-1 0,0 0,1 0,-1 1,1-1,-1 0,1 0,-1 0,1 0,-1 0,1 0,-1 0,1 0,-1-1,0 1,1 0,-1 0,1 0,-1 0,1-1,-1 1,0 0,1 0,-1-1,1 1,-1 0,0-1,1 1,-1 0,0-1,0 1,1-1,-1 1,0 0,0-1,0 1,1-1,-1 1,0-1,17-25,-14 21,6-7,31-44,-37 53,-1 0,1 0,-1 1,1 0,0-1,0 1,0 0,0 0,0 1,0-1,1 1,-1-1,1 1,-1 0,6-1,-6 3,0-1,0 1,0 0,0 0,0 0,0 1,0-1,0 1,0-1,-1 1,1 0,-1 0,1 0,-1 0,0 1,0-1,0 1,0-1,0 1,2 4,31 62,-34-66,6 15,10 14,-16-31,0 0,0 0,1-1,-1 1,0 0,1-1,-1 1,1 0,-1-1,0 0,1 1,-1-1,1 0,-1 0,1 0,-1 0,1 0,-1 0,1 0,-1 0,1-1,2 0,20 0,-27 0,-2 0,5 6,2-5</inkml:trace>
  <inkml:trace contextRef="#ctx0" brushRef="#br0" timeOffset="2157.19">2096 36,'-5'8,"0"0,1 0,0 1,0-1,1 1,0 0,0 0,1 1,0 0,-1 14,0-4,-77 546,79-548,1-15</inkml:trace>
  <inkml:trace contextRef="#ctx0" brushRef="#br0" timeOffset="2792.75">2138 421,'26'-35,"1"2,2 0,42-36,-32 32,-25 24</inkml:trace>
  <inkml:trace contextRef="#ctx0" brushRef="#br0" timeOffset="12778.37">2060 481,'1'5,"4"11,1 1,0-1,1 0,0 0,18 25,-22-37,0 0,0-1,0 0,1 1,-1-2,1 1,0 0,0-1,0 1,0-1,1 0,-1-1,1 1,-1-1,1 0,-1 0,1 0,0 0,-1-1,1 0,0 0,-1 0,1-1,0 1,-1-1,7-2,-5 0,1 1,-1-1,1-1,-1 1,0-1,0 0,-1 0,1-1,-1 0,9-9,-9 7,1 1,0 1,0-1,1 1,0-1,0 2,0-1,10-3,28-4,-56 17,0-1,0 2,1 0,-1 0,1 1,1 0,-1 1,1 0,1 0,-1 1,1 0,1 0,0 1,0 0,1 0,-6 12,11-20,1 0,-1 0,1 0,0 0,-1 0,1 0,0 0,0 0,0 0,0 0,1 0,-1 0,0 0,1 0,0 0,-1 0,1 0,0 0,0 0,0 0,0-1,0 1,0 0,1-1,-1 1,1-1,-1 1,1-1,-1 0,1 0,0 0,-1 0,1 0,0 0,0 0,0 0,0-1,0 1,0-1,0 1,0-1,0 0,0 0,0 0,0 0,0 0,0 0,0-1,0 1,0-1,0 1,0-1,0 0,0 0,0 0,-1 0,1 0,0 0,0 0,-1-1,1 1,-1 0,0-1,1 1,-1-1,0 0,1-1,38-50,-31 43,0-1,-1 1,-1-1,12-23,-6 10,-4 9,-21 30,0 3,1 0,1 0,0 1,-12 34,23-34,0-18,-1 0,1 0,-1 1,0-1,0 0,1 1,-1-1,0 0,0 1,0-1,0 0,-1 1,1-1,0 0,-1 3,0-3,-10 38,11-38,0-1,0 1,0-1,0 1,0-1,0 1,0-1,0 1,0-1,0 1,0-1,0 1,1-1,-1 1,0-1,0 1,0-1,1 0,-1 1,0-1,1 1,-1-1,0 0,1 1,-1-1,1 1,0-1,0 0,0 0,0 0,0 0,1 0,-1 0,0-1,0 1,0 0,0 0,0-1,0 1,0-1,0 1,0-1,0 0,1 0,12-9,-2 0,1-1,-1 0,-1-1,19-26,-18 23,0 0,2 1,25-23,-6 19,-33 18,1 0,-1 0,0 0,1 0,-1 0,0 0,1 0,-1 0,0 0,1 0,-1 0,0 0,1 0,-1 0,0 0,1 0,-1 0,0 0,1 0,-1 1,0-1,1 0,-1 0,0 0,0 1,1-1,-1 0,0 0,0 1,0-1,1 0,-1 1,-3 20,-2-7,-2 0,0-1,-10 15,-18 36,10-17,19-35,7-13,53-63,-50 60,0 0,0 1,1-1,-1 1,1 0,-1 0,1 0,0 1,0 0,0 0,1 0,-1 1,6-2,-10 3,0 0,0 0,0 0,0 0,0 0,0 0,0 0,0 0,0 0,0 0,0 1,0-1,0 0,0 1,0-1,0 1,-1-1,1 1,0 0,0-1,0 1,-1 0,1-1,0 1,-1 0,2 1,-1 0,-1 0,1 0,-1 1,1-1,-1 0,0 0,0 0,0 0,0 0,0 1,0-1,-1 2,-1 3,1 0,-1-1,-1 1,1-1,-1 0,0 1,-5 6,-9 9,-52 63,61-77,-1 1,1-1,-1 0,-1-1,0 0,-18 9,46-40,218-160,-70 52,-165 131,1-1,1-1,-1 1,1 0,0 1,0-1,0 0,0 1,0-1,0 1,0 0,0 0,0 1,5-2,-47 14,36-12,0 1,0 0,0 0,1 0,-1 1,0-1,0 1,1 0,-1-1,1 1,-1 0,1 1,0-1,0 0,0 1,0-1,0 1,0-1,1 1,0 0,-1 0,1 0,0 0,0 0,-1 5,-1 1,1 0,-1 0,2 1,-1-1,1 1,0-1,2 15,-1-22,1 1,0 0,-1 0,1-1,1 1,-1-1,0 1,1 0,-1-1,1 1,-1-1,1 0,0 0,0 0,0 0,1 0,-1-1,0 1,0-1,1 1,-1-1,1 0,0 0,-1 0,1 0,0-1,-1 1,1-1,0 1,0-1,2 0,-1 0,-1 0,0 0,0 0,0 0,0-1,1 0,-1 1,0-1,0 0,0 0,0-1,0 1,-1-1,1 1,0-1,-1 0,1 0,-1 0,1 0,-1-1,0 1,0-1,0 1,-1-2,1 1,0 0,1-3,8-26,-2 8,-1 0,6-36,-19 88,2-16,0 0,1 1,1-1,-1 16,3-25,-1 0,0 0,0 0,1 0,0 0,0 1,0-1,0 0,0-1,0 1,1 0,-1 0,1-1,0 1,0 0,0-1,0 1,0 0,1-1,-1 0,1 0,3 1,-5-2,1-1,-1 0,1 0,-1 0,1 0,-1-1,1 1,-1 0,1-1,-1 1,1-1,-1 1,0-1,1 0,-1 0,0 1,1-1,-1 0,0 0,0 0,0 0,0 0,0-1,0 0,0 1,0 0,-1-1,2-1,23-41,-7 0,-13 30,0 0,1 1,0 0,1 0,0 1,13-17,-20 28,1 1,-1 0,0 0,0 0,0 0,0 0,0-1,0 1,1 0,-1 0,0 0,0 0,0 0,1 0,-1 0,0 0,0-1,0 1,0 0,1 0,-1 0,0 0,0 0,0 0,1 0,-1 0,0 0,0 0,0 0,1 0,-1 1,0-1,0 0,0 0,1 0,-1 0,0 0,0 0,0 0,0 0,1 1,-1-1,0 0,0 0,0 0,0 0,0 0,0 1,0-1,1 0,4 17,-2 16,-10 10,5-35,0-1,1 0,0 1,0-1,1 1,-1-1,3 10,0-20,0 1,1-1,-1 1,0-1,0 0,-1 0,1 0,1-5,4-9,12-27,-18 42,-1 0,1 0,0 0,0 1,1-1,-1 0,0 1,0-1,1 1,-1 0,1-1,-1 1,1 0,0 0,-1 0,1 0,3-1,-5 2,1 0,0 0,-1 1,1-1,0 0,-1 0,1 1,-1-1,1 0,0 1,-1-1,1 1,-1-1,1 0,-1 1,1-1,-1 1,0-1,1 1,-1 0,0-1,1 1,-1-1,0 1,0 0,1-1,-1 1,0 0,0-1,0 1,0 0,0-1,0 1,0 0,0 1,0 33,0-24,0-1,0-1,1 0,1 0,-1 0,2 0,-1-1,1 1,6 11,-8-18,0 2,0-2,1 0,0 0,-1 0,1-1,0 1,0 0,0-1,0 1,0-1,0 1,0-1,0 0,1 0,-1 0,0 0,1-1,-1 1,1-1,-1 1,1-1,-1 0,1 0,-1 0,1 0,-1 0,1-1,-1 1,0-1,1 1,-1-1,1 0,2-2,4-1,-1 0,1-1,-1-1,0 0,-1 0,1 0,-1-1,-1 0,1 0,-1 0,0-1,-1 0,6-11,-2 3,0-1,-1-1,-2 1,1-1,6-35,-12 31,-9 35,-9 35,-2 40,-19 64,32-132,-1-1,-2 0,1 0,-2-1,-17 25,27-43,-1 1,1-1,0 0,0 1,-1-1,1 1,0-1,-1 1,1-1,-1 0,1 1,0-1,-1 0,1 1,-1-1,1 0,-1 0,1 0,-1 1,1-1,-1 0,1 0,-1 0,1 0,-1 0,1 0,-1 0,1 0,-1 0,0 0,1 0,-1 0,1 0,-1-1,1 1,-1 0,1 0,-1 0,1-1,-1 1,-14-26,13 22,1 0,0-1,0 1,0 0,0-1,1 1,0 0,0-1,0 1,0 0,1-1,-1 1,3-8,-1 11,0-1,0 0,1 1,-1 0,0-1,0 1,1 0,-1 0,0 0,1 0,-1 1,1-1,-1 1,1-1,0 1,-1 0,1 0,-1 0,1 0,-1 1,1-1,2 2,30-3,-18-3,0-2,-1 1,1-2,-1-1,-1 0,16-10,84-69,-111 84,0 0,0-1,0 0,-1 0,0 0,1 0,-1 0,-1-1,1 1,-1-1,0 0,3-10,-2 4,-2-1,0 0,0 1,-2-17,1-1,-1 15,-2 27,-2 11,2-12,0 0,1 0,0 0,1 0,1 0,0 18,0-25,1-1,-1 0,1 1,0-1,0 0,0 0,0 0,1 0,-1 0,1 0,0 0,0 0,1-1,-1 1,1-1,0 1,0-1,0 0,0 0,0-1,7 5,-9-7,0 1,1-1,-1 0,0 0,0 2,1-2,-1 0,0 0,1 0,-1 0,0-2,1 2,-1 0,0-1,0 1,1 0,-1-1,0 1,0-1,0 0,1 1,-1-1,0 0,0 0,0 0,0 0,-1 0,1 0,1-1,26-41,-17 25,1 1,1 1,1 0,1 0,25-20,-30 28,0 1,1 0,0 1,0 0,0 0,1 1,-1 0,1 1,13-2,-24 8,-10 5,-19 13,19-14,-7 5,2 0,-1 1,1 0,1 1,-12 16,22-25,0-1,0 1,0 0,1 0,-1 0,1 1,0-1,0 1,1-1,-1 1,1 0,0-1,0 1,1 0,-1 0,1 0,0-1,0 1,1 0,0 0,-1 0,2-1,-1 1,3 8,-3-12,-1 0,0 0,1-1,-1 1,1 0,-1-1,1 1,-1 0,1-1,-1 1,1-1,-1 1,1-1,0 1,-1-1,1 1,0-1,-1 0,1 1,0-1,0 0,-1 0,1 0,0 1,0-1,-1 0,1 0,1 0,21-13,15-34,-36 44,38-60,-29 43,2 0,0 1,1 0,30-31,-67 106,16-38,0 0,2 0,0 0,1 1,0 0,2 0,1 0,0 0,1 1,1-1,5 30,-6-48,0-1,0 0,0 1,0-1,0 1,0-1,0 1,0-1,0 0,0 1,0-1,0 1,1-1,-1 0,0 1,0-1,0 1,1-1,-1 0,0 1,0-1,1 0,-1 1,0-1,1 0,-1 0,0 1,1-1,-1 0,1 0,-1 0,0 1,1-1,9-12,9-38,-14 36,-1 3,42-96,-41 97,1 1,-1-1,1 1,1 1,0-1,0 1,1 0,11-9,-19 17,0 0,1-1,-1 1,0 0,1 0,-1-1,0 1,1 0,-1 0,1 0,-1-1,1 1,-1 0,0 0,1 0,-1 0,1 0,-1 0,1 0,-1 0,0 0,1 0,-1 0,1 0,-1 0,1 0,-1 1,0-1,1 0,-1 0,1 0,-1 1,0-1,1 0,-1 0,0 1,1-1,-1 0,1 1,5 23,-5 26,-5-23,3-21,11-23,-9 15,2-4,0 0,1 0,0 0,0 1,0 0,1 0,-1 0,1 0,1 1,-1 0,7-4,-10 7,0 0,0 0,0 1,0-1,0 1,0-1,0 1,0 0,0 0,0 0,1 0,-1 0,0 0,0 0,0 1,0-1,0 1,0 0,0-1,0 1,0 0,0 0,0 0,0 1,0-1,-1 0,1 1,-1-1,1 1,-1-1,1 1,-1 0,0 0,0 0,0-1,0 1,2 4,7 15,-1 0,9 30,-12-30,1-1,19 36,-26-56,0 0,0 0,0 0,0 0,0 0,0 0,0 0,0 0,0-1,0 1,0 0,0 0,1 0,-1 0,0 0,0 0,0 0,0 0,0 0,0 0,0 0,0 0,0 0,-1-4</inkml:trace>
  <inkml:trace contextRef="#ctx0" brushRef="#br0" timeOffset="13626.72">3510 365,'0'0,"2"4,1 1</inkml:trace>
  <inkml:trace contextRef="#ctx0" brushRef="#br0" timeOffset="14013.89">3737 343,'0'0,"2"1,1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31043ff90324645b44c9b4aadd83105 xmlns="221f4518-a724-4764-8bf6-6f2570806e34">
      <Terms xmlns="http://schemas.microsoft.com/office/infopath/2007/PartnerControls"/>
    </a31043ff90324645b44c9b4aadd83105>
    <a4bbd6369d884a5792b4bac05103a66f xmlns="221f4518-a724-4764-8bf6-6f2570806e34">
      <Terms xmlns="http://schemas.microsoft.com/office/infopath/2007/PartnerControls"/>
    </a4bbd6369d884a5792b4bac05103a66f>
    <lda3a07dfdce4094ae0e6c2ef2ab957b xmlns="221f4518-a724-4764-8bf6-6f2570806e34">
      <Terms xmlns="http://schemas.microsoft.com/office/infopath/2007/PartnerControls"/>
    </lda3a07dfdce4094ae0e6c2ef2ab957b>
    <DocumentSetDescription xmlns="http://schemas.microsoft.com/sharepoint/v3" xsi:nil="true"/>
    <f69a6802ca2144fb9f70d402e882d584 xmlns="221f4518-a724-4764-8bf6-6f2570806e34">
      <Terms xmlns="http://schemas.microsoft.com/office/infopath/2007/PartnerControls"/>
    </f69a6802ca2144fb9f70d402e882d584>
    <TaxCatchAll xmlns="221f4518-a724-4764-8bf6-6f2570806e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B6EE9974E198488AFD24BCE8F5FA84" ma:contentTypeVersion="14" ma:contentTypeDescription="Create a new document." ma:contentTypeScope="" ma:versionID="85d6b334cd110a25308583771167d18d">
  <xsd:schema xmlns:xsd="http://www.w3.org/2001/XMLSchema" xmlns:xs="http://www.w3.org/2001/XMLSchema" xmlns:p="http://schemas.microsoft.com/office/2006/metadata/properties" xmlns:ns1="http://schemas.microsoft.com/sharepoint/v3" xmlns:ns2="221f4518-a724-4764-8bf6-6f2570806e34" xmlns:ns3="03161b69-69a5-4c91-93ec-c9cdc007ff20" targetNamespace="http://schemas.microsoft.com/office/2006/metadata/properties" ma:root="true" ma:fieldsID="cd98b3c508b0824bc3d7ca1c6b5555fd" ns1:_="" ns2:_="" ns3:_="">
    <xsd:import namespace="http://schemas.microsoft.com/sharepoint/v3"/>
    <xsd:import namespace="221f4518-a724-4764-8bf6-6f2570806e34"/>
    <xsd:import namespace="03161b69-69a5-4c91-93ec-c9cdc007ff20"/>
    <xsd:element name="properties">
      <xsd:complexType>
        <xsd:sequence>
          <xsd:element name="documentManagement">
            <xsd:complexType>
              <xsd:all>
                <xsd:element ref="ns2:lda3a07dfdce4094ae0e6c2ef2ab957b" minOccurs="0"/>
                <xsd:element ref="ns2:TaxCatchAll" minOccurs="0"/>
                <xsd:element ref="ns2:TaxCatchAllLabel" minOccurs="0"/>
                <xsd:element ref="ns2:a31043ff90324645b44c9b4aadd83105" minOccurs="0"/>
                <xsd:element ref="ns1:DocumentSetDescription" minOccurs="0"/>
                <xsd:element ref="ns2:f69a6802ca2144fb9f70d402e882d584" minOccurs="0"/>
                <xsd:element ref="ns2:a4bbd6369d884a5792b4bac05103a66f"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4"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1f4518-a724-4764-8bf6-6f2570806e34" elementFormDefault="qualified">
    <xsd:import namespace="http://schemas.microsoft.com/office/2006/documentManagement/types"/>
    <xsd:import namespace="http://schemas.microsoft.com/office/infopath/2007/PartnerControls"/>
    <xsd:element name="lda3a07dfdce4094ae0e6c2ef2ab957b" ma:index="8" nillable="true" ma:taxonomy="true" ma:internalName="lda3a07dfdce4094ae0e6c2ef2ab957b" ma:taxonomyFieldName="State" ma:displayName="State" ma:default="" ma:fieldId="{5da3a07d-fdce-4094-ae0e-6c2ef2ab957b}" ma:sspId="59f421b6-0684-4dd1-8a03-33be8e50777b" ma:termSetId="2e8308e6-3197-4493-9f61-06f5e348e50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72b863-495e-4368-919c-9239501dad38}" ma:internalName="TaxCatchAll" ma:showField="CatchAllData" ma:web="221f4518-a724-4764-8bf6-6f2570806e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72b863-495e-4368-919c-9239501dad38}" ma:internalName="TaxCatchAllLabel" ma:readOnly="true" ma:showField="CatchAllDataLabel" ma:web="221f4518-a724-4764-8bf6-6f2570806e34">
      <xsd:complexType>
        <xsd:complexContent>
          <xsd:extension base="dms:MultiChoiceLookup">
            <xsd:sequence>
              <xsd:element name="Value" type="dms:Lookup" maxOccurs="unbounded" minOccurs="0" nillable="true"/>
            </xsd:sequence>
          </xsd:extension>
        </xsd:complexContent>
      </xsd:complexType>
    </xsd:element>
    <xsd:element name="a31043ff90324645b44c9b4aadd83105" ma:index="12" nillable="true" ma:taxonomy="true" ma:internalName="a31043ff90324645b44c9b4aadd83105" ma:taxonomyFieldName="Regulation_x0020_Status" ma:displayName="Regulation Status" ma:default="" ma:fieldId="{a31043ff-9032-4645-b44c-9b4aadd83105}" ma:sspId="59f421b6-0684-4dd1-8a03-33be8e50777b" ma:termSetId="6c73a86c-0d20-4764-b93d-48ec373105c0" ma:anchorId="00000000-0000-0000-0000-000000000000" ma:open="false" ma:isKeyword="false">
      <xsd:complexType>
        <xsd:sequence>
          <xsd:element ref="pc:Terms" minOccurs="0" maxOccurs="1"/>
        </xsd:sequence>
      </xsd:complexType>
    </xsd:element>
    <xsd:element name="f69a6802ca2144fb9f70d402e882d584" ma:index="15" nillable="true" ma:taxonomy="true" ma:internalName="f69a6802ca2144fb9f70d402e882d584" ma:taxonomyFieldName="Agency" ma:displayName="Agency" ma:default="" ma:fieldId="{f69a6802-ca21-44fb-9f70-d402e882d584}" ma:sspId="59f421b6-0684-4dd1-8a03-33be8e50777b" ma:termSetId="8d5a497e-ee51-4275-b18e-9d3259b62e16" ma:anchorId="00000000-0000-0000-0000-000000000000" ma:open="true" ma:isKeyword="false">
      <xsd:complexType>
        <xsd:sequence>
          <xsd:element ref="pc:Terms" minOccurs="0" maxOccurs="1"/>
        </xsd:sequence>
      </xsd:complexType>
    </xsd:element>
    <xsd:element name="a4bbd6369d884a5792b4bac05103a66f" ma:index="17" nillable="true" ma:taxonomy="true" ma:internalName="a4bbd6369d884a5792b4bac05103a66f" ma:taxonomyFieldName="Topic" ma:displayName="Topic" ma:default="" ma:fieldId="{a4bbd636-9d88-4a57-92b4-bac05103a66f}" ma:taxonomyMulti="true" ma:sspId="59f421b6-0684-4dd1-8a03-33be8e50777b" ma:termSetId="8c1d56ab-bed9-4f6f-8c84-bec5e65d5934" ma:anchorId="00000000-0000-0000-0000-000000000000" ma:open="true" ma:isKeyword="fals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161b69-69a5-4c91-93ec-c9cdc007ff2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6443C1-95BB-4A40-8277-7EEDFEB8C697}">
  <ds:schemaRefs>
    <ds:schemaRef ds:uri="http://schemas.microsoft.com/sharepoint/v3/contenttype/forms"/>
  </ds:schemaRefs>
</ds:datastoreItem>
</file>

<file path=customXml/itemProps2.xml><?xml version="1.0" encoding="utf-8"?>
<ds:datastoreItem xmlns:ds="http://schemas.openxmlformats.org/officeDocument/2006/customXml" ds:itemID="{A664DCC1-BB60-4F81-95BD-61A86B963B75}">
  <ds:schemaRefs>
    <ds:schemaRef ds:uri="http://schemas.microsoft.com/office/2006/metadata/properties"/>
    <ds:schemaRef ds:uri="http://schemas.microsoft.com/office/infopath/2007/PartnerControls"/>
    <ds:schemaRef ds:uri="221f4518-a724-4764-8bf6-6f2570806e34"/>
    <ds:schemaRef ds:uri="http://schemas.microsoft.com/sharepoint/v3"/>
  </ds:schemaRefs>
</ds:datastoreItem>
</file>

<file path=customXml/itemProps3.xml><?xml version="1.0" encoding="utf-8"?>
<ds:datastoreItem xmlns:ds="http://schemas.openxmlformats.org/officeDocument/2006/customXml" ds:itemID="{D398CA45-3355-4075-8A73-DCA93D59C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1f4518-a724-4764-8bf6-6f2570806e34"/>
    <ds:schemaRef ds:uri="03161b69-69a5-4c91-93ec-c9cdc007f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Garen Kazanjian</dc:creator>
  <keywords/>
  <dc:description/>
  <lastModifiedBy>Robin Stafford</lastModifiedBy>
  <revision>99</revision>
  <dcterms:created xsi:type="dcterms:W3CDTF">2025-01-15T18:34:00.0000000Z</dcterms:created>
  <dcterms:modified xsi:type="dcterms:W3CDTF">2025-01-24T19:00:47.2579228Z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0x0101002BB6EE9974E198488AFD24BCE8F5FA84</vt:lpwstr>
  </property>
  <property fmtid="{D5CDD505-2E9C-101B-9397-08002B2CF9AE}" pid="3" name="Topic">
    <vt:lpwstr/>
  </property>
  <property fmtid="{D5CDD505-2E9C-101B-9397-08002B2CF9AE}" pid="4" name="Agency">
    <vt:lpwstr/>
  </property>
  <property fmtid="{D5CDD505-2E9C-101B-9397-08002B2CF9AE}" pid="5" name="Regulation Status">
    <vt:lpwstr/>
  </property>
  <property fmtid="{D5CDD505-2E9C-101B-9397-08002B2CF9AE}" pid="6" name="State">
    <vt:lpwstr/>
  </property>
  <property fmtid="{D5CDD505-2E9C-101B-9397-08002B2CF9AE}" pid="7" name="Regulation_x0020_Status">
    <vt:lpwstr/>
  </property>
</Properties>
</file>