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713B7" w14:textId="4F2FDA69" w:rsidR="005810AE" w:rsidRPr="00BC2016" w:rsidRDefault="00572A57">
      <w:pPr>
        <w:rPr>
          <w:b/>
          <w:bCs/>
        </w:rPr>
      </w:pPr>
      <w:r w:rsidRPr="00BC2016">
        <w:rPr>
          <w:b/>
          <w:bCs/>
        </w:rPr>
        <w:t>Reflections on CARB workshop</w:t>
      </w:r>
    </w:p>
    <w:p w14:paraId="60452F3B" w14:textId="6F38D02C" w:rsidR="00572A57" w:rsidRPr="00BC2016" w:rsidRDefault="004E0E6F">
      <w:pPr>
        <w:rPr>
          <w:b/>
          <w:bCs/>
        </w:rPr>
      </w:pPr>
      <w:r w:rsidRPr="00BC2016">
        <w:rPr>
          <w:b/>
          <w:bCs/>
        </w:rPr>
        <w:t>Environmental Product Declaration (</w:t>
      </w:r>
      <w:r w:rsidR="00572A57" w:rsidRPr="00BC2016">
        <w:rPr>
          <w:b/>
          <w:bCs/>
        </w:rPr>
        <w:t>EPD</w:t>
      </w:r>
      <w:r w:rsidRPr="00BC2016">
        <w:rPr>
          <w:b/>
          <w:bCs/>
        </w:rPr>
        <w:t>)</w:t>
      </w:r>
      <w:r w:rsidR="00572A57" w:rsidRPr="00BC2016">
        <w:rPr>
          <w:b/>
          <w:bCs/>
        </w:rPr>
        <w:t xml:space="preserve"> usage </w:t>
      </w:r>
    </w:p>
    <w:p w14:paraId="4DD29818" w14:textId="32E02AD9" w:rsidR="00572A57" w:rsidRDefault="00572A57">
      <w:r>
        <w:t>- comparability of EPDs is key, EPDs are designed to be descriptive by nature</w:t>
      </w:r>
      <w:r w:rsidR="00BC2016">
        <w:t>.</w:t>
      </w:r>
      <w:r>
        <w:t xml:space="preserve"> </w:t>
      </w:r>
      <w:r w:rsidR="00BC2016">
        <w:t>T</w:t>
      </w:r>
      <w:r>
        <w:t>hey aren’t intended to infer changes of environmental impacts that result from changes in demand which can occur from systematic or widespread changes of material demand</w:t>
      </w:r>
    </w:p>
    <w:p w14:paraId="6A1DEDFC" w14:textId="6B27551C" w:rsidR="00572A57" w:rsidRDefault="00572A57">
      <w:r>
        <w:t xml:space="preserve">- EPDs report impacts using single-point deterministic values and do not convey uncertainty clearly nor consistently. There are a few methods for assigning uncertainty to EPDs based on the information that they include </w:t>
      </w:r>
      <w:r w:rsidR="004E0E6F">
        <w:fldChar w:fldCharType="begin"/>
      </w:r>
      <w:r w:rsidR="004E0E6F">
        <w:instrText xml:space="preserve"> ADDIN ZOTERO_ITEM CSL_CITATION {"citationID":"c81qh4dX","properties":{"formattedCitation":"(Waldman et al., 2020)","plainCitation":"(Waldman et al., 2020)","noteIndex":0},"citationItems":[{"id":12891,"uris":["http://zotero.org/users/10979572/items/AN3I33HN"],"itemData":{"id":12891,"type":"article-journal","abstract":"Embodied carbon constitutes a significant portion of a building’s greenhouse gas (GHG) emissions and is a key challenge for the construction and real estate sectors. Embodied carbon includes construction product manufacturing, building construction, material replacement and end of life. During the specification and procurement stage, designers and contractors have the opportunity to prioritize products with lower carbon footprints. Environmental product declarations (EPDs) are a growing source of environmental data in the construction products market, and are increasingly being used for (1) environmental performance assessment of buildings and (2) product comparison for procurement decisions during the later stages of building design. An obstacle to identifying and purchasing lower embodied carbon products is a lack of data quality and the transparency of EPDs. However, EPDs vary widely in their data quality and specificity, which can lead to inaccurate and misleading comparisons. A new method is presented to account quantitatively for estimates of variation in underlying data specificity in EPDs to enable fairer comparisons between EPDs and to motivate the reporting of actual variability and uncertainty in EPDs. The application of this approach can help purchasers to assess EPDs quantitatively. Practice relevance Life-cycle assessments (LCAs) and LCA data can be used within the construction sector to evaluate buildings and to assist in design, specification and procurement decision-making. A new method is presented to support the assessment of comparability of functionally equivalent materials and products during the specification and procurement stage. Given the known variation and lack of precision within EPDs, this method provides quantitative metrics that correlate to a qualitative interpretation of EPD precision. This method can be used by anyone who is using EPD data to make product comparisons at the specification and procurement stage: • It provides more confidence in choosing low-carbon material or product options when comparing between functionally equivalent options. • It can incentivize product manufacturers and LCA practitioners to improve data quality and transparently report known variation in their EPDs. • It may also motivate manufacturers to reduce GHGs from their products and processes.","container-title":"Buildings and Cities","DOI":"10.5334/bc.31","ISSN":"26326655","issue":"1","page":"625-636","title":"Embodied carbon in construction materials: a framework for quantifying data quality in EPDs","volume":"1","author":[{"family":"Waldman","given":"Brook"},{"family":"Huang","given":"Monica"},{"family":"Simonen","given":"Kathrina"}],"issued":{"date-parts":[["2020"]]},"citation-key":"waldmanEmbodiedCarbonConstruction2020"}}],"schema":"https://github.com/citation-style-language/schema/raw/master/csl-citation.json"} </w:instrText>
      </w:r>
      <w:r w:rsidR="004E0E6F">
        <w:fldChar w:fldCharType="separate"/>
      </w:r>
      <w:r w:rsidR="004E0E6F" w:rsidRPr="004E0E6F">
        <w:rPr>
          <w:rFonts w:ascii="Aptos" w:hAnsi="Aptos"/>
        </w:rPr>
        <w:t>(Waldman et al., 2020)</w:t>
      </w:r>
      <w:r w:rsidR="004E0E6F">
        <w:fldChar w:fldCharType="end"/>
      </w:r>
      <w:r w:rsidR="004E0E6F">
        <w:t xml:space="preserve"> and a recent project at the University of Bath focused specifically on incorporating uncertainty into LCA </w:t>
      </w:r>
      <w:r w:rsidR="002653A4">
        <w:t xml:space="preserve">(link to project page with associated publications and research outputs: </w:t>
      </w:r>
      <w:hyperlink r:id="rId4" w:history="1">
        <w:r w:rsidR="002653A4" w:rsidRPr="00C33179">
          <w:rPr>
            <w:rStyle w:val="Hyperlink"/>
          </w:rPr>
          <w:t>https://researchportal.bath.ac.uk/en/projects/towards-net-zero-carbon-buildings-tackling-uncertainty-when-predi</w:t>
        </w:r>
      </w:hyperlink>
      <w:r w:rsidR="002653A4">
        <w:t xml:space="preserve">; </w:t>
      </w:r>
      <w:r w:rsidR="002653A4">
        <w:fldChar w:fldCharType="begin"/>
      </w:r>
      <w:r w:rsidR="002653A4">
        <w:instrText xml:space="preserve"> ADDIN ZOTERO_ITEM CSL_CITATION {"citationID":"yPPhAgWM","properties":{"formattedCitation":"(Marsh et al., 2023)","plainCitation":"(Marsh et al., 2023)","noteIndex":0},"citationItems":[{"id":13141,"uris":["http://zotero.org/users/10979572/items/RRFKVCSH"],"itemData":{"id":13141,"type":"article-journal","container-title":"Building and Environment","DOI":"10.1016/j.buildenv.2022.109941","ISSN":"0360-1323","note":"publisher: Elsevier Ltd","title":"Tackling uncertainty in life cycle assessments for the built environment: A review","author":[{"family":"Marsh","given":"Ellen"},{"family":"Allen","given":"Stephen"},{"family":"Hattam","given":"Laura"}],"issued":{"date-parts":[["2023"]]},"citation-key":"marshTacklingUncertaintyLife2023"}}],"schema":"https://github.com/citation-style-language/schema/raw/master/csl-citation.json"} </w:instrText>
      </w:r>
      <w:r w:rsidR="002653A4">
        <w:fldChar w:fldCharType="separate"/>
      </w:r>
      <w:r w:rsidR="002653A4" w:rsidRPr="002653A4">
        <w:rPr>
          <w:rFonts w:ascii="Aptos" w:hAnsi="Aptos"/>
        </w:rPr>
        <w:t>(Marsh et al., 2023)</w:t>
      </w:r>
      <w:r w:rsidR="002653A4">
        <w:fldChar w:fldCharType="end"/>
      </w:r>
    </w:p>
    <w:p w14:paraId="4797B0F7" w14:textId="72C72233" w:rsidR="00572A57" w:rsidRDefault="00572A57">
      <w:r>
        <w:t xml:space="preserve">- the presented dataset is </w:t>
      </w:r>
      <w:proofErr w:type="gramStart"/>
      <w:r>
        <w:t>similar to</w:t>
      </w:r>
      <w:proofErr w:type="gramEnd"/>
      <w:r>
        <w:t xml:space="preserve"> the Inventory of Carbon and Energy (ICE) database that was developed at the University of Bath in the UK. The database is now managed by Circular Ecology (</w:t>
      </w:r>
      <w:hyperlink r:id="rId5" w:history="1">
        <w:r w:rsidRPr="00C33179">
          <w:rPr>
            <w:rStyle w:val="Hyperlink"/>
          </w:rPr>
          <w:t>https://circularecology.com/embodied-carbon-footprint-database.html</w:t>
        </w:r>
      </w:hyperlink>
      <w:r>
        <w:t>) who recently had a webinar on the status of the ICE database.</w:t>
      </w:r>
    </w:p>
    <w:p w14:paraId="033794E4" w14:textId="4C786E69" w:rsidR="00572A57" w:rsidRDefault="00572A57">
      <w:r>
        <w:t xml:space="preserve">-What is the intended use and purpose of this database of Californian EPDs that is being developed? </w:t>
      </w:r>
    </w:p>
    <w:p w14:paraId="0DF1142B" w14:textId="77777777" w:rsidR="004E0E6F" w:rsidRDefault="004E0E6F"/>
    <w:p w14:paraId="1055AA7F" w14:textId="41001117" w:rsidR="002653A4" w:rsidRPr="00BC2016" w:rsidRDefault="002653A4">
      <w:pPr>
        <w:rPr>
          <w:b/>
          <w:bCs/>
        </w:rPr>
      </w:pPr>
      <w:r w:rsidRPr="00BC2016">
        <w:rPr>
          <w:b/>
          <w:bCs/>
        </w:rPr>
        <w:t>Baseline Development</w:t>
      </w:r>
    </w:p>
    <w:p w14:paraId="39656EE5" w14:textId="30907D65" w:rsidR="00BC2016" w:rsidRDefault="00BC2016">
      <w:r>
        <w:t xml:space="preserve">A bottom-up baseline would be more contextually appropriate and granular, but the time and effort needed to gather, validate, and analyze the quantity and quality of data required for a state-wide baseline would be impractical due to the time constraints needed for reducing carbon emissions. </w:t>
      </w:r>
      <w:r>
        <w:t>A</w:t>
      </w:r>
      <w:r>
        <w:t xml:space="preserve"> hybrid approach would enable us to use a top-down approach in a more time sensitive manner while the data infrastructure, reporting practices and data confidentiality are established and adopted to enable a bottom-up approach to be adopted over time. As sufficient data (in terms of quality and quantity) is gathered and analyzed for statistical significance, it can essentially override parts of the top-down approach with bottom-up data to form a hybrid baseline.</w:t>
      </w:r>
    </w:p>
    <w:p w14:paraId="1E4A1734" w14:textId="04E752F0" w:rsidR="002653A4" w:rsidRDefault="002653A4">
      <w:r>
        <w:t xml:space="preserve">-top-down versus bottom-up </w:t>
      </w:r>
      <w:r>
        <w:fldChar w:fldCharType="begin"/>
      </w:r>
      <w:r w:rsidR="00341B89">
        <w:instrText xml:space="preserve"> ADDIN ZOTERO_ITEM CSL_CITATION {"citationID":"SeJmKuES","properties":{"formattedCitation":"(Frischknecht et al., 2019; Hollberg et al., 2019)","plainCitation":"(Frischknecht et al., 2019; Hollberg et al., 2019)","noteIndex":0},"citationItems":[{"id":7774,"uris":["http://zotero.org/users/10979572/items/QI8YRU6U"],"itemData":{"id":7774,"type":"article-journal","abstract":"Purpose: The 71st LCA forum was held on 18 June 2019 in Zurich, Switzerland, to discuss the current status and future plans of environmental benchmarking for buildings in view of the 1.5 °C target stipulated in the Paris Agreement. The Paris Agreement requires a significant reduction in greenhouse gas emissions, in fact net zero by 2050. One of the priority areas is the building stock, as it is an important source of greenhouse gas emissions. COP23, the International Energy Agency (IEA) and an increasing number of countries are extending their consideration from aspects such as energy consumption and emissions from building operation to the manufacture of construction materials and building construction. The event offered an excellent platform to exchange ideas and thoughts on existing and planned environmental benchmarking schemes for buildings. Methods: The one day event dealt at first with life cycle assessment (LCA) approaches applied in European, Asian, Australasian and American countries to assess the environmental performance of buildings. Within a round robin test, organised within the IEA EBC (Energy in Building and Communities) Annex 72 project, 22 organisations from 21 countries assessed the environmental performance of one identical building, the be2226 office building located in Lustenau, Austria. The materials, the building technologies and the energy consumption were kept constant. This allowed to identify the main differences in LCA data used and LCA methodology applied in the national contexts. In the LCA forum, eight organisations presented the current state or future plans of an environmental benchmarking system in their home country. The systems were characterised in terms of scope, in particular (a) which types of buildings are covered; (b) which life cycle stages are included; (c) which building elements and which operational energy uses are considered; and (d) which environmental impacts are addressed. Furthermore, the default reference service life and the main source of LCA data were specified and the current or planned benchmark values for greenhouse gas emissions of residential buildings were reported. Results and discussion: The round robin test revealed the LCA background data as one major source of difference in assessment results. Methodological and modelling choices were less important except for the Danish assessment, which applies a comparatively long reference study period (80 years for office buildings, 120 years for residential buildings) and considering future changes in the electricity mix towards 100% renewables to describe the operational electricity demand during the lifetime of the building. Most benchmarking systems presented are applied on new and retrofit residential, office and school buildings. Other use types such as shops, restaurants, universities or hospitals are covered only in few or just one country. The greenhouse gas emission benchmark for residential buildings (construction and operation) revealed a significant gap between the current level of the building benchmarks on one hand and the target of net zero CO2-eq emissions derived from the 1.5 °C scenarios of IPCC on the other. An online inquiry carried out among the audience during the event showed a preference for a per capita overall budget of 500 kg CO2-eq per year to derive greenhouse gas emission benchmarks for buildings and that life cycle-based benchmarks for buildings should be legally binding. Conclusions: The 71st LCA forum on environmental benchmarks for buildings showed that the experts present acknowledge the net zero CO2 emission target derived from the 1.5 °C scenarios. Several countries have expertise and experience in assessing the environmental impacts of buildings. However, the current (mostly voluntary) benchmarking schemes are way too weak to support the building sector in contributing significantly to the required CO2 emission turn off. The outlook given by several speakers showed that the current benchmarks will likely be tightened and oriented on the planetary boundaries and on the scientifically defined CO2 emission budgets rather than on the technical or economic feasibility. Finally, the responsibility of governments for defining environmental requirements and targets was stressed. The event, the exchange of ideas and the discussions helped to nurture and hopefully accelerate the developments in the construction sector of the home countries of the experts and government representatives. These developments will contribute to a society whose environmental impacts remain within the carrying capacity of our planet.","container-title":"International Journal of Life Cycle Assessment","DOI":"10.1007/s11367-019-01690-y","ISSN":"16147502","page":"2272-2280","title":"Environmental benchmarks for buildings: needs, challenges and solutions—71st LCA forum, Swiss Federal Institute of Technology, Zürich, 18 June 2019","volume":"24","author":[{"family":"Frischknecht","given":"Rolf"},{"family":"Balouktsi","given":"Maria"},{"family":"Lützkendorf","given":"Thomas"},{"family":"Aumann","given":"Annette"},{"family":"Birgisdottir","given":"Harpa"},{"family":"Ruse","given":"Elmar Grosse"},{"family":"Hollberg","given":"Alexander"},{"family":"Kuittinen","given":"Matti"},{"family":"Lavagna","given":"Monica"},{"family":"Lupišek","given":"Antonín"},{"family":"Passer","given":"Alexander"},{"family":"Peuportier","given":"Bruno"},{"family":"Ramseier","given":"Livia"},{"family":"Röck","given":"Martin"},{"family":"Trigaux","given":"Damien"},{"family":"Vancso","given":"Dora"}],"issued":{"date-parts":[["2019"]]},"citation-key":"frischknechtEnvironmentalBenchmarksBuildings2019"}},{"id":5673,"uris":["http://zotero.org/users/10979572/items/WDIN9WRE"],"itemData":{"id":5673,"type":"article-journal","abstract":"Buildings are responsible for a large share of greenhouse gas (GHG) emissions. The use of Life Cycle Assessment (LCA) during the design phase can help to improve the environmental performance of buildings. However, designers and clients find it difficult to set environmental performance targets and interpret the results obtained through LCA in order to improve the building design. Therefore, reference values or benchmarks are needed. Current available LCA-based benchmarks have mostly been developed for certification systems on whole building level and do not provide design guidance on material or element level. To close this gap, this paper introduces an alternative approach that supports the design process by providing guidance and encouraging to improve the environmental performance. The aim of this approach is to support exploiting the optimization potential particularly regarding the embodied GHG emissions related to the manufacturing of construction products and to the construction, maintenance and demolition of the building. The concept consists in combining top-down benchmarks per capita derived from the capacity of the global eco system with bottom-up reference values for building components that are defined based on a statistical best-in-class approach (top 5%) using the market share of different construction products. Benchmarks for GHG emissions for new residential buildings in Switzerland are discussed. The results of applying the dual benchmark approach to a case study show that it can facilitate the use of LCA-based tools for design support and promote the optimization of the building-related environmental performance.","container-title":"Building and Environment","DOI":"10.1016/j.buildenv.2019.02.026","ISSN":"03601323","issue":"February","note":"publisher: Elsevier","page":"148-157","title":"Top-down or bottom-up? – How environmental benchmarks can support the design process","volume":"153","author":[{"family":"Hollberg","given":"Alexander"},{"family":"Lützkendorf","given":"Thomas"},{"family":"Habert","given":"Guillaume"}],"issued":{"date-parts":[["2019"]]},"citation-key":"hollbergTopdownBottomupHow2019"}}],"schema":"https://github.com/citation-style-language/schema/raw/master/csl-citation.json"} </w:instrText>
      </w:r>
      <w:r>
        <w:fldChar w:fldCharType="separate"/>
      </w:r>
      <w:r w:rsidR="00341B89" w:rsidRPr="00341B89">
        <w:rPr>
          <w:rFonts w:ascii="Aptos" w:hAnsi="Aptos"/>
        </w:rPr>
        <w:t>(Frischknecht et al., 2019; Hollberg et al., 2019)</w:t>
      </w:r>
      <w:r>
        <w:fldChar w:fldCharType="end"/>
      </w:r>
    </w:p>
    <w:p w14:paraId="0F4BA1AA" w14:textId="3D8E7771" w:rsidR="002653A4" w:rsidRDefault="002653A4">
      <w:r>
        <w:t xml:space="preserve">-a bottom-up approach for developing a baseline will </w:t>
      </w:r>
      <w:r w:rsidR="00BC2016">
        <w:t xml:space="preserve">also be </w:t>
      </w:r>
      <w:r>
        <w:t xml:space="preserve">data heavy and therefore will have missing scope as the baseline is developed </w:t>
      </w:r>
    </w:p>
    <w:p w14:paraId="0BEC6D4B" w14:textId="5DFED887" w:rsidR="00FE5697" w:rsidRDefault="00FE5697">
      <w:r>
        <w:t>-a baseline can be developed using a hybrid approach to capture the benefits of both top-down and bottom-up methods</w:t>
      </w:r>
    </w:p>
    <w:p w14:paraId="38765286" w14:textId="5A77334E" w:rsidR="00FE5697" w:rsidRDefault="00FE5697">
      <w:r>
        <w:t>-a hybrid approach can start off with a top-down approach that looks at the economy/industry scale in California to capture everything within the desired scope</w:t>
      </w:r>
    </w:p>
    <w:p w14:paraId="41A37C06" w14:textId="133F9197" w:rsidR="00176644" w:rsidRDefault="00176644">
      <w:r>
        <w:t xml:space="preserve">-a few other publications that could be relevant are: </w:t>
      </w:r>
      <w:r>
        <w:fldChar w:fldCharType="begin"/>
      </w:r>
      <w:r>
        <w:instrText xml:space="preserve"> ADDIN ZOTERO_ITEM CSL_CITATION {"citationID":"G4BDmhkf","properties":{"formattedCitation":"(Mastrucci et al., 2017; Stephan and Athanassiadis, 2017; Tozan et al., 2024; Wiebe et al., 2016)","plainCitation":"(Mastrucci et al., 2017; Stephan and Athanassiadis, 2017; Tozan et al., 2024; Wiebe et al., 2016)","noteIndex":0},"citationItems":[{"id":18441,"uris":["http://zotero.org/users/10979572/items/TWDU4PEA"],"itemData":{"id":18441,"type":"article-journal","abstract":"Buildings are responsible for a large share of the energy consumption and environmental impacts worldwide. An assessment of the energy demand and environmental performance of building stocks at large spatial scales is increasingly needed for decision support in sustainable planning and policy making. While current bottom-up building stock models mainly focus on the operational energy use, a new research trend has introduced Life Cycle Assessment (LCA) for a more holistic environmental performance assessment including several stages of the building life cycle.","container-title":"Renewable and Sustainable Energy Reviews","DOI":"10.1016/j.rser.2017.02.060","ISSN":"13640321","journalAbbreviation":"Renewable and Sustainable Energy Reviews","language":"en","page":"316-332","source":"DOI.org (Crossref)","title":"Life Cycle Assessment of building stocks from urban to transnational scales: A review","title-short":"Life Cycle Assessment of building stocks from urban to transnational scales","volume":"74","author":[{"family":"Mastrucci","given":"Alessio"},{"family":"Marvuglia","given":"Antonino"},{"family":"Leopold","given":"Ulrich"},{"family":"Benetto","given":"Enrico"}],"issued":{"date-parts":[["2017",7]]},"citation-key":"mastrucciLifeCycleAssessment2017"}},{"id":7871,"uris":["http://zotero.org/users/10979572/items/XHY4DPHP"],"itemData":{"id":7871,"type":"article-journal","abstract":"Cities and their building stocks result in huge environmental impacts which are critical to reduce. However, the majority of existing studies focus on operational requirements or on material stocks. To date, very few studies have quantified embodied environmental requirements of building stocks and spatialised them. This study describes a bottom-up approach to spatially model building stocks and quantify their embodied environmental requirements. It uses a highly disaggregated approach where each building's geometry is modelled and used to derive a bill of quantities. Construction assemblies relevant to each building archetype (derived based on land-use, age and height) are defined using expert knowledge in construction. The initial and recurrent embodied energy, water and greenhouse gas emissions associated with each material within each assembly are calculated using a comprehensive hybrid analysis technique. This model is applied to all buildings of the City of Melbourne, Australia. Results show that rebuilding the City of Melbourne's building stock today would require 904 kt of materials/km2 (total: 32 725 kt), 10 PJ/km2 (total: 362 PJ), 17.7 Million m3 of embodied water/km2 (total: 640.74 Million m3) and would emit 605 ktCO2e/km2 (total: 23 530 ktCO2e). This study demonstrates the breadth of the model outputs, including material stocks maps and breakdowns of life cycle embodied requirements by material, construction assembly, building and building typology at the city level. Using such model, city councils can better manage building stocks in terms of waste processing, urban mining and circular economy, as well as reducing embodied environmental requirements over time.","container-title":"Building and Environment","DOI":"10.1016/j.buildenv.2016.11.043","ISSN":"03601323","page":"187-202","title":"Quantifying and mapping embodied environmental requirements of urban building stocks","volume":"114","author":[{"family":"Stephan","given":"André"},{"family":"Athanassiadis","given":"Aristide"}],"issued":{"date-parts":[["2017"]]},"citation-key":"stephanQuantifyingMappingEmbodied2017"}},{"id":18440,"uris":["http://zotero.org/users/10979572/items/5FL3XYQP"],"itemData":{"id":18440,"type":"article-journal","abstract":"The global construction industry, a significant contributor responsible for 37 % of greenhouse gas emissions (GHGe), necessitates immediate and relevant policies to reduce emissions. Consequently, several countries are implementing GHGe limit values in building regulations to initiate mitigation measures. To support this development and the efforts to mitigate GHGe, this study provides a method for defining a representative case sample of conventional practice and bottom-up Life Cycle Assessment (LCA)-based limit values for policy measures. Based on a dataset of 291 actual building projects, a representative case sample of 163 conventional case studies is defined, and their related life cycle GHGe is calculated with LCA, resulting in a variation from 8.3 to 11.8 kg CO2e/m2/year. Cumulative distribution functions are computed with share factors, which consider the construction activity in a country and reflect the physical output of completed construction work from which limit values are derived. A general limit value is calculated at 9.0 kg CO2e/m2/year, corresponding to the median where the ambition level targets 50 % of new construction to perform mitigation efforts. Across building types, limit values vary between 8.2 and 11.5 kg CO2e/m2/year, and more ambitious limit values for residential buildings are derived starting at 4.9 kg CO2e/m2/year based on examples of best practice case studies. Comparing the general bottom-up limit value against top-down targets reveals a gap, suggesting a necessary increase in the ambition level. Yet, limit values should be introduced and gradually tightened to reach net zero in 2050 across several building typologies to support the adaptation of mitigation strategies.","container-title":"Building and Environment","DOI":"10.1016/j.buildenv.2024.111891","ISSN":"03601323","journalAbbreviation":"Building and Environment","language":"en","page":"111891","source":"DOI.org (Crossref)","title":"A novel approach to establishing bottom-up LCA-based limit values for new construction","volume":"263","author":[{"family":"Tozan","given":"Buket"},{"family":"Hoxha","given":"Endrit"},{"family":"Olsen","given":"Christoffer Ole"},{"family":"Rose","given":"Jørgen"},{"family":"Kragh","given":"Jesper"},{"family":"Andersen","given":"Camilla Ernst"},{"family":"Sørensen","given":"Christian Grau"},{"family":"Garnow","given":"Agnes"},{"family":"Birgisdóttir","given":"Harpa"}],"issued":{"date-parts":[["2024",9]]},"citation-key":"tozanNovelApproachEstablishing2024"}},{"id":18442,"uris":["http://zotero.org/users/10979572/items/K9GUU86E"],"itemData":{"id":18442,"type":"article-journal","abstract":"Two major approaches for calculating consumption-based carbon emissions can be distinguished: top-down approaches, in the form of multi-regional input-output (MRIO) models, and bottom-up approaches, in the form of life cycle assessment (LCA). Both approaches have pros and cons and are very data-intensive. Several MRIO databases have been developed and published over the past years. These databases, which have been refined and validated, will be used for policy analysis. As LCA is usually only applied to very specific products and product groups, analysis is limited and many products have not yet been looked at. This paper makes use of both a top-down and bottomup approach to calculate the impacts of different policy measures on the development of consumption-based carbon emissions in the EU28 and on emissions elsewhere in the world. The policy examples used are the EU’s CO2 in Cars Regulations and the South African renewable energy initiative. The results from the top-down approach are then compared with those from the bottomup approach. Both bottom-up and top-down approaches use the same underlying assumptions regarding the impacts, but due to the very different nature of the methodologies, differences in the results are observed, though sign and scope of the results are the same for the two cases. Part of the deviations can be explained by differences in methodology and scenario design due to these differences. It can be concluded that bottom-up and top-down approaches can and need to be applied to different policies and are generally complementary.","container-title":"Low Carbon Economy","DOI":"10.4236/lce.2016.71003","ISSN":"2158-7000, 2158-7019","issue":"01","journalAbbreviation":"LCE","language":"en","license":"http://creativecommons.org/licenses/by/4.0/","page":"21-35","source":"DOI.org (Crossref)","title":"Policies and Consumption-Based Carbon Emissions from a Top-Down and a Bottom-Up Perspective","volume":"07","author":[{"family":"Wiebe","given":"Kirsten S."},{"family":"Gandy","given":"Simon"},{"family":"Lutz","given":"Christian"}],"issued":{"date-parts":[["2016"]]},"citation-key":"wiebePoliciesConsumptionBasedCarbon2016"}}],"schema":"https://github.com/citation-style-language/schema/raw/master/csl-citation.json"} </w:instrText>
      </w:r>
      <w:r>
        <w:fldChar w:fldCharType="separate"/>
      </w:r>
      <w:r w:rsidRPr="00176644">
        <w:rPr>
          <w:rFonts w:ascii="Aptos" w:hAnsi="Aptos"/>
        </w:rPr>
        <w:t>(</w:t>
      </w:r>
      <w:proofErr w:type="spellStart"/>
      <w:r w:rsidRPr="00176644">
        <w:rPr>
          <w:rFonts w:ascii="Aptos" w:hAnsi="Aptos"/>
        </w:rPr>
        <w:t>Mastrucci</w:t>
      </w:r>
      <w:proofErr w:type="spellEnd"/>
      <w:r w:rsidRPr="00176644">
        <w:rPr>
          <w:rFonts w:ascii="Aptos" w:hAnsi="Aptos"/>
        </w:rPr>
        <w:t xml:space="preserve"> et al., 2017; Stephan and </w:t>
      </w:r>
      <w:proofErr w:type="spellStart"/>
      <w:r w:rsidRPr="00176644">
        <w:rPr>
          <w:rFonts w:ascii="Aptos" w:hAnsi="Aptos"/>
        </w:rPr>
        <w:t>Athanassiadis</w:t>
      </w:r>
      <w:proofErr w:type="spellEnd"/>
      <w:r w:rsidRPr="00176644">
        <w:rPr>
          <w:rFonts w:ascii="Aptos" w:hAnsi="Aptos"/>
        </w:rPr>
        <w:t>, 2017; Tozan et al., 2024; Wiebe et al., 2016)</w:t>
      </w:r>
      <w:r>
        <w:fldChar w:fldCharType="end"/>
      </w:r>
    </w:p>
    <w:p w14:paraId="6FECA515" w14:textId="77777777" w:rsidR="00176644" w:rsidRDefault="00176644"/>
    <w:p w14:paraId="23646C30" w14:textId="7A45FED9" w:rsidR="004E0E6F" w:rsidRPr="00BC2016" w:rsidRDefault="004E0E6F">
      <w:pPr>
        <w:rPr>
          <w:b/>
          <w:bCs/>
        </w:rPr>
      </w:pPr>
      <w:r w:rsidRPr="00BC2016">
        <w:rPr>
          <w:b/>
          <w:bCs/>
        </w:rPr>
        <w:lastRenderedPageBreak/>
        <w:t>Bibliography</w:t>
      </w:r>
    </w:p>
    <w:p w14:paraId="492D036E" w14:textId="77777777" w:rsidR="00176644" w:rsidRPr="00176644" w:rsidRDefault="004E0E6F" w:rsidP="00176644">
      <w:pPr>
        <w:pStyle w:val="Bibliography"/>
        <w:rPr>
          <w:rFonts w:ascii="Aptos" w:hAnsi="Aptos"/>
        </w:rPr>
      </w:pPr>
      <w:r>
        <w:fldChar w:fldCharType="begin"/>
      </w:r>
      <w:r>
        <w:instrText xml:space="preserve"> ADDIN ZOTERO_BIBL {"uncited":[],"omitted":[],"custom":[]} CSL_BIBLIOGRAPHY </w:instrText>
      </w:r>
      <w:r>
        <w:fldChar w:fldCharType="separate"/>
      </w:r>
      <w:r w:rsidR="00176644" w:rsidRPr="00176644">
        <w:rPr>
          <w:rFonts w:ascii="Aptos" w:hAnsi="Aptos"/>
        </w:rPr>
        <w:t xml:space="preserve">Frischknecht, R., </w:t>
      </w:r>
      <w:proofErr w:type="spellStart"/>
      <w:r w:rsidR="00176644" w:rsidRPr="00176644">
        <w:rPr>
          <w:rFonts w:ascii="Aptos" w:hAnsi="Aptos"/>
        </w:rPr>
        <w:t>Balouktsi</w:t>
      </w:r>
      <w:proofErr w:type="spellEnd"/>
      <w:r w:rsidR="00176644" w:rsidRPr="00176644">
        <w:rPr>
          <w:rFonts w:ascii="Aptos" w:hAnsi="Aptos"/>
        </w:rPr>
        <w:t xml:space="preserve">, M., </w:t>
      </w:r>
      <w:proofErr w:type="spellStart"/>
      <w:r w:rsidR="00176644" w:rsidRPr="00176644">
        <w:rPr>
          <w:rFonts w:ascii="Aptos" w:hAnsi="Aptos"/>
        </w:rPr>
        <w:t>Lützkendorf</w:t>
      </w:r>
      <w:proofErr w:type="spellEnd"/>
      <w:r w:rsidR="00176644" w:rsidRPr="00176644">
        <w:rPr>
          <w:rFonts w:ascii="Aptos" w:hAnsi="Aptos"/>
        </w:rPr>
        <w:t xml:space="preserve">, T., Aumann, A., Birgisdottir, H., Ruse, E.G., Hollberg, A., Kuittinen, M., </w:t>
      </w:r>
      <w:proofErr w:type="spellStart"/>
      <w:r w:rsidR="00176644" w:rsidRPr="00176644">
        <w:rPr>
          <w:rFonts w:ascii="Aptos" w:hAnsi="Aptos"/>
        </w:rPr>
        <w:t>Lavagna</w:t>
      </w:r>
      <w:proofErr w:type="spellEnd"/>
      <w:r w:rsidR="00176644" w:rsidRPr="00176644">
        <w:rPr>
          <w:rFonts w:ascii="Aptos" w:hAnsi="Aptos"/>
        </w:rPr>
        <w:t xml:space="preserve">, M., </w:t>
      </w:r>
      <w:proofErr w:type="spellStart"/>
      <w:r w:rsidR="00176644" w:rsidRPr="00176644">
        <w:rPr>
          <w:rFonts w:ascii="Aptos" w:hAnsi="Aptos"/>
        </w:rPr>
        <w:t>Lupišek</w:t>
      </w:r>
      <w:proofErr w:type="spellEnd"/>
      <w:r w:rsidR="00176644" w:rsidRPr="00176644">
        <w:rPr>
          <w:rFonts w:ascii="Aptos" w:hAnsi="Aptos"/>
        </w:rPr>
        <w:t xml:space="preserve">, A., Passer, A., </w:t>
      </w:r>
      <w:proofErr w:type="spellStart"/>
      <w:r w:rsidR="00176644" w:rsidRPr="00176644">
        <w:rPr>
          <w:rFonts w:ascii="Aptos" w:hAnsi="Aptos"/>
        </w:rPr>
        <w:t>Peuportier</w:t>
      </w:r>
      <w:proofErr w:type="spellEnd"/>
      <w:r w:rsidR="00176644" w:rsidRPr="00176644">
        <w:rPr>
          <w:rFonts w:ascii="Aptos" w:hAnsi="Aptos"/>
        </w:rPr>
        <w:t xml:space="preserve">, B., Ramseier, L., Röck, M., </w:t>
      </w:r>
      <w:proofErr w:type="spellStart"/>
      <w:r w:rsidR="00176644" w:rsidRPr="00176644">
        <w:rPr>
          <w:rFonts w:ascii="Aptos" w:hAnsi="Aptos"/>
        </w:rPr>
        <w:t>Trigaux</w:t>
      </w:r>
      <w:proofErr w:type="spellEnd"/>
      <w:r w:rsidR="00176644" w:rsidRPr="00176644">
        <w:rPr>
          <w:rFonts w:ascii="Aptos" w:hAnsi="Aptos"/>
        </w:rPr>
        <w:t xml:space="preserve">, D., </w:t>
      </w:r>
      <w:proofErr w:type="spellStart"/>
      <w:r w:rsidR="00176644" w:rsidRPr="00176644">
        <w:rPr>
          <w:rFonts w:ascii="Aptos" w:hAnsi="Aptos"/>
        </w:rPr>
        <w:t>Vancso</w:t>
      </w:r>
      <w:proofErr w:type="spellEnd"/>
      <w:r w:rsidR="00176644" w:rsidRPr="00176644">
        <w:rPr>
          <w:rFonts w:ascii="Aptos" w:hAnsi="Aptos"/>
        </w:rPr>
        <w:t>, D., 2019. Environmental benchmarks for buildings: needs, challenges and solutions—71st LCA forum, Swiss Federal Institute of Technology, Zürich, 18 June 2019. International Journal of Life Cycle Assessment 24, 2272–2280. https://doi.org/10.1007/s11367-019-01690-y</w:t>
      </w:r>
    </w:p>
    <w:p w14:paraId="5EE95F03" w14:textId="77777777" w:rsidR="00176644" w:rsidRPr="00176644" w:rsidRDefault="00176644" w:rsidP="00176644">
      <w:pPr>
        <w:pStyle w:val="Bibliography"/>
        <w:rPr>
          <w:rFonts w:ascii="Aptos" w:hAnsi="Aptos"/>
        </w:rPr>
      </w:pPr>
      <w:r w:rsidRPr="00176644">
        <w:rPr>
          <w:rFonts w:ascii="Aptos" w:hAnsi="Aptos"/>
        </w:rPr>
        <w:t xml:space="preserve">Hollberg, A., </w:t>
      </w:r>
      <w:proofErr w:type="spellStart"/>
      <w:r w:rsidRPr="00176644">
        <w:rPr>
          <w:rFonts w:ascii="Aptos" w:hAnsi="Aptos"/>
        </w:rPr>
        <w:t>Lützkendorf</w:t>
      </w:r>
      <w:proofErr w:type="spellEnd"/>
      <w:r w:rsidRPr="00176644">
        <w:rPr>
          <w:rFonts w:ascii="Aptos" w:hAnsi="Aptos"/>
        </w:rPr>
        <w:t>, T., Habert, G., 2019. Top-down or bottom-up? – How environmental benchmarks can support the design process. Building and Environment 153, 148–157. https://doi.org/10.1016/j.buildenv.2019.02.026</w:t>
      </w:r>
    </w:p>
    <w:p w14:paraId="39EEDDF1" w14:textId="77777777" w:rsidR="00176644" w:rsidRPr="00176644" w:rsidRDefault="00176644" w:rsidP="00176644">
      <w:pPr>
        <w:pStyle w:val="Bibliography"/>
        <w:rPr>
          <w:rFonts w:ascii="Aptos" w:hAnsi="Aptos"/>
        </w:rPr>
      </w:pPr>
      <w:r w:rsidRPr="00176644">
        <w:rPr>
          <w:rFonts w:ascii="Aptos" w:hAnsi="Aptos"/>
        </w:rPr>
        <w:t>Marsh, E., Allen, S., Hattam, L., 2023. Tackling uncertainty in life cycle assessments for the built environment: A review. Building and Environment. https://doi.org/10.1016/j.buildenv.2022.109941</w:t>
      </w:r>
    </w:p>
    <w:p w14:paraId="1BC536F4" w14:textId="77777777" w:rsidR="00176644" w:rsidRPr="00176644" w:rsidRDefault="00176644" w:rsidP="00176644">
      <w:pPr>
        <w:pStyle w:val="Bibliography"/>
        <w:rPr>
          <w:rFonts w:ascii="Aptos" w:hAnsi="Aptos"/>
        </w:rPr>
      </w:pPr>
      <w:proofErr w:type="spellStart"/>
      <w:r w:rsidRPr="00176644">
        <w:rPr>
          <w:rFonts w:ascii="Aptos" w:hAnsi="Aptos"/>
        </w:rPr>
        <w:t>Mastrucci</w:t>
      </w:r>
      <w:proofErr w:type="spellEnd"/>
      <w:r w:rsidRPr="00176644">
        <w:rPr>
          <w:rFonts w:ascii="Aptos" w:hAnsi="Aptos"/>
        </w:rPr>
        <w:t xml:space="preserve">, A., </w:t>
      </w:r>
      <w:proofErr w:type="spellStart"/>
      <w:r w:rsidRPr="00176644">
        <w:rPr>
          <w:rFonts w:ascii="Aptos" w:hAnsi="Aptos"/>
        </w:rPr>
        <w:t>Marvuglia</w:t>
      </w:r>
      <w:proofErr w:type="spellEnd"/>
      <w:r w:rsidRPr="00176644">
        <w:rPr>
          <w:rFonts w:ascii="Aptos" w:hAnsi="Aptos"/>
        </w:rPr>
        <w:t>, A., Leopold, U., Benetto, E., 2017. Life Cycle Assessment of building stocks from urban to transnational scales: A review. Renewable and Sustainable Energy Reviews 74, 316–332. https://doi.org/10.1016/j.rser.2017.02.060</w:t>
      </w:r>
    </w:p>
    <w:p w14:paraId="77D9DE4B" w14:textId="77777777" w:rsidR="00176644" w:rsidRPr="00176644" w:rsidRDefault="00176644" w:rsidP="00176644">
      <w:pPr>
        <w:pStyle w:val="Bibliography"/>
        <w:rPr>
          <w:rFonts w:ascii="Aptos" w:hAnsi="Aptos"/>
        </w:rPr>
      </w:pPr>
      <w:r w:rsidRPr="00176644">
        <w:rPr>
          <w:rFonts w:ascii="Aptos" w:hAnsi="Aptos"/>
        </w:rPr>
        <w:t xml:space="preserve">Stephan, A., </w:t>
      </w:r>
      <w:proofErr w:type="spellStart"/>
      <w:r w:rsidRPr="00176644">
        <w:rPr>
          <w:rFonts w:ascii="Aptos" w:hAnsi="Aptos"/>
        </w:rPr>
        <w:t>Athanassiadis</w:t>
      </w:r>
      <w:proofErr w:type="spellEnd"/>
      <w:r w:rsidRPr="00176644">
        <w:rPr>
          <w:rFonts w:ascii="Aptos" w:hAnsi="Aptos"/>
        </w:rPr>
        <w:t>, A., 2017. Quantifying and mapping embodied environmental requirements of urban building stocks. Building and Environment 114, 187–202. https://doi.org/10.1016/j.buildenv.2016.11.043</w:t>
      </w:r>
    </w:p>
    <w:p w14:paraId="7C31D12A" w14:textId="77777777" w:rsidR="00176644" w:rsidRPr="00176644" w:rsidRDefault="00176644" w:rsidP="00176644">
      <w:pPr>
        <w:pStyle w:val="Bibliography"/>
        <w:rPr>
          <w:rFonts w:ascii="Aptos" w:hAnsi="Aptos"/>
        </w:rPr>
      </w:pPr>
      <w:r w:rsidRPr="00176644">
        <w:rPr>
          <w:rFonts w:ascii="Aptos" w:hAnsi="Aptos"/>
        </w:rPr>
        <w:t>Tozan, B., Hoxha, E., Olsen, C.O., Rose, J., Kragh, J., Andersen, C.E., Sørensen, C.G., Garnow, A., Birgisdóttir, H., 2024. A novel approach to establishing bottom-up LCA-based limit values for new construction. Building and Environment 263, 111891. https://doi.org/10.1016/j.buildenv.2024.111891</w:t>
      </w:r>
    </w:p>
    <w:p w14:paraId="1E322415" w14:textId="77777777" w:rsidR="00176644" w:rsidRPr="00176644" w:rsidRDefault="00176644" w:rsidP="00176644">
      <w:pPr>
        <w:pStyle w:val="Bibliography"/>
        <w:rPr>
          <w:rFonts w:ascii="Aptos" w:hAnsi="Aptos"/>
        </w:rPr>
      </w:pPr>
      <w:r w:rsidRPr="00176644">
        <w:rPr>
          <w:rFonts w:ascii="Aptos" w:hAnsi="Aptos"/>
        </w:rPr>
        <w:t>Waldman, B., Huang, M., Simonen, K., 2020. Embodied carbon in construction materials: a framework for quantifying data quality in EPDs. Buildings and Cities 1, 625–636. https://doi.org/10.5334/bc.31</w:t>
      </w:r>
    </w:p>
    <w:p w14:paraId="049EFBCB" w14:textId="77777777" w:rsidR="00176644" w:rsidRPr="00176644" w:rsidRDefault="00176644" w:rsidP="00176644">
      <w:pPr>
        <w:pStyle w:val="Bibliography"/>
        <w:rPr>
          <w:rFonts w:ascii="Aptos" w:hAnsi="Aptos"/>
        </w:rPr>
      </w:pPr>
      <w:r w:rsidRPr="00176644">
        <w:rPr>
          <w:rFonts w:ascii="Aptos" w:hAnsi="Aptos"/>
        </w:rPr>
        <w:t>Wiebe, K.S., Gandy, S., Lutz, C., 2016. Policies and Consumption-Based Carbon Emissions from a Top-Down and a Bottom-Up Perspective. LCE 07, 21–35. https://doi.org/10.4236/lce.2016.71003</w:t>
      </w:r>
    </w:p>
    <w:p w14:paraId="4D1EC015" w14:textId="27B7B8A5" w:rsidR="004E0E6F" w:rsidRDefault="004E0E6F">
      <w:r>
        <w:fldChar w:fldCharType="end"/>
      </w:r>
    </w:p>
    <w:p w14:paraId="4EA7C78B" w14:textId="77777777" w:rsidR="004E0E6F" w:rsidRDefault="004E0E6F"/>
    <w:p w14:paraId="3DD5D516" w14:textId="77777777" w:rsidR="004E0E6F" w:rsidRDefault="004E0E6F"/>
    <w:p w14:paraId="2A2C3C62" w14:textId="77777777" w:rsidR="004E0E6F" w:rsidRDefault="004E0E6F"/>
    <w:p w14:paraId="0FEF4A98" w14:textId="77777777" w:rsidR="004E0E6F" w:rsidRDefault="004E0E6F"/>
    <w:sectPr w:rsidR="004E0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57"/>
    <w:rsid w:val="00176644"/>
    <w:rsid w:val="002653A4"/>
    <w:rsid w:val="00341B89"/>
    <w:rsid w:val="004A4531"/>
    <w:rsid w:val="004E0E6F"/>
    <w:rsid w:val="00572A57"/>
    <w:rsid w:val="005810AE"/>
    <w:rsid w:val="006F19E0"/>
    <w:rsid w:val="007E04D4"/>
    <w:rsid w:val="008A5E80"/>
    <w:rsid w:val="00B10840"/>
    <w:rsid w:val="00BC2016"/>
    <w:rsid w:val="00C91C2E"/>
    <w:rsid w:val="00D67027"/>
    <w:rsid w:val="00FE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7015"/>
  <w15:chartTrackingRefBased/>
  <w15:docId w15:val="{E37A45F8-C1CB-480B-993A-65A381D1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572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A57"/>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572A57"/>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572A57"/>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572A57"/>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572A57"/>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572A57"/>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572A57"/>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572A57"/>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572A57"/>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572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A5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72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A57"/>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572A57"/>
    <w:pPr>
      <w:spacing w:before="160"/>
      <w:jc w:val="center"/>
    </w:pPr>
    <w:rPr>
      <w:i/>
      <w:iCs/>
      <w:color w:val="404040" w:themeColor="text1" w:themeTint="BF"/>
    </w:rPr>
  </w:style>
  <w:style w:type="character" w:customStyle="1" w:styleId="QuoteChar">
    <w:name w:val="Quote Char"/>
    <w:basedOn w:val="DefaultParagraphFont"/>
    <w:link w:val="Quote"/>
    <w:uiPriority w:val="29"/>
    <w:rsid w:val="00572A57"/>
    <w:rPr>
      <w:i/>
      <w:iCs/>
      <w:color w:val="404040" w:themeColor="text1" w:themeTint="BF"/>
      <w:lang w:val="en-US"/>
    </w:rPr>
  </w:style>
  <w:style w:type="paragraph" w:styleId="ListParagraph">
    <w:name w:val="List Paragraph"/>
    <w:basedOn w:val="Normal"/>
    <w:uiPriority w:val="34"/>
    <w:qFormat/>
    <w:rsid w:val="00572A57"/>
    <w:pPr>
      <w:ind w:left="720"/>
      <w:contextualSpacing/>
    </w:pPr>
  </w:style>
  <w:style w:type="character" w:styleId="IntenseEmphasis">
    <w:name w:val="Intense Emphasis"/>
    <w:basedOn w:val="DefaultParagraphFont"/>
    <w:uiPriority w:val="21"/>
    <w:qFormat/>
    <w:rsid w:val="00572A57"/>
    <w:rPr>
      <w:i/>
      <w:iCs/>
      <w:color w:val="0F4761" w:themeColor="accent1" w:themeShade="BF"/>
    </w:rPr>
  </w:style>
  <w:style w:type="paragraph" w:styleId="IntenseQuote">
    <w:name w:val="Intense Quote"/>
    <w:basedOn w:val="Normal"/>
    <w:next w:val="Normal"/>
    <w:link w:val="IntenseQuoteChar"/>
    <w:uiPriority w:val="30"/>
    <w:qFormat/>
    <w:rsid w:val="00572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A57"/>
    <w:rPr>
      <w:i/>
      <w:iCs/>
      <w:color w:val="0F4761" w:themeColor="accent1" w:themeShade="BF"/>
      <w:lang w:val="en-US"/>
    </w:rPr>
  </w:style>
  <w:style w:type="character" w:styleId="IntenseReference">
    <w:name w:val="Intense Reference"/>
    <w:basedOn w:val="DefaultParagraphFont"/>
    <w:uiPriority w:val="32"/>
    <w:qFormat/>
    <w:rsid w:val="00572A57"/>
    <w:rPr>
      <w:b/>
      <w:bCs/>
      <w:smallCaps/>
      <w:color w:val="0F4761" w:themeColor="accent1" w:themeShade="BF"/>
      <w:spacing w:val="5"/>
    </w:rPr>
  </w:style>
  <w:style w:type="character" w:styleId="Hyperlink">
    <w:name w:val="Hyperlink"/>
    <w:basedOn w:val="DefaultParagraphFont"/>
    <w:uiPriority w:val="99"/>
    <w:unhideWhenUsed/>
    <w:rsid w:val="00572A57"/>
    <w:rPr>
      <w:color w:val="467886" w:themeColor="hyperlink"/>
      <w:u w:val="single"/>
    </w:rPr>
  </w:style>
  <w:style w:type="character" w:styleId="UnresolvedMention">
    <w:name w:val="Unresolved Mention"/>
    <w:basedOn w:val="DefaultParagraphFont"/>
    <w:uiPriority w:val="99"/>
    <w:semiHidden/>
    <w:unhideWhenUsed/>
    <w:rsid w:val="00572A57"/>
    <w:rPr>
      <w:color w:val="605E5C"/>
      <w:shd w:val="clear" w:color="auto" w:fill="E1DFDD"/>
    </w:rPr>
  </w:style>
  <w:style w:type="paragraph" w:styleId="Bibliography">
    <w:name w:val="Bibliography"/>
    <w:basedOn w:val="Normal"/>
    <w:next w:val="Normal"/>
    <w:uiPriority w:val="37"/>
    <w:unhideWhenUsed/>
    <w:rsid w:val="004E0E6F"/>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rcularecology.com/embodied-carbon-footprint-database.html" TargetMode="External"/><Relationship Id="rId4" Type="http://schemas.openxmlformats.org/officeDocument/2006/relationships/hyperlink" Target="https://researchportal.bath.ac.uk/en/projects/towards-net-zero-carbon-buildings-tackling-uncertainty-when-pr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Matt Roberts</cp:lastModifiedBy>
  <cp:revision>6</cp:revision>
  <dcterms:created xsi:type="dcterms:W3CDTF">2024-09-26T21:16:00Z</dcterms:created>
  <dcterms:modified xsi:type="dcterms:W3CDTF">2024-10-02T01:05:00Z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id="hxtQJCcE"/&gt;&lt;style id="http://www.zotero.org/styles/elsevier-harvard" hasBibliography="1" bibliographyStyleHasBeenSet="1"/&gt;&lt;prefs&gt;&lt;pref name="fieldType" value="Field"/&gt;&lt;/prefs&gt;&lt;/data&gt;</vt:lpwstr>
  </property>
</Properties>
</file>