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2A0F" w14:textId="77777777" w:rsidR="00DE6961" w:rsidRDefault="00DE6961" w:rsidP="005C4D09">
      <w:pPr>
        <w:rPr>
          <w:rFonts w:eastAsia="Times New Roman"/>
        </w:rPr>
      </w:pPr>
      <w:r>
        <w:rPr>
          <w:rFonts w:eastAsia="Times New Roman"/>
        </w:rPr>
        <w:t>Global</w:t>
      </w:r>
    </w:p>
    <w:p w14:paraId="09703501" w14:textId="467A0A3C" w:rsidR="00DE6961" w:rsidRDefault="00DE6961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to all references to MSHA "or other government authority".  Example: (a)(41) "Sealed" recognizes that a state mining agency might correctly classify a mine as sealed whereas MSHA might not.  OPO should have ability to use states' classification if it is more accurate.  </w:t>
      </w:r>
    </w:p>
    <w:p w14:paraId="37BCA888" w14:textId="77777777" w:rsidR="005C4D09" w:rsidRDefault="005C4D09" w:rsidP="005C4D09">
      <w:pPr>
        <w:spacing w:before="100" w:beforeAutospacing="1" w:after="100" w:afterAutospacing="1"/>
        <w:ind w:left="720"/>
        <w:rPr>
          <w:rFonts w:eastAsia="Times New Roman"/>
        </w:rPr>
      </w:pPr>
    </w:p>
    <w:p w14:paraId="7405B8A1" w14:textId="5B21B8D5" w:rsidR="00DE6961" w:rsidRDefault="00DE6961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Enable projects eligibility under at mines of all MSHA classifications.</w:t>
      </w:r>
      <w:r w:rsidR="005C4D09">
        <w:rPr>
          <w:rFonts w:eastAsia="Times New Roman"/>
        </w:rPr>
        <w:t xml:space="preserve">  Mines of all classifications emit methane.  </w:t>
      </w:r>
      <w:r>
        <w:rPr>
          <w:rFonts w:eastAsia="Times New Roman"/>
        </w:rPr>
        <w:t>MSHA uses the following classifications:</w:t>
      </w:r>
    </w:p>
    <w:p w14:paraId="7882D2F3" w14:textId="4F6AB2AC" w:rsidR="00DE6961" w:rsidRP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Abandoned</w:t>
      </w:r>
    </w:p>
    <w:p w14:paraId="4DE39A8E" w14:textId="77777777" w:rsidR="00DE6961" w:rsidRP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Abandoned and Sealed</w:t>
      </w:r>
    </w:p>
    <w:p w14:paraId="2FAD112E" w14:textId="77777777" w:rsidR="00DE6961" w:rsidRP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Active</w:t>
      </w:r>
    </w:p>
    <w:p w14:paraId="1D78D227" w14:textId="77777777" w:rsidR="00DE6961" w:rsidRP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Intermittent</w:t>
      </w:r>
    </w:p>
    <w:p w14:paraId="3F22DDBD" w14:textId="77777777" w:rsidR="00DE6961" w:rsidRP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New Mine</w:t>
      </w:r>
    </w:p>
    <w:p w14:paraId="37A15EA6" w14:textId="77777777" w:rsidR="00DE6961" w:rsidRP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Non-Producing Active</w:t>
      </w:r>
    </w:p>
    <w:p w14:paraId="44B8C89E" w14:textId="77777777" w:rsidR="00DE6961" w:rsidRDefault="00DE6961" w:rsidP="005C4D0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E6961">
        <w:rPr>
          <w:rFonts w:eastAsia="Times New Roman"/>
        </w:rPr>
        <w:t>Temporarily Idled</w:t>
      </w:r>
    </w:p>
    <w:p w14:paraId="44D0B1C1" w14:textId="77777777" w:rsidR="005C4D09" w:rsidRPr="00DE6961" w:rsidRDefault="005C4D09" w:rsidP="005C4D09">
      <w:pPr>
        <w:pStyle w:val="ListParagraph"/>
        <w:ind w:left="1440"/>
        <w:rPr>
          <w:rFonts w:eastAsia="Times New Roman"/>
        </w:rPr>
      </w:pPr>
    </w:p>
    <w:p w14:paraId="1494EAD1" w14:textId="3401DC59" w:rsidR="003200AC" w:rsidRPr="003200AC" w:rsidRDefault="003200AC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Consolidate and standardize definitions of sources. The list includes:</w:t>
      </w:r>
    </w:p>
    <w:p w14:paraId="300117E3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existing CBM wells that would otherwise be shut-in and abandoned as a result of encroaching mining</w:t>
      </w:r>
    </w:p>
    <w:p w14:paraId="34FE2FA4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existing coal bed methane wells</w:t>
      </w:r>
    </w:p>
    <w:p w14:paraId="167667B2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newly drilled surface wells</w:t>
      </w:r>
    </w:p>
    <w:p w14:paraId="5774C538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post-mining gob wells</w:t>
      </w:r>
    </w:p>
    <w:p w14:paraId="35BEDFF8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post-mining gob wells drilled into the mine during active mining operations</w:t>
      </w:r>
    </w:p>
    <w:p w14:paraId="76A2F2C6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pre-mining in-mine boreholes</w:t>
      </w:r>
    </w:p>
    <w:p w14:paraId="64489348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pre-mining in-mine boreholes drilled into the mine during active mining operations</w:t>
      </w:r>
    </w:p>
    <w:p w14:paraId="4F472D03" w14:textId="77777777" w:rsidR="003200AC" w:rsidRPr="003200AC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pre-mining surface wells</w:t>
      </w:r>
    </w:p>
    <w:p w14:paraId="5585D36D" w14:textId="350E9FEC" w:rsidR="005C4D09" w:rsidRDefault="003200AC" w:rsidP="005C4D0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200AC">
        <w:rPr>
          <w:rFonts w:eastAsia="Times New Roman"/>
        </w:rPr>
        <w:t>pre-mining surface wells drilled into the mine during active mining operations</w:t>
      </w:r>
    </w:p>
    <w:p w14:paraId="665161CC" w14:textId="77777777" w:rsidR="005C4D09" w:rsidRPr="005C4D09" w:rsidRDefault="005C4D09" w:rsidP="005C4D09">
      <w:pPr>
        <w:pStyle w:val="ListParagraph"/>
        <w:rPr>
          <w:rFonts w:eastAsia="Times New Roman"/>
        </w:rPr>
      </w:pPr>
    </w:p>
    <w:p w14:paraId="06BECF9E" w14:textId="708CD842" w:rsidR="003200AC" w:rsidRPr="003200AC" w:rsidRDefault="003200AC" w:rsidP="005C4D0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200AC">
        <w:rPr>
          <w:rFonts w:ascii="Arial" w:eastAsia="Times New Roman" w:hAnsi="Arial" w:cs="Arial"/>
        </w:rPr>
        <w:t>​</w:t>
      </w:r>
      <w:r>
        <w:rPr>
          <w:rFonts w:ascii="Arial" w:eastAsia="Times New Roman" w:hAnsi="Arial" w:cs="Arial"/>
        </w:rPr>
        <w:t>A</w:t>
      </w:r>
      <w:r w:rsidRPr="003200AC">
        <w:rPr>
          <w:rFonts w:eastAsia="Times New Roman"/>
        </w:rPr>
        <w:t xml:space="preserve">dd to </w:t>
      </w:r>
      <w:r>
        <w:rPr>
          <w:rFonts w:eastAsia="Times New Roman"/>
        </w:rPr>
        <w:t xml:space="preserve">eligible sources for underground mine projects wells that were originally drilled for purposes other than methane extraction (e.g., communications) that can be repurposed for methane extraction.  </w:t>
      </w:r>
      <w:r w:rsidRPr="003200AC">
        <w:rPr>
          <w:rFonts w:eastAsia="Times New Roman"/>
        </w:rPr>
        <w:t>These types of wells are numerous and often leak significant quantities of methane.  This would prevent the unnecessary drilling of additional wells.</w:t>
      </w:r>
    </w:p>
    <w:p w14:paraId="174BBBB5" w14:textId="7FF525B8" w:rsidR="00DE6961" w:rsidRDefault="00DE6961" w:rsidP="005C4D09">
      <w:pPr>
        <w:spacing w:before="100" w:beforeAutospacing="1" w:after="100" w:afterAutospacing="1"/>
        <w:ind w:left="720"/>
        <w:rPr>
          <w:rFonts w:eastAsia="Times New Roman"/>
        </w:rPr>
      </w:pPr>
    </w:p>
    <w:p w14:paraId="23BCD32D" w14:textId="18C89376" w:rsidR="00635D5E" w:rsidRDefault="00635D5E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Clarify that emission reductions are not </w:t>
      </w:r>
      <w:r w:rsidR="006D3B69">
        <w:rPr>
          <w:rFonts w:eastAsia="Times New Roman"/>
        </w:rPr>
        <w:t xml:space="preserve">automatically </w:t>
      </w:r>
      <w:r>
        <w:rPr>
          <w:rFonts w:eastAsia="Times New Roman"/>
        </w:rPr>
        <w:t xml:space="preserve">disqualified if an instance of non-compliance is not directly related to the destruction of methane.  A mechanical or electrical connection of a non-confirming issue to a destruction device is not </w:t>
      </w:r>
      <w:r w:rsidR="006D3B69">
        <w:rPr>
          <w:rFonts w:eastAsia="Times New Roman"/>
        </w:rPr>
        <w:t>necessarily</w:t>
      </w:r>
      <w:r>
        <w:rPr>
          <w:rFonts w:eastAsia="Times New Roman"/>
        </w:rPr>
        <w:t xml:space="preserve"> related to the integrity of the methane destruction.  For example, a citation for low air pressure on the tire of a generator should not disqualify the </w:t>
      </w:r>
      <w:r w:rsidR="006D3B69">
        <w:rPr>
          <w:rFonts w:eastAsia="Times New Roman"/>
        </w:rPr>
        <w:t>methane destruction</w:t>
      </w:r>
      <w:r>
        <w:rPr>
          <w:rFonts w:eastAsia="Times New Roman"/>
        </w:rPr>
        <w:t>, even though the generator is connected to the destruction device.</w:t>
      </w:r>
    </w:p>
    <w:p w14:paraId="221A7DD9" w14:textId="43F6040A" w:rsidR="00DE6961" w:rsidRDefault="00DE6961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Chapter 5 (F) </w:t>
      </w:r>
      <w:r w:rsidR="006D3B69">
        <w:rPr>
          <w:rFonts w:eastAsia="Times New Roman"/>
        </w:rPr>
        <w:t>–</w:t>
      </w:r>
      <w:r>
        <w:rPr>
          <w:rFonts w:eastAsia="Times New Roman"/>
        </w:rPr>
        <w:t xml:space="preserve"> align</w:t>
      </w:r>
      <w:r w:rsidR="006D3B69">
        <w:rPr>
          <w:rFonts w:eastAsia="Times New Roman"/>
        </w:rPr>
        <w:t xml:space="preserve"> </w:t>
      </w:r>
      <w:r>
        <w:rPr>
          <w:rFonts w:eastAsia="Times New Roman"/>
        </w:rPr>
        <w:t>global warming potential</w:t>
      </w:r>
      <w:r w:rsidR="006D3B69">
        <w:rPr>
          <w:rFonts w:eastAsia="Times New Roman"/>
        </w:rPr>
        <w:t xml:space="preserve"> of methane </w:t>
      </w:r>
      <w:r>
        <w:rPr>
          <w:rFonts w:eastAsia="Times New Roman"/>
        </w:rPr>
        <w:t>to current EPA and IPCC specifications</w:t>
      </w:r>
    </w:p>
    <w:p w14:paraId="09E47FD2" w14:textId="0D65B39A" w:rsidR="00DE6961" w:rsidRDefault="00DE6961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Reduce data recording frequency to hourly for all project types and all parameters.  CH4 and flow rates of projects are stable.  Hourly recording reduces verification </w:t>
      </w:r>
    </w:p>
    <w:p w14:paraId="0A06A6B1" w14:textId="77777777" w:rsidR="005C4D09" w:rsidRDefault="00DE6961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Consolidate definitions of sources (e.g., types of wells).</w:t>
      </w:r>
    </w:p>
    <w:p w14:paraId="6274160E" w14:textId="173C0E24" w:rsidR="005C4D09" w:rsidRDefault="005C4D09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</w:t>
      </w:r>
      <w:r w:rsidRPr="005C4D09">
        <w:rPr>
          <w:rFonts w:eastAsia="Times New Roman"/>
        </w:rPr>
        <w:t>ypo in Equation 5.44: 42.3 should be 0.0423 or (</w:t>
      </w:r>
      <w:proofErr w:type="spellStart"/>
      <w:r w:rsidRPr="005C4D09">
        <w:rPr>
          <w:rFonts w:eastAsia="Times New Roman"/>
        </w:rPr>
        <w:t>lb</w:t>
      </w:r>
      <w:proofErr w:type="spellEnd"/>
      <w:r w:rsidRPr="005C4D09">
        <w:rPr>
          <w:rFonts w:eastAsia="Times New Roman"/>
        </w:rPr>
        <w:t xml:space="preserve"> CH4/</w:t>
      </w:r>
      <w:proofErr w:type="spellStart"/>
      <w:r w:rsidRPr="005C4D09">
        <w:rPr>
          <w:rFonts w:eastAsia="Times New Roman"/>
        </w:rPr>
        <w:t>mscf</w:t>
      </w:r>
      <w:proofErr w:type="spellEnd"/>
      <w:r w:rsidRPr="005C4D09">
        <w:rPr>
          <w:rFonts w:eastAsia="Times New Roman"/>
        </w:rPr>
        <w:t xml:space="preserve"> CH4)</w:t>
      </w:r>
    </w:p>
    <w:p w14:paraId="3C0BAB04" w14:textId="27A7910B" w:rsidR="00DE6961" w:rsidRDefault="005C4D09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5C4D09">
        <w:rPr>
          <w:rFonts w:eastAsia="Times New Roman"/>
        </w:rPr>
        <w:t xml:space="preserve">Typo: 6.1 (e): delete </w:t>
      </w:r>
      <w:r w:rsidR="00DE6961" w:rsidRPr="005C4D09">
        <w:rPr>
          <w:rFonts w:eastAsia="Times New Roman"/>
        </w:rPr>
        <w:t>underscore </w:t>
      </w:r>
      <w:r w:rsidRPr="005C4D09">
        <w:rPr>
          <w:rFonts w:eastAsia="Times New Roman"/>
        </w:rPr>
        <w:t>of “_Offset Project…”</w:t>
      </w:r>
    </w:p>
    <w:p w14:paraId="407C02A4" w14:textId="70ADC633" w:rsidR="009338D9" w:rsidRPr="005C4D09" w:rsidRDefault="009338D9" w:rsidP="005C4D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Clarify the </w:t>
      </w:r>
      <w:r w:rsidR="009340ED">
        <w:rPr>
          <w:rFonts w:eastAsia="Times New Roman"/>
        </w:rPr>
        <w:t>level of certainty to be achieved by verifiers to confirm evidence of rights to emission offset credits generated by the pr</w:t>
      </w:r>
      <w:r w:rsidR="00F9314D">
        <w:rPr>
          <w:rFonts w:eastAsia="Times New Roman"/>
        </w:rPr>
        <w:t>oject</w:t>
      </w:r>
    </w:p>
    <w:p w14:paraId="4A519B14" w14:textId="77777777" w:rsidR="000840CA" w:rsidRPr="009338D9" w:rsidRDefault="000840CA" w:rsidP="000840CA">
      <w:pPr>
        <w:numPr>
          <w:ilvl w:val="0"/>
          <w:numId w:val="1"/>
        </w:numPr>
      </w:pPr>
      <w:r w:rsidRPr="007C209E">
        <w:rPr>
          <w:rFonts w:ascii="Calibri" w:eastAsia="Times New Roman" w:hAnsi="Calibri" w:cs="Times New Roman"/>
          <w:color w:val="000000"/>
          <w:sz w:val="22"/>
          <w:szCs w:val="22"/>
        </w:rPr>
        <w:t>Section 7.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1. Clarify information needed in product diagrams to avoid inconsistencies among verifiers.</w:t>
      </w:r>
    </w:p>
    <w:p w14:paraId="56B88CA2" w14:textId="77777777" w:rsidR="005C4D09" w:rsidRDefault="005C4D09" w:rsidP="005C4D09">
      <w:pPr>
        <w:rPr>
          <w:rFonts w:eastAsia="Times New Roman"/>
        </w:rPr>
      </w:pPr>
    </w:p>
    <w:p w14:paraId="26AC84CF" w14:textId="77777777" w:rsidR="00DE6961" w:rsidRDefault="00DE6961" w:rsidP="005C4D09">
      <w:pPr>
        <w:rPr>
          <w:rFonts w:eastAsia="Times New Roman"/>
        </w:rPr>
      </w:pPr>
    </w:p>
    <w:p w14:paraId="436FB032" w14:textId="5425F603" w:rsidR="00DE6961" w:rsidRDefault="00DE6961" w:rsidP="005C4D09">
      <w:pPr>
        <w:rPr>
          <w:rFonts w:eastAsia="Times New Roman"/>
        </w:rPr>
      </w:pPr>
      <w:r>
        <w:rPr>
          <w:rFonts w:eastAsia="Times New Roman"/>
        </w:rPr>
        <w:t>Abandoned</w:t>
      </w:r>
      <w:r w:rsidR="005C4D09">
        <w:rPr>
          <w:rFonts w:eastAsia="Times New Roman"/>
        </w:rPr>
        <w:t xml:space="preserve"> Mine Projects:</w:t>
      </w:r>
    </w:p>
    <w:p w14:paraId="2EC75471" w14:textId="2D7A9BB0" w:rsidR="00DE6961" w:rsidRDefault="005C4D09" w:rsidP="005C4D0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Allow use of </w:t>
      </w:r>
      <w:r w:rsidR="00DE6961">
        <w:rPr>
          <w:rFonts w:eastAsia="Times New Roman"/>
        </w:rPr>
        <w:t>emissions data from any government source</w:t>
      </w:r>
      <w:r>
        <w:rPr>
          <w:rFonts w:eastAsia="Times New Roman"/>
        </w:rPr>
        <w:t xml:space="preserve">s.  </w:t>
      </w:r>
    </w:p>
    <w:p w14:paraId="2FFF4A91" w14:textId="7B84BD60" w:rsidR="00DE6961" w:rsidRDefault="005C4D09" w:rsidP="005C4D0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Eliminate </w:t>
      </w:r>
      <w:r w:rsidR="00DE6961">
        <w:rPr>
          <w:rFonts w:eastAsia="Times New Roman"/>
        </w:rPr>
        <w:t>decline curve to reflect long-term nature of project benefits</w:t>
      </w:r>
      <w:r>
        <w:rPr>
          <w:rFonts w:eastAsia="Times New Roman"/>
        </w:rPr>
        <w:t xml:space="preserve"> and align with international standards.</w:t>
      </w:r>
    </w:p>
    <w:p w14:paraId="6FDC7C82" w14:textId="626D207E" w:rsidR="00DE6961" w:rsidRDefault="005C4D09" w:rsidP="005C4D0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Section </w:t>
      </w:r>
      <w:r w:rsidR="00DE6961">
        <w:rPr>
          <w:rFonts w:eastAsia="Times New Roman"/>
        </w:rPr>
        <w:t xml:space="preserve">4.4 </w:t>
      </w:r>
      <w:r>
        <w:rPr>
          <w:rFonts w:eastAsia="Times New Roman"/>
        </w:rPr>
        <w:t>–</w:t>
      </w:r>
      <w:r w:rsidR="00DE6961">
        <w:rPr>
          <w:rFonts w:eastAsia="Times New Roman"/>
        </w:rPr>
        <w:t xml:space="preserve"> </w:t>
      </w:r>
      <w:r>
        <w:rPr>
          <w:rFonts w:eastAsia="Times New Roman"/>
        </w:rPr>
        <w:t xml:space="preserve">eliminate need to account of emissions associated with drilling wells into abandoned mines.  </w:t>
      </w:r>
      <w:r w:rsidR="00DE6961">
        <w:rPr>
          <w:rFonts w:eastAsia="Times New Roman"/>
        </w:rPr>
        <w:t xml:space="preserve">Emissions are </w:t>
      </w:r>
      <w:r>
        <w:rPr>
          <w:rFonts w:eastAsia="Times New Roman"/>
        </w:rPr>
        <w:t xml:space="preserve">very </w:t>
      </w:r>
      <w:r w:rsidR="00DE6961">
        <w:rPr>
          <w:rFonts w:eastAsia="Times New Roman"/>
        </w:rPr>
        <w:t>small.  Drillers don't typically save records.</w:t>
      </w:r>
    </w:p>
    <w:p w14:paraId="78A16D47" w14:textId="0FF82871" w:rsidR="00DE6961" w:rsidRDefault="005C4D09" w:rsidP="005C4D0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Section </w:t>
      </w:r>
      <w:r w:rsidR="00DE6961">
        <w:rPr>
          <w:rFonts w:eastAsia="Times New Roman"/>
        </w:rPr>
        <w:t xml:space="preserve">2.4(b) </w:t>
      </w:r>
      <w:r>
        <w:rPr>
          <w:rFonts w:eastAsia="Times New Roman"/>
        </w:rPr>
        <w:t>–</w:t>
      </w:r>
      <w:r w:rsidR="00DE6961">
        <w:rPr>
          <w:rFonts w:eastAsia="Times New Roman"/>
        </w:rPr>
        <w:t xml:space="preserve"> eliminate</w:t>
      </w:r>
      <w:r>
        <w:rPr>
          <w:rFonts w:eastAsia="Times New Roman"/>
        </w:rPr>
        <w:t xml:space="preserve"> </w:t>
      </w:r>
      <w:r w:rsidR="00DE6961">
        <w:rPr>
          <w:rFonts w:eastAsia="Times New Roman"/>
        </w:rPr>
        <w:t>requirement that a destruction device not be operational at the mine prior to project commencement.  This applies when a mine transitions from active to abandoned and the OPO desires to continue project operations but must re-list the project because it becomes an abandoned mine project.  </w:t>
      </w:r>
    </w:p>
    <w:p w14:paraId="28BD7C38" w14:textId="27BA019F" w:rsidR="00DE6961" w:rsidRDefault="005C4D09" w:rsidP="005C4D0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Section </w:t>
      </w:r>
      <w:r w:rsidR="00DE6961">
        <w:rPr>
          <w:rFonts w:eastAsia="Times New Roman"/>
        </w:rPr>
        <w:t xml:space="preserve">5.4(b) </w:t>
      </w:r>
      <w:r>
        <w:rPr>
          <w:rFonts w:eastAsia="Times New Roman"/>
        </w:rPr>
        <w:t>–</w:t>
      </w:r>
      <w:r w:rsidR="00DE6961">
        <w:rPr>
          <w:rFonts w:eastAsia="Times New Roman"/>
        </w:rPr>
        <w:t xml:space="preserve"> clarify</w:t>
      </w:r>
      <w:r>
        <w:rPr>
          <w:rFonts w:eastAsia="Times New Roman"/>
        </w:rPr>
        <w:t xml:space="preserve"> </w:t>
      </w:r>
      <w:r w:rsidR="00DE6961">
        <w:rPr>
          <w:rFonts w:eastAsia="Times New Roman"/>
        </w:rPr>
        <w:t>definition of "drainage system" as it relates to application of the uncertainty deduction.  Drainage systems</w:t>
      </w:r>
      <w:r>
        <w:rPr>
          <w:rFonts w:eastAsia="Times New Roman"/>
        </w:rPr>
        <w:t xml:space="preserve"> (i.e., wells or boreholes)</w:t>
      </w:r>
      <w:r w:rsidR="00DE6961">
        <w:rPr>
          <w:rFonts w:eastAsia="Times New Roman"/>
        </w:rPr>
        <w:t xml:space="preserve"> are documented by government authorities or are </w:t>
      </w:r>
      <w:r>
        <w:rPr>
          <w:rFonts w:eastAsia="Times New Roman"/>
        </w:rPr>
        <w:t xml:space="preserve">accurately </w:t>
      </w:r>
      <w:r w:rsidR="00DE6961">
        <w:rPr>
          <w:rFonts w:eastAsia="Times New Roman"/>
        </w:rPr>
        <w:t>labeled on mine maps.</w:t>
      </w:r>
    </w:p>
    <w:p w14:paraId="031C5133" w14:textId="77777777" w:rsidR="00CF0CF4" w:rsidRDefault="00CF0CF4" w:rsidP="005C4D09">
      <w:pPr>
        <w:rPr>
          <w:rFonts w:eastAsia="Times New Roman"/>
        </w:rPr>
      </w:pPr>
    </w:p>
    <w:p w14:paraId="572C407C" w14:textId="19A25179" w:rsidR="00DE6961" w:rsidRDefault="005C4D09" w:rsidP="005C4D09">
      <w:pPr>
        <w:rPr>
          <w:rFonts w:eastAsia="Times New Roman"/>
        </w:rPr>
      </w:pPr>
      <w:r>
        <w:rPr>
          <w:rFonts w:eastAsia="Times New Roman"/>
        </w:rPr>
        <w:t>Ventilation Air Methane Projects:</w:t>
      </w:r>
    </w:p>
    <w:p w14:paraId="57B2AA29" w14:textId="5F19ACF2" w:rsidR="00DE6961" w:rsidRDefault="00DE6961" w:rsidP="005C4D0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Equation 5.4 </w:t>
      </w:r>
      <w:r w:rsidR="005C4D09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5C4D09">
        <w:rPr>
          <w:rFonts w:eastAsia="Times New Roman"/>
        </w:rPr>
        <w:t xml:space="preserve">Increase data recoding frequency to </w:t>
      </w:r>
      <w:r>
        <w:rPr>
          <w:rFonts w:eastAsia="Times New Roman"/>
        </w:rPr>
        <w:t>every 15 minutes to avoid strain on reporting system</w:t>
      </w:r>
      <w:r w:rsidR="005C4D09">
        <w:rPr>
          <w:rFonts w:eastAsia="Times New Roman"/>
        </w:rPr>
        <w:t>s</w:t>
      </w:r>
      <w:r>
        <w:rPr>
          <w:rFonts w:eastAsia="Times New Roman"/>
        </w:rPr>
        <w:t xml:space="preserve"> and </w:t>
      </w:r>
      <w:r w:rsidR="005C4D09">
        <w:rPr>
          <w:rFonts w:eastAsia="Times New Roman"/>
        </w:rPr>
        <w:t xml:space="preserve">reduce </w:t>
      </w:r>
      <w:r>
        <w:rPr>
          <w:rFonts w:eastAsia="Times New Roman"/>
        </w:rPr>
        <w:t>ER calculation</w:t>
      </w:r>
      <w:r w:rsidR="005C4D09">
        <w:rPr>
          <w:rFonts w:eastAsia="Times New Roman"/>
        </w:rPr>
        <w:t xml:space="preserve"> verification burden</w:t>
      </w:r>
      <w:r>
        <w:rPr>
          <w:rFonts w:eastAsia="Times New Roman"/>
        </w:rPr>
        <w:t>.  VAM emissions are very stable.</w:t>
      </w:r>
    </w:p>
    <w:p w14:paraId="165EE8E8" w14:textId="77777777" w:rsidR="00E80A63" w:rsidRDefault="00E80A63" w:rsidP="00E80A63">
      <w:pPr>
        <w:spacing w:before="100" w:beforeAutospacing="1" w:after="100" w:afterAutospacing="1"/>
        <w:ind w:left="720"/>
        <w:rPr>
          <w:rFonts w:eastAsia="Times New Roman"/>
        </w:rPr>
      </w:pPr>
    </w:p>
    <w:p w14:paraId="0B875BA0" w14:textId="52088B1A" w:rsidR="005C4D09" w:rsidRDefault="00E56531" w:rsidP="00E56531">
      <w:r>
        <w:lastRenderedPageBreak/>
        <w:t>Active Mine Project</w:t>
      </w:r>
    </w:p>
    <w:p w14:paraId="29F7D69C" w14:textId="11FBC990" w:rsidR="00A8428A" w:rsidRPr="00A8428A" w:rsidRDefault="007C209E" w:rsidP="00A8428A">
      <w:pPr>
        <w:numPr>
          <w:ilvl w:val="0"/>
          <w:numId w:val="7"/>
        </w:numPr>
        <w:divId w:val="210653869"/>
        <w:rPr>
          <w:rFonts w:eastAsia="Times New Roman" w:cs="Times New Roman"/>
          <w:color w:val="000000"/>
        </w:rPr>
      </w:pPr>
      <w:r w:rsidRPr="007C209E">
        <w:rPr>
          <w:rFonts w:ascii="Calibri" w:eastAsia="Times New Roman" w:hAnsi="Calibri" w:cs="Times New Roman"/>
          <w:color w:val="000000"/>
          <w:sz w:val="22"/>
          <w:szCs w:val="22"/>
        </w:rPr>
        <w:t xml:space="preserve">Section 2.2 (b) – </w:t>
      </w:r>
      <w:r w:rsidR="000E02CA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ineligibility of a destruction device if it previously operated at </w:t>
      </w:r>
      <w:r w:rsidR="00F9314D">
        <w:rPr>
          <w:rFonts w:ascii="Calibri" w:eastAsia="Times New Roman" w:hAnsi="Calibri" w:cs="Times New Roman"/>
          <w:color w:val="000000"/>
          <w:sz w:val="22"/>
          <w:szCs w:val="22"/>
        </w:rPr>
        <w:t xml:space="preserve">a </w:t>
      </w:r>
      <w:r w:rsidR="007B0DF5">
        <w:rPr>
          <w:rFonts w:ascii="Calibri" w:eastAsia="Times New Roman" w:hAnsi="Calibri" w:cs="Times New Roman"/>
          <w:color w:val="000000"/>
          <w:sz w:val="22"/>
          <w:szCs w:val="22"/>
        </w:rPr>
        <w:t>mine is</w:t>
      </w:r>
      <w:r w:rsidR="000E02CA">
        <w:rPr>
          <w:rFonts w:ascii="Calibri" w:eastAsia="Times New Roman" w:hAnsi="Calibri" w:cs="Times New Roman"/>
          <w:color w:val="000000"/>
          <w:sz w:val="22"/>
          <w:szCs w:val="22"/>
        </w:rPr>
        <w:t xml:space="preserve"> unclear.</w:t>
      </w:r>
      <w:r w:rsidR="000E02CA">
        <w:rPr>
          <w:rFonts w:ascii="Calibri" w:eastAsia="Times New Roman" w:hAnsi="Calibri" w:cs="Times New Roman"/>
          <w:color w:val="000000"/>
          <w:sz w:val="22"/>
          <w:szCs w:val="22"/>
        </w:rPr>
        <w:t xml:space="preserve">  </w:t>
      </w:r>
      <w:r w:rsidR="00737254">
        <w:rPr>
          <w:rFonts w:ascii="Calibri" w:eastAsia="Times New Roman" w:hAnsi="Calibri" w:cs="Times New Roman"/>
          <w:color w:val="000000"/>
          <w:sz w:val="22"/>
          <w:szCs w:val="22"/>
        </w:rPr>
        <w:t xml:space="preserve">Clarify that </w:t>
      </w:r>
      <w:r w:rsidR="00BB491D">
        <w:rPr>
          <w:rFonts w:ascii="Calibri" w:eastAsia="Times New Roman" w:hAnsi="Calibri" w:cs="Times New Roman"/>
          <w:color w:val="000000"/>
          <w:sz w:val="22"/>
          <w:szCs w:val="22"/>
        </w:rPr>
        <w:t>if two projects are operated on the same active mine, one project may transfer (e.g., sell) a destruction device to the other project.</w:t>
      </w:r>
    </w:p>
    <w:p w14:paraId="21CFB624" w14:textId="770CA61D" w:rsidR="00DE6961" w:rsidRDefault="00DE6961" w:rsidP="005C4D09"/>
    <w:sectPr w:rsidR="00DE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EDB"/>
    <w:multiLevelType w:val="multilevel"/>
    <w:tmpl w:val="DF3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60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617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24A88"/>
    <w:multiLevelType w:val="multilevel"/>
    <w:tmpl w:val="FDC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71E63"/>
    <w:multiLevelType w:val="multilevel"/>
    <w:tmpl w:val="0214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971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E036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C60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A360A4"/>
    <w:multiLevelType w:val="multilevel"/>
    <w:tmpl w:val="60A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65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161697">
    <w:abstractNumId w:val="4"/>
  </w:num>
  <w:num w:numId="2" w16cid:durableId="1296914543">
    <w:abstractNumId w:val="8"/>
  </w:num>
  <w:num w:numId="3" w16cid:durableId="574242704">
    <w:abstractNumId w:val="0"/>
  </w:num>
  <w:num w:numId="4" w16cid:durableId="883980562">
    <w:abstractNumId w:val="3"/>
  </w:num>
  <w:num w:numId="5" w16cid:durableId="2007980445">
    <w:abstractNumId w:val="6"/>
  </w:num>
  <w:num w:numId="6" w16cid:durableId="1293443509">
    <w:abstractNumId w:val="2"/>
  </w:num>
  <w:num w:numId="7" w16cid:durableId="623389747">
    <w:abstractNumId w:val="5"/>
  </w:num>
  <w:num w:numId="8" w16cid:durableId="2084133196">
    <w:abstractNumId w:val="7"/>
  </w:num>
  <w:num w:numId="9" w16cid:durableId="93290167">
    <w:abstractNumId w:val="1"/>
  </w:num>
  <w:num w:numId="10" w16cid:durableId="739015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61"/>
    <w:rsid w:val="00083543"/>
    <w:rsid w:val="000840CA"/>
    <w:rsid w:val="000D6B1A"/>
    <w:rsid w:val="000E02CA"/>
    <w:rsid w:val="000F624B"/>
    <w:rsid w:val="002D2F71"/>
    <w:rsid w:val="003200AC"/>
    <w:rsid w:val="004C2E82"/>
    <w:rsid w:val="005C4D09"/>
    <w:rsid w:val="00635D5E"/>
    <w:rsid w:val="006D3B69"/>
    <w:rsid w:val="00737254"/>
    <w:rsid w:val="007B0DF5"/>
    <w:rsid w:val="007B51C0"/>
    <w:rsid w:val="007C209E"/>
    <w:rsid w:val="007D12B4"/>
    <w:rsid w:val="008916B9"/>
    <w:rsid w:val="008C136C"/>
    <w:rsid w:val="009338D9"/>
    <w:rsid w:val="009340ED"/>
    <w:rsid w:val="00A8428A"/>
    <w:rsid w:val="00BB491D"/>
    <w:rsid w:val="00CF04FF"/>
    <w:rsid w:val="00CF0CF4"/>
    <w:rsid w:val="00D768D2"/>
    <w:rsid w:val="00DE6961"/>
    <w:rsid w:val="00E56531"/>
    <w:rsid w:val="00E80A63"/>
    <w:rsid w:val="00F03A39"/>
    <w:rsid w:val="00F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0B4"/>
  <w15:chartTrackingRefBased/>
  <w15:docId w15:val="{981C8BCC-9A88-48AB-B9F1-9FFF6BF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61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9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9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9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9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9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9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9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9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9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69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69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9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69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69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6961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7C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Apple</dc:creator>
  <cp:keywords/>
  <dc:description/>
  <cp:lastModifiedBy>Ben Apple</cp:lastModifiedBy>
  <cp:revision>2</cp:revision>
  <dcterms:created xsi:type="dcterms:W3CDTF">2024-05-09T03:25:00Z</dcterms:created>
  <dcterms:modified xsi:type="dcterms:W3CDTF">2024-05-09T03:25:00Z</dcterms:modified>
</cp:coreProperties>
</file>