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01F3" w14:textId="0C58B566" w:rsidR="0061586C" w:rsidRPr="00634296" w:rsidRDefault="00615A3E" w:rsidP="00615A3E">
      <w:pPr>
        <w:spacing w:before="1440" w:after="720" w:line="240" w:lineRule="auto"/>
        <w:jc w:val="center"/>
        <w:rPr>
          <w:rFonts w:ascii="Avenir LT Std 55 Roman" w:eastAsia="Calibri" w:hAnsi="Avenir LT Std 55 Roman" w:cs="Times New Roman"/>
          <w:b/>
          <w:bCs/>
          <w:sz w:val="44"/>
          <w:szCs w:val="44"/>
        </w:rPr>
      </w:pPr>
      <w:r w:rsidRPr="00634296">
        <w:rPr>
          <w:rFonts w:ascii="Avenir LT Std 55 Roman" w:eastAsia="Calibri" w:hAnsi="Avenir LT Std 55 Roman" w:cs="Times New Roman"/>
          <w:b/>
          <w:bCs/>
          <w:sz w:val="44"/>
          <w:szCs w:val="44"/>
        </w:rPr>
        <w:t>Ap</w:t>
      </w:r>
      <w:r w:rsidR="0061586C" w:rsidRPr="00634296">
        <w:rPr>
          <w:rFonts w:ascii="Avenir LT Std 55 Roman" w:eastAsia="Calibri" w:hAnsi="Avenir LT Std 55 Roman" w:cs="Times New Roman"/>
          <w:b/>
          <w:bCs/>
          <w:sz w:val="44"/>
          <w:szCs w:val="44"/>
        </w:rPr>
        <w:t xml:space="preserve">pendix </w:t>
      </w:r>
      <w:r w:rsidR="00A563FE" w:rsidRPr="00634296">
        <w:rPr>
          <w:rFonts w:ascii="Avenir LT Std 55 Roman" w:eastAsia="Calibri" w:hAnsi="Avenir LT Std 55 Roman" w:cs="Times New Roman"/>
          <w:b/>
          <w:bCs/>
          <w:sz w:val="44"/>
          <w:szCs w:val="44"/>
        </w:rPr>
        <w:t>A-4</w:t>
      </w:r>
      <w:r w:rsidR="00634296">
        <w:rPr>
          <w:rFonts w:ascii="Avenir LT Std 55 Roman" w:eastAsia="Calibri" w:hAnsi="Avenir LT Std 55 Roman" w:cs="Times New Roman"/>
          <w:b/>
          <w:bCs/>
          <w:sz w:val="44"/>
          <w:szCs w:val="44"/>
        </w:rPr>
        <w:t>.1</w:t>
      </w:r>
    </w:p>
    <w:p w14:paraId="140E8519" w14:textId="77777777" w:rsidR="0061586C" w:rsidRPr="00634296" w:rsidRDefault="0061586C" w:rsidP="002A770F">
      <w:pPr>
        <w:spacing w:before="360" w:after="720" w:line="240" w:lineRule="auto"/>
        <w:jc w:val="center"/>
        <w:rPr>
          <w:rFonts w:ascii="Avenir LT Std 55 Roman" w:eastAsia="Calibri" w:hAnsi="Avenir LT Std 55 Roman" w:cs="Times New Roman"/>
          <w:sz w:val="40"/>
          <w:szCs w:val="40"/>
        </w:rPr>
      </w:pPr>
      <w:r w:rsidRPr="00634296">
        <w:rPr>
          <w:rFonts w:ascii="Avenir LT Std 55 Roman" w:eastAsia="Calibri" w:hAnsi="Avenir LT Std 55 Roman" w:cs="Times New Roman"/>
          <w:sz w:val="40"/>
          <w:szCs w:val="40"/>
        </w:rPr>
        <w:t>Proposed Regulation Order</w:t>
      </w:r>
    </w:p>
    <w:p w14:paraId="12C83B01" w14:textId="268C568E" w:rsidR="00A563FE" w:rsidRPr="00634296" w:rsidRDefault="00A563FE" w:rsidP="00A563FE">
      <w:pPr>
        <w:spacing w:before="360" w:after="0" w:line="240" w:lineRule="auto"/>
        <w:jc w:val="center"/>
        <w:rPr>
          <w:rFonts w:ascii="Avenir LT Std 55 Roman" w:eastAsia="Times New Roman" w:hAnsi="Avenir LT Std 55 Roman" w:cs="Arial"/>
          <w:bCs/>
          <w:iCs/>
          <w:color w:val="0070C0"/>
          <w:sz w:val="44"/>
          <w:szCs w:val="44"/>
        </w:rPr>
      </w:pPr>
      <w:r w:rsidRPr="00634296">
        <w:rPr>
          <w:rFonts w:ascii="Avenir LT Std 55 Roman" w:eastAsia="Yu Gothic Light" w:hAnsi="Avenir LT Std 55 Roman"/>
          <w:sz w:val="40"/>
          <w:szCs w:val="40"/>
        </w:rPr>
        <w:t>Electric Vehicle Charging Requirements</w:t>
      </w:r>
    </w:p>
    <w:p w14:paraId="335009BE" w14:textId="77777777" w:rsidR="004460E8" w:rsidRPr="00634296" w:rsidRDefault="004460E8" w:rsidP="0061586C">
      <w:pPr>
        <w:spacing w:before="360" w:after="240" w:line="240" w:lineRule="auto"/>
        <w:rPr>
          <w:rFonts w:ascii="Avenir LT Std 55 Roman" w:eastAsia="Segoe UI" w:hAnsi="Avenir LT Std 55 Roman" w:cs="Segoe UI"/>
          <w:sz w:val="24"/>
          <w:szCs w:val="24"/>
        </w:rPr>
      </w:pPr>
    </w:p>
    <w:p w14:paraId="66C38A22" w14:textId="77777777" w:rsidR="00A4316B" w:rsidRPr="00634296" w:rsidRDefault="00A4316B" w:rsidP="0061586C">
      <w:pPr>
        <w:spacing w:before="360" w:after="240" w:line="240" w:lineRule="auto"/>
        <w:rPr>
          <w:rFonts w:ascii="Avenir LT Std 55 Roman" w:eastAsia="Segoe UI" w:hAnsi="Avenir LT Std 55 Roman" w:cs="Segoe UI"/>
          <w:sz w:val="24"/>
          <w:szCs w:val="24"/>
        </w:rPr>
      </w:pPr>
    </w:p>
    <w:p w14:paraId="21C8359B" w14:textId="77777777" w:rsidR="00A4316B" w:rsidRPr="00634296" w:rsidRDefault="00A4316B" w:rsidP="0061586C">
      <w:pPr>
        <w:spacing w:before="360" w:after="240" w:line="240" w:lineRule="auto"/>
        <w:rPr>
          <w:rFonts w:ascii="Avenir LT Std 55 Roman" w:eastAsia="Segoe UI" w:hAnsi="Avenir LT Std 55 Roman" w:cs="Segoe UI"/>
          <w:sz w:val="24"/>
          <w:szCs w:val="24"/>
        </w:rPr>
      </w:pPr>
    </w:p>
    <w:p w14:paraId="3016FFE5" w14:textId="77777777" w:rsidR="00A4316B" w:rsidRPr="00634296" w:rsidRDefault="00A4316B" w:rsidP="0061586C">
      <w:pPr>
        <w:spacing w:before="360" w:after="240" w:line="240" w:lineRule="auto"/>
        <w:rPr>
          <w:rFonts w:ascii="Avenir LT Std 55 Roman" w:eastAsia="Segoe UI" w:hAnsi="Avenir LT Std 55 Roman" w:cs="Segoe UI"/>
          <w:sz w:val="24"/>
          <w:szCs w:val="24"/>
        </w:rPr>
      </w:pPr>
    </w:p>
    <w:p w14:paraId="77852A5A" w14:textId="77777777" w:rsidR="00A4316B" w:rsidRPr="00634296" w:rsidRDefault="00A4316B" w:rsidP="0061586C">
      <w:pPr>
        <w:spacing w:before="360" w:after="240" w:line="240" w:lineRule="auto"/>
        <w:rPr>
          <w:rFonts w:ascii="Avenir LT Std 55 Roman" w:eastAsia="Segoe UI" w:hAnsi="Avenir LT Std 55 Roman" w:cs="Segoe UI"/>
          <w:sz w:val="24"/>
          <w:szCs w:val="24"/>
        </w:rPr>
      </w:pPr>
    </w:p>
    <w:p w14:paraId="60504918" w14:textId="77777777" w:rsidR="00A4316B" w:rsidRPr="00634296" w:rsidRDefault="00A4316B" w:rsidP="0061586C">
      <w:pPr>
        <w:spacing w:before="360" w:after="240" w:line="240" w:lineRule="auto"/>
        <w:rPr>
          <w:rFonts w:ascii="Avenir LT Std 55 Roman" w:eastAsia="Segoe UI" w:hAnsi="Avenir LT Std 55 Roman" w:cs="Segoe UI"/>
          <w:sz w:val="24"/>
          <w:szCs w:val="24"/>
        </w:rPr>
      </w:pPr>
    </w:p>
    <w:p w14:paraId="3D0A19B7" w14:textId="77777777" w:rsidR="00A4316B" w:rsidRPr="00634296" w:rsidRDefault="00A4316B" w:rsidP="0061586C">
      <w:pPr>
        <w:spacing w:before="360" w:after="240" w:line="240" w:lineRule="auto"/>
        <w:rPr>
          <w:rFonts w:ascii="Avenir LT Std 55 Roman" w:eastAsia="Segoe UI" w:hAnsi="Avenir LT Std 55 Roman" w:cs="Segoe UI"/>
          <w:sz w:val="24"/>
          <w:szCs w:val="24"/>
        </w:rPr>
      </w:pPr>
    </w:p>
    <w:p w14:paraId="7CDD11D0" w14:textId="77777777" w:rsidR="00A4316B" w:rsidRPr="00634296" w:rsidRDefault="00A4316B" w:rsidP="0061586C">
      <w:pPr>
        <w:spacing w:before="360" w:after="240" w:line="240" w:lineRule="auto"/>
        <w:rPr>
          <w:rFonts w:ascii="Avenir LT Std 55 Roman" w:eastAsia="Segoe UI" w:hAnsi="Avenir LT Std 55 Roman" w:cs="Segoe UI"/>
          <w:sz w:val="24"/>
          <w:szCs w:val="24"/>
        </w:rPr>
      </w:pPr>
    </w:p>
    <w:p w14:paraId="754CF93E" w14:textId="77777777" w:rsidR="00A4316B" w:rsidRPr="00634296" w:rsidRDefault="00A4316B" w:rsidP="0061586C">
      <w:pPr>
        <w:spacing w:before="360" w:after="240" w:line="240" w:lineRule="auto"/>
        <w:rPr>
          <w:rFonts w:ascii="Avenir LT Std 55 Roman" w:eastAsia="Segoe UI" w:hAnsi="Avenir LT Std 55 Roman" w:cs="Segoe UI"/>
          <w:sz w:val="24"/>
          <w:szCs w:val="24"/>
        </w:rPr>
      </w:pPr>
    </w:p>
    <w:p w14:paraId="3340464D" w14:textId="48014F53" w:rsidR="004460E8" w:rsidRPr="00634296" w:rsidRDefault="009D7493" w:rsidP="0061586C">
      <w:pPr>
        <w:spacing w:before="360" w:after="240" w:line="240" w:lineRule="auto"/>
        <w:rPr>
          <w:rFonts w:ascii="Avenir LT Std 55 Roman" w:eastAsia="Segoe UI" w:hAnsi="Avenir LT Std 55 Roman" w:cs="Segoe UI"/>
          <w:sz w:val="24"/>
          <w:szCs w:val="24"/>
        </w:rPr>
      </w:pPr>
      <w:r w:rsidRPr="00634296">
        <w:rPr>
          <w:rFonts w:ascii="Avenir LT Std 55 Roman" w:eastAsia="Segoe UI" w:hAnsi="Avenir LT Std 55 Roman" w:cs="Segoe UI"/>
          <w:sz w:val="24"/>
          <w:szCs w:val="24"/>
        </w:rPr>
        <w:t>[</w:t>
      </w:r>
      <w:r w:rsidR="00213217" w:rsidRPr="00634296">
        <w:rPr>
          <w:rFonts w:ascii="Avenir LT Std 55 Roman" w:eastAsia="Segoe UI" w:hAnsi="Avenir LT Std 55 Roman" w:cs="Segoe UI"/>
          <w:sz w:val="24"/>
          <w:szCs w:val="24"/>
        </w:rPr>
        <w: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sidR="00213217" w:rsidRPr="00634296">
        <w:rPr>
          <w:rFonts w:ascii="Arial" w:eastAsia="Segoe UI" w:hAnsi="Arial" w:cs="Arial"/>
          <w:sz w:val="24"/>
          <w:szCs w:val="24"/>
        </w:rPr>
        <w:t> </w:t>
      </w:r>
      <w:r w:rsidR="00213217" w:rsidRPr="00634296">
        <w:rPr>
          <w:rFonts w:ascii="Avenir LT Std 55 Roman" w:eastAsia="Segoe UI" w:hAnsi="Avenir LT Std 55 Roman" w:cs="Segoe UI"/>
          <w:sz w:val="24"/>
          <w:szCs w:val="24"/>
        </w:rPr>
        <w:t xml:space="preserve">(a)(3), please see Appendix A-4. To review this document in a clean format (no underline or strikeout to show changes), please </w:t>
      </w:r>
      <w:hyperlink r:id="rId12" w:history="1">
        <w:r w:rsidR="00213217" w:rsidRPr="00634296">
          <w:rPr>
            <w:rStyle w:val="Hyperlink"/>
            <w:rFonts w:ascii="Avenir LT Std 55 Roman" w:eastAsia="Segoe UI" w:hAnsi="Avenir LT Std 55 Roman" w:cs="Segoe UI"/>
            <w:sz w:val="24"/>
            <w:szCs w:val="24"/>
          </w:rPr>
          <w:t>accept all tracked changes</w:t>
        </w:r>
      </w:hyperlink>
      <w:r w:rsidR="00213217" w:rsidRPr="00634296">
        <w:rPr>
          <w:rFonts w:ascii="Avenir LT Std 55 Roman" w:eastAsia="Segoe UI" w:hAnsi="Avenir LT Std 55 Roman" w:cs="Segoe UI"/>
          <w:sz w:val="24"/>
          <w:szCs w:val="24"/>
        </w:rPr>
        <w:t>.]</w:t>
      </w:r>
    </w:p>
    <w:p w14:paraId="6B39C57C" w14:textId="77777777" w:rsidR="0061586C" w:rsidRPr="00634296" w:rsidRDefault="0061586C" w:rsidP="0061586C">
      <w:pPr>
        <w:spacing w:before="360" w:after="240" w:line="240" w:lineRule="auto"/>
        <w:jc w:val="center"/>
        <w:rPr>
          <w:rFonts w:ascii="Avenir LT Std 55 Roman" w:eastAsia="Calibri" w:hAnsi="Avenir LT Std 55 Roman" w:cs="Times New Roman"/>
          <w:b/>
          <w:bCs/>
          <w:sz w:val="24"/>
          <w:szCs w:val="24"/>
        </w:rPr>
      </w:pPr>
      <w:r w:rsidRPr="00634296">
        <w:rPr>
          <w:rFonts w:ascii="Avenir LT Std 55 Roman" w:eastAsia="Calibri" w:hAnsi="Avenir LT Std 55 Roman" w:cs="Times New Roman"/>
          <w:b/>
          <w:bCs/>
          <w:sz w:val="24"/>
          <w:szCs w:val="24"/>
        </w:rPr>
        <w:lastRenderedPageBreak/>
        <w:t>Proposed Regulation Order</w:t>
      </w:r>
    </w:p>
    <w:p w14:paraId="225A09C7" w14:textId="0C6CB029" w:rsidR="0061586C" w:rsidRPr="00634296" w:rsidRDefault="0061586C" w:rsidP="0061586C">
      <w:pPr>
        <w:spacing w:before="360" w:after="240" w:line="240" w:lineRule="auto"/>
        <w:rPr>
          <w:rFonts w:ascii="Avenir LT Std 55 Roman" w:eastAsia="Calibri" w:hAnsi="Avenir LT Std 55 Roman" w:cs="Times New Roman"/>
          <w:sz w:val="24"/>
          <w:szCs w:val="24"/>
        </w:rPr>
      </w:pPr>
      <w:r w:rsidRPr="00634296">
        <w:rPr>
          <w:rFonts w:ascii="Avenir LT Std 55 Roman" w:eastAsia="Calibri" w:hAnsi="Avenir LT Std 55 Roman" w:cs="Times New Roman"/>
          <w:sz w:val="24"/>
          <w:szCs w:val="24"/>
        </w:rPr>
        <w:t xml:space="preserve">Title </w:t>
      </w:r>
      <w:r w:rsidR="00D51C6A" w:rsidRPr="00634296">
        <w:rPr>
          <w:rFonts w:ascii="Avenir LT Std 55 Roman" w:eastAsia="Calibri" w:hAnsi="Avenir LT Std 55 Roman" w:cs="Times New Roman"/>
          <w:sz w:val="24"/>
          <w:szCs w:val="24"/>
        </w:rPr>
        <w:t>13</w:t>
      </w:r>
      <w:r w:rsidRPr="00634296">
        <w:rPr>
          <w:rFonts w:ascii="Avenir LT Std 55 Roman" w:eastAsia="Calibri" w:hAnsi="Avenir LT Std 55 Roman" w:cs="Times New Roman"/>
          <w:sz w:val="24"/>
          <w:szCs w:val="24"/>
        </w:rPr>
        <w:t>, California Code of Regulations</w:t>
      </w:r>
    </w:p>
    <w:p w14:paraId="48E208F7" w14:textId="110044B0" w:rsidR="00124BE8" w:rsidRPr="00634296" w:rsidRDefault="00124BE8" w:rsidP="00124BE8">
      <w:pPr>
        <w:spacing w:before="360" w:after="120" w:line="240" w:lineRule="auto"/>
        <w:rPr>
          <w:rFonts w:ascii="Avenir LT Std 55 Roman" w:eastAsia="Calibri" w:hAnsi="Avenir LT Std 55 Roman" w:cs="Times New Roman"/>
          <w:sz w:val="24"/>
          <w:szCs w:val="24"/>
        </w:rPr>
      </w:pPr>
      <w:bookmarkStart w:id="0" w:name="_Hlk84450372"/>
      <w:r w:rsidRPr="00634296">
        <w:rPr>
          <w:rFonts w:ascii="Avenir LT Std 55 Roman" w:eastAsia="Calibri" w:hAnsi="Avenir LT Std 55 Roman" w:cs="Times New Roman"/>
          <w:sz w:val="24"/>
          <w:szCs w:val="24"/>
        </w:rPr>
        <w:t>Amending regulatory text:</w:t>
      </w:r>
      <w:bookmarkEnd w:id="0"/>
      <w:r w:rsidRPr="00634296">
        <w:rPr>
          <w:rFonts w:ascii="Avenir LT Std 55 Roman" w:eastAsia="Calibri" w:hAnsi="Avenir LT Std 55 Roman" w:cs="Times New Roman"/>
          <w:sz w:val="24"/>
          <w:szCs w:val="24"/>
        </w:rPr>
        <w:t xml:space="preserve"> Amend Section</w:t>
      </w:r>
      <w:r w:rsidR="009308A7" w:rsidRPr="00634296">
        <w:rPr>
          <w:rFonts w:ascii="Avenir LT Std 55 Roman" w:hAnsi="Avenir LT Std 55 Roman"/>
          <w:sz w:val="24"/>
          <w:szCs w:val="24"/>
        </w:rPr>
        <w:t xml:space="preserve"> </w:t>
      </w:r>
      <w:r w:rsidR="00A74316" w:rsidRPr="00634296">
        <w:rPr>
          <w:rFonts w:ascii="Avenir LT Std 55 Roman" w:eastAsia="Calibri" w:hAnsi="Avenir LT Std 55 Roman" w:cs="Times New Roman"/>
          <w:sz w:val="24"/>
          <w:szCs w:val="24"/>
        </w:rPr>
        <w:t>1962.3</w:t>
      </w:r>
      <w:r w:rsidR="009308A7" w:rsidRPr="00634296">
        <w:rPr>
          <w:rFonts w:ascii="Avenir LT Std 55 Roman" w:eastAsia="Calibri" w:hAnsi="Avenir LT Std 55 Roman" w:cs="Times New Roman"/>
          <w:sz w:val="24"/>
          <w:szCs w:val="24"/>
        </w:rPr>
        <w:t xml:space="preserve"> </w:t>
      </w:r>
      <w:r w:rsidRPr="00634296">
        <w:rPr>
          <w:rFonts w:ascii="Avenir LT Std 55 Roman" w:eastAsia="Calibri" w:hAnsi="Avenir LT Std 55 Roman" w:cs="Times New Roman"/>
          <w:sz w:val="24"/>
          <w:szCs w:val="24"/>
        </w:rPr>
        <w:t>of title 13, California Code of Regulations, to read as follows:</w:t>
      </w:r>
    </w:p>
    <w:p w14:paraId="63298AD3" w14:textId="77777777" w:rsidR="00A74316" w:rsidRPr="00634296" w:rsidRDefault="00A74316" w:rsidP="00A74316">
      <w:pPr>
        <w:pStyle w:val="Heading1"/>
        <w:rPr>
          <w:rFonts w:eastAsia="Yu Gothic Light"/>
        </w:rPr>
      </w:pPr>
      <w:r w:rsidRPr="00634296">
        <w:rPr>
          <w:rFonts w:eastAsia="Yu Gothic Light"/>
        </w:rPr>
        <w:lastRenderedPageBreak/>
        <w:t>1962.3. Electric Vehicle Charging Requirements.</w:t>
      </w:r>
    </w:p>
    <w:p w14:paraId="5019CF11" w14:textId="77777777" w:rsidR="00A74316" w:rsidRPr="00634296" w:rsidRDefault="00A74316" w:rsidP="00A74316">
      <w:pPr>
        <w:pStyle w:val="Heading2"/>
        <w:rPr>
          <w:rFonts w:eastAsia="Yu Gothic Light"/>
        </w:rPr>
      </w:pPr>
      <w:r w:rsidRPr="00634296">
        <w:rPr>
          <w:rFonts w:eastAsia="Yu Gothic Light"/>
        </w:rPr>
        <w:t>Applicability. This section applies to:</w:t>
      </w:r>
    </w:p>
    <w:p w14:paraId="56537F16" w14:textId="6E462998" w:rsidR="00A74316" w:rsidRPr="00634296" w:rsidRDefault="00A74316" w:rsidP="00A74316">
      <w:pPr>
        <w:pStyle w:val="Heading3"/>
        <w:rPr>
          <w:rFonts w:eastAsia="Yu Gothic Light"/>
        </w:rPr>
      </w:pPr>
      <w:r w:rsidRPr="00634296">
        <w:rPr>
          <w:rFonts w:eastAsia="Yu Gothic Light"/>
        </w:rPr>
        <w:t xml:space="preserve">all battery electric vehicles, </w:t>
      </w:r>
      <w:ins w:id="1" w:author="Wong, Anna@ARB" w:date="2022-03-28T11:37:00Z">
        <w:r w:rsidR="009A33D7" w:rsidRPr="00634296">
          <w:rPr>
            <w:rFonts w:eastAsia="Yu Gothic Light"/>
          </w:rPr>
          <w:t xml:space="preserve">plug-in hybrid electric vehicles, </w:t>
        </w:r>
      </w:ins>
      <w:r w:rsidRPr="00634296">
        <w:rPr>
          <w:rFonts w:eastAsia="Yu Gothic Light"/>
        </w:rPr>
        <w:t>range extended battery electric vehicles, except for model year 2006 through 2013</w:t>
      </w:r>
      <w:r w:rsidR="00045F83" w:rsidRPr="00634296">
        <w:rPr>
          <w:rFonts w:eastAsia="Yu Gothic Light"/>
        </w:rPr>
        <w:t xml:space="preserve"> </w:t>
      </w:r>
      <w:ins w:id="2" w:author="Wong, Anna@ARB" w:date="2022-03-28T11:37:00Z">
        <w:r w:rsidR="00045F83" w:rsidRPr="00634296">
          <w:rPr>
            <w:rFonts w:eastAsia="Yu Gothic Light"/>
          </w:rPr>
          <w:t>and 2026 and subsequent model year</w:t>
        </w:r>
        <w:r w:rsidRPr="00634296">
          <w:rPr>
            <w:rFonts w:eastAsia="Yu Gothic Light"/>
          </w:rPr>
          <w:t xml:space="preserve"> </w:t>
        </w:r>
      </w:ins>
      <w:r w:rsidRPr="00634296">
        <w:rPr>
          <w:rFonts w:eastAsia="Yu Gothic Light"/>
        </w:rPr>
        <w:t xml:space="preserve">neighborhood electric vehicles, that </w:t>
      </w:r>
      <w:del w:id="3" w:author="Wong, Anna@ARB" w:date="2022-03-28T11:37:00Z">
        <w:r w:rsidRPr="00634296">
          <w:rPr>
            <w:rFonts w:eastAsia="Yu Gothic Light"/>
          </w:rPr>
          <w:delText>qualify for ZEV credit</w:delText>
        </w:r>
      </w:del>
      <w:ins w:id="4" w:author="Wong, Anna@ARB" w:date="2022-03-28T11:37:00Z">
        <w:r w:rsidR="00D2464F" w:rsidRPr="00634296">
          <w:rPr>
            <w:rFonts w:eastAsia="Yu Gothic Light"/>
          </w:rPr>
          <w:t>are certified as zero emission vehicles</w:t>
        </w:r>
      </w:ins>
      <w:r w:rsidRPr="00634296">
        <w:rPr>
          <w:rFonts w:eastAsia="Yu Gothic Light"/>
        </w:rPr>
        <w:t xml:space="preserve"> under </w:t>
      </w:r>
      <w:ins w:id="5" w:author="Wong, Anna@ARB" w:date="2022-03-28T11:37:00Z">
        <w:r w:rsidR="009A33D7" w:rsidRPr="00634296">
          <w:rPr>
            <w:rFonts w:eastAsia="Yu Gothic Light"/>
          </w:rPr>
          <w:t xml:space="preserve">California Code of Regulations, title 13, </w:t>
        </w:r>
      </w:ins>
      <w:r w:rsidRPr="00634296">
        <w:rPr>
          <w:rFonts w:eastAsia="Yu Gothic Light"/>
        </w:rPr>
        <w:t>section 1962.1</w:t>
      </w:r>
      <w:r w:rsidR="009A33D7" w:rsidRPr="00634296">
        <w:rPr>
          <w:rFonts w:eastAsia="Yu Gothic Light"/>
        </w:rPr>
        <w:t xml:space="preserve"> and </w:t>
      </w:r>
      <w:r w:rsidRPr="00634296">
        <w:rPr>
          <w:rFonts w:eastAsia="Yu Gothic Light"/>
        </w:rPr>
        <w:t>1962.2</w:t>
      </w:r>
      <w:ins w:id="6" w:author="Wong, Anna@ARB" w:date="2022-03-28T11:37:00Z">
        <w:r w:rsidR="004E21FA" w:rsidRPr="00634296">
          <w:rPr>
            <w:rFonts w:eastAsia="Yu Gothic Light"/>
          </w:rPr>
          <w:t xml:space="preserve">, and associated test </w:t>
        </w:r>
        <w:proofErr w:type="gramStart"/>
        <w:r w:rsidR="004E21FA" w:rsidRPr="00634296">
          <w:rPr>
            <w:rFonts w:eastAsia="Yu Gothic Light"/>
          </w:rPr>
          <w:t>procedures</w:t>
        </w:r>
      </w:ins>
      <w:r w:rsidRPr="00634296">
        <w:rPr>
          <w:rFonts w:eastAsia="Yu Gothic Light"/>
        </w:rPr>
        <w:t>;</w:t>
      </w:r>
      <w:proofErr w:type="gramEnd"/>
      <w:r w:rsidRPr="00634296">
        <w:rPr>
          <w:rFonts w:eastAsia="Yu Gothic Light"/>
        </w:rPr>
        <w:t xml:space="preserve"> and</w:t>
      </w:r>
    </w:p>
    <w:p w14:paraId="6A851E15" w14:textId="2B7CF6F2" w:rsidR="00A74316" w:rsidRPr="00634296" w:rsidRDefault="00A74316" w:rsidP="00A74316">
      <w:pPr>
        <w:pStyle w:val="Heading3"/>
        <w:rPr>
          <w:rFonts w:eastAsia="Yu Gothic Light"/>
        </w:rPr>
      </w:pPr>
      <w:del w:id="7" w:author="Wong, Anna@ARB" w:date="2022-03-28T11:37:00Z">
        <w:r w:rsidRPr="00634296">
          <w:rPr>
            <w:rFonts w:eastAsia="Yu Gothic Light"/>
          </w:rPr>
          <w:delText>all</w:delText>
        </w:r>
      </w:del>
      <w:ins w:id="8" w:author="Wong, Anna@ARB" w:date="2022-03-28T11:37:00Z">
        <w:r w:rsidR="009A33D7" w:rsidRPr="00634296">
          <w:rPr>
            <w:rFonts w:eastAsia="Yu Gothic Light"/>
          </w:rPr>
          <w:t>2026 and subsequent model year zero-emission vehicles and plug-in</w:t>
        </w:r>
      </w:ins>
      <w:r w:rsidR="009A33D7" w:rsidRPr="00634296">
        <w:rPr>
          <w:rFonts w:eastAsia="Yu Gothic Light"/>
        </w:rPr>
        <w:t xml:space="preserve"> hybrid electric vehicles </w:t>
      </w:r>
      <w:del w:id="9" w:author="Wong, Anna@ARB" w:date="2022-03-28T11:37:00Z">
        <w:r w:rsidRPr="00634296">
          <w:rPr>
            <w:rFonts w:eastAsia="Yu Gothic Light"/>
          </w:rPr>
          <w:delText>that are capable of being recharged by a battery charger that transfers energy from the electricity grid to the vehicle</w:delText>
        </w:r>
      </w:del>
      <w:ins w:id="10" w:author="Wong, Anna@ARB" w:date="2022-03-28T11:37:00Z">
        <w:r w:rsidR="009A33D7" w:rsidRPr="00634296">
          <w:rPr>
            <w:rFonts w:eastAsia="Yu Gothic Light"/>
          </w:rPr>
          <w:t>certified</w:t>
        </w:r>
      </w:ins>
      <w:r w:rsidR="009A33D7" w:rsidRPr="00634296">
        <w:rPr>
          <w:rFonts w:eastAsia="Yu Gothic Light"/>
        </w:rPr>
        <w:t xml:space="preserve"> for </w:t>
      </w:r>
      <w:del w:id="11" w:author="Wong, Anna@ARB" w:date="2022-03-28T11:37:00Z">
        <w:r w:rsidRPr="00634296">
          <w:rPr>
            <w:rFonts w:eastAsia="Yu Gothic Light"/>
          </w:rPr>
          <w:delText>purposes of recharging the vehicle traction battery.</w:delText>
        </w:r>
      </w:del>
      <w:ins w:id="12" w:author="Wong, Anna@ARB" w:date="2022-03-28T11:37:00Z">
        <w:r w:rsidR="009A33D7" w:rsidRPr="00634296">
          <w:rPr>
            <w:rFonts w:eastAsia="Yu Gothic Light"/>
          </w:rPr>
          <w:t>sale in California under California Code of Regulations, title 13, section 1962.4.</w:t>
        </w:r>
        <w:r w:rsidR="00E47C98" w:rsidRPr="00634296">
          <w:rPr>
            <w:rFonts w:eastAsia="Yu Gothic Light"/>
          </w:rPr>
          <w:t xml:space="preserve"> </w:t>
        </w:r>
      </w:ins>
    </w:p>
    <w:p w14:paraId="5843D534" w14:textId="77777777" w:rsidR="00A74316" w:rsidRPr="00634296" w:rsidRDefault="00A74316" w:rsidP="00A74316">
      <w:pPr>
        <w:pStyle w:val="Heading2"/>
        <w:rPr>
          <w:rFonts w:eastAsia="Yu Gothic Light"/>
        </w:rPr>
      </w:pPr>
      <w:r w:rsidRPr="00634296">
        <w:rPr>
          <w:rFonts w:eastAsia="Yu Gothic Light"/>
        </w:rPr>
        <w:t>Definitions.</w:t>
      </w:r>
    </w:p>
    <w:p w14:paraId="16C810D3" w14:textId="741A7229" w:rsidR="00A74316" w:rsidRPr="00634296" w:rsidRDefault="00A74316" w:rsidP="00A74316">
      <w:pPr>
        <w:pStyle w:val="Heading3"/>
        <w:rPr>
          <w:rFonts w:eastAsia="Yu Gothic Light"/>
        </w:rPr>
      </w:pPr>
      <w:r w:rsidRPr="00634296">
        <w:rPr>
          <w:rFonts w:eastAsia="Yu Gothic Light"/>
        </w:rPr>
        <w:t>The definitions in section 1962.1</w:t>
      </w:r>
      <w:ins w:id="13" w:author="Wong, Anna@ARB" w:date="2022-03-28T11:37:00Z">
        <w:r w:rsidR="00AC61A0" w:rsidRPr="00634296">
          <w:rPr>
            <w:rFonts w:eastAsia="Yu Gothic Light"/>
          </w:rPr>
          <w:t>,</w:t>
        </w:r>
        <w:r w:rsidRPr="00634296">
          <w:rPr>
            <w:rFonts w:eastAsia="Yu Gothic Light"/>
          </w:rPr>
          <w:t xml:space="preserve"> 1962.2</w:t>
        </w:r>
        <w:r w:rsidR="00AC61A0" w:rsidRPr="00634296">
          <w:rPr>
            <w:rFonts w:eastAsia="Yu Gothic Light"/>
          </w:rPr>
          <w:t>,</w:t>
        </w:r>
      </w:ins>
      <w:r w:rsidR="00AC61A0" w:rsidRPr="00634296">
        <w:rPr>
          <w:rFonts w:eastAsia="Yu Gothic Light"/>
        </w:rPr>
        <w:t xml:space="preserve"> and 1962.</w:t>
      </w:r>
      <w:del w:id="14" w:author="Wong, Anna@ARB" w:date="2022-03-28T11:37:00Z">
        <w:r w:rsidRPr="00634296">
          <w:rPr>
            <w:rFonts w:eastAsia="Yu Gothic Light"/>
          </w:rPr>
          <w:delText>2</w:delText>
        </w:r>
      </w:del>
      <w:ins w:id="15" w:author="Wong, Anna@ARB" w:date="2022-03-28T11:37:00Z">
        <w:r w:rsidR="00AC61A0" w:rsidRPr="00634296">
          <w:rPr>
            <w:rFonts w:eastAsia="Yu Gothic Light"/>
          </w:rPr>
          <w:t>4</w:t>
        </w:r>
        <w:r w:rsidR="0035301C" w:rsidRPr="00634296">
          <w:rPr>
            <w:rFonts w:eastAsia="Yu Gothic Light"/>
          </w:rPr>
          <w:t>, title 13, California Code of Regulations and associated test procedures</w:t>
        </w:r>
      </w:ins>
      <w:r w:rsidR="0035301C" w:rsidRPr="00634296">
        <w:rPr>
          <w:rFonts w:eastAsia="Yu Gothic Light"/>
        </w:rPr>
        <w:t xml:space="preserve"> </w:t>
      </w:r>
      <w:r w:rsidRPr="00634296">
        <w:rPr>
          <w:rFonts w:eastAsia="Yu Gothic Light"/>
        </w:rPr>
        <w:t>apply to this section.</w:t>
      </w:r>
    </w:p>
    <w:p w14:paraId="79E3F751" w14:textId="77777777" w:rsidR="00A74316" w:rsidRPr="00634296" w:rsidRDefault="00A74316" w:rsidP="00A74316">
      <w:pPr>
        <w:pStyle w:val="Heading2"/>
        <w:rPr>
          <w:rFonts w:eastAsia="Yu Gothic Light"/>
        </w:rPr>
      </w:pPr>
      <w:r w:rsidRPr="00634296">
        <w:rPr>
          <w:rFonts w:eastAsia="Yu Gothic Light"/>
        </w:rPr>
        <w:t>Requirements.</w:t>
      </w:r>
    </w:p>
    <w:p w14:paraId="4F218E68" w14:textId="248F015C" w:rsidR="00A74316" w:rsidRPr="00634296" w:rsidRDefault="0035301C" w:rsidP="00A74316">
      <w:pPr>
        <w:pStyle w:val="Heading3"/>
        <w:rPr>
          <w:rFonts w:eastAsia="Yu Gothic Light"/>
        </w:rPr>
      </w:pPr>
      <w:ins w:id="16" w:author="Wong, Anna@ARB" w:date="2022-03-28T11:37:00Z">
        <w:r w:rsidRPr="00634296">
          <w:rPr>
            <w:rFonts w:eastAsia="Yu Gothic Light"/>
          </w:rPr>
          <w:t>Alternating Current (AC) Charger</w:t>
        </w:r>
        <w:r w:rsidR="003705DC" w:rsidRPr="00634296">
          <w:rPr>
            <w:rFonts w:eastAsia="Yu Gothic Light"/>
          </w:rPr>
          <w:t xml:space="preserve"> Inlet</w:t>
        </w:r>
        <w:r w:rsidRPr="00634296">
          <w:rPr>
            <w:rFonts w:eastAsia="Yu Gothic Light"/>
          </w:rPr>
          <w:t xml:space="preserve">. </w:t>
        </w:r>
      </w:ins>
      <w:r w:rsidR="00A74316" w:rsidRPr="00634296">
        <w:rPr>
          <w:rFonts w:eastAsia="Yu Gothic Light"/>
        </w:rPr>
        <w:t xml:space="preserve">Beginning with the 2006 model year, all vehicles identified in </w:t>
      </w:r>
      <w:r w:rsidR="0081163A" w:rsidRPr="00634296">
        <w:rPr>
          <w:rFonts w:eastAsia="Yu Gothic Light"/>
        </w:rPr>
        <w:t>sub</w:t>
      </w:r>
      <w:del w:id="17" w:author="Wong, Anna@ARB" w:date="2022-03-28T11:37:00Z">
        <w:r w:rsidR="00A74316" w:rsidRPr="00634296">
          <w:rPr>
            <w:rFonts w:eastAsia="Yu Gothic Light"/>
          </w:rPr>
          <w:delText>divi</w:delText>
        </w:r>
      </w:del>
      <w:r w:rsidR="0081163A" w:rsidRPr="00634296">
        <w:rPr>
          <w:rFonts w:eastAsia="Yu Gothic Light"/>
        </w:rPr>
        <w:t>s</w:t>
      </w:r>
      <w:ins w:id="18" w:author="Wong, Anna@ARB" w:date="2022-03-28T11:37:00Z">
        <w:r w:rsidR="0081163A" w:rsidRPr="00634296">
          <w:rPr>
            <w:rFonts w:eastAsia="Yu Gothic Light"/>
          </w:rPr>
          <w:t>ect</w:t>
        </w:r>
      </w:ins>
      <w:r w:rsidR="0081163A" w:rsidRPr="00634296">
        <w:rPr>
          <w:rFonts w:eastAsia="Yu Gothic Light"/>
        </w:rPr>
        <w:t xml:space="preserve">ion </w:t>
      </w:r>
      <w:r w:rsidR="00A74316" w:rsidRPr="00634296">
        <w:rPr>
          <w:rFonts w:eastAsia="Yu Gothic Light"/>
        </w:rPr>
        <w:t xml:space="preserve">(a) must be equipped with a conductive charger inlet and charging system which meets all the specifications applicable to AC Level 1 and Level 2 charging contained in </w:t>
      </w:r>
      <w:del w:id="19" w:author="Wong, Anna@ARB" w:date="2022-03-28T11:37:00Z">
        <w:r w:rsidR="00A74316" w:rsidRPr="00634296">
          <w:rPr>
            <w:rFonts w:eastAsia="Yu Gothic Light"/>
          </w:rPr>
          <w:delText>Society of Automotive Engineers (</w:delText>
        </w:r>
      </w:del>
      <w:r w:rsidR="00A74316" w:rsidRPr="00634296">
        <w:rPr>
          <w:rFonts w:eastAsia="Yu Gothic Light"/>
        </w:rPr>
        <w:t>SAE</w:t>
      </w:r>
      <w:del w:id="20" w:author="Wong, Anna@ARB" w:date="2022-03-28T11:37:00Z">
        <w:r w:rsidR="00A74316" w:rsidRPr="00634296">
          <w:rPr>
            <w:rFonts w:eastAsia="Yu Gothic Light"/>
          </w:rPr>
          <w:delText>)</w:delText>
        </w:r>
      </w:del>
      <w:r w:rsidR="00A74316" w:rsidRPr="00634296">
        <w:rPr>
          <w:rFonts w:eastAsia="Yu Gothic Light"/>
        </w:rPr>
        <w:t xml:space="preserve"> Surface Vehicle Recommended Practice SAE J1772 REV </w:t>
      </w:r>
      <w:del w:id="21" w:author="Wong, Anna@ARB" w:date="2022-03-28T11:37:00Z">
        <w:r w:rsidR="00A74316" w:rsidRPr="00634296">
          <w:rPr>
            <w:rFonts w:eastAsia="Yu Gothic Light"/>
          </w:rPr>
          <w:delText>JAN 2010</w:delText>
        </w:r>
      </w:del>
      <w:ins w:id="22" w:author="Wong, Anna@ARB" w:date="2022-03-28T11:37:00Z">
        <w:r w:rsidR="00E377CD" w:rsidRPr="00634296">
          <w:rPr>
            <w:rFonts w:eastAsia="Yu Gothic Light"/>
          </w:rPr>
          <w:t>OCT 2017</w:t>
        </w:r>
      </w:ins>
      <w:r w:rsidR="00A74316" w:rsidRPr="00634296">
        <w:rPr>
          <w:rFonts w:eastAsia="Yu Gothic Light"/>
        </w:rPr>
        <w:t>, SAE Electric Vehicle and Plug in Hybrid Electric Vehicle Conductive Charger Coupler, which is incorporated herein by reference. All such vehicles</w:t>
      </w:r>
      <w:ins w:id="23" w:author="Wong, Anna@ARB" w:date="2022-03-28T11:37:00Z">
        <w:r w:rsidR="00837B62" w:rsidRPr="00634296">
          <w:rPr>
            <w:rFonts w:eastAsia="Yu Gothic Light"/>
          </w:rPr>
          <w:t>, manufacture</w:t>
        </w:r>
        <w:r w:rsidR="003C52D3" w:rsidRPr="00634296">
          <w:rPr>
            <w:rFonts w:eastAsia="Yu Gothic Light"/>
          </w:rPr>
          <w:t>d</w:t>
        </w:r>
        <w:r w:rsidR="00837B62" w:rsidRPr="00634296">
          <w:rPr>
            <w:rFonts w:eastAsia="Yu Gothic Light"/>
          </w:rPr>
          <w:t xml:space="preserve"> through 2025 model year,</w:t>
        </w:r>
      </w:ins>
      <w:r w:rsidR="00A74316" w:rsidRPr="00634296">
        <w:rPr>
          <w:rFonts w:eastAsia="Yu Gothic Light"/>
        </w:rPr>
        <w:t xml:space="preserve"> must also be equipped with an on-board charger with a minimum output of 3.3 kilowatts</w:t>
      </w:r>
      <w:del w:id="24" w:author="Wong, Anna@ARB" w:date="2022-03-28T11:37:00Z">
        <w:r w:rsidR="00A74316" w:rsidRPr="00634296">
          <w:rPr>
            <w:rFonts w:eastAsia="Yu Gothic Light"/>
          </w:rPr>
          <w:delText>,</w:delText>
        </w:r>
      </w:del>
      <w:r w:rsidR="00A74316" w:rsidRPr="00634296">
        <w:rPr>
          <w:rFonts w:eastAsia="Yu Gothic Light"/>
        </w:rPr>
        <w:t xml:space="preserve"> or</w:t>
      </w:r>
      <w:del w:id="25" w:author="Wong, Anna@ARB" w:date="2022-03-28T11:37:00Z">
        <w:r w:rsidR="00A74316" w:rsidRPr="00634296">
          <w:rPr>
            <w:rFonts w:eastAsia="Yu Gothic Light"/>
          </w:rPr>
          <w:delText>,</w:delText>
        </w:r>
      </w:del>
      <w:ins w:id="26" w:author="Wong, Anna@ARB" w:date="2022-03-28T11:37:00Z">
        <w:r w:rsidR="00A74316" w:rsidRPr="00634296">
          <w:rPr>
            <w:rFonts w:eastAsia="Yu Gothic Light"/>
          </w:rPr>
          <w:t xml:space="preserve"> </w:t>
        </w:r>
        <w:r w:rsidR="00837B62" w:rsidRPr="00634296">
          <w:rPr>
            <w:rFonts w:eastAsia="Yu Gothic Light"/>
          </w:rPr>
          <w:t>capable of providing</w:t>
        </w:r>
      </w:ins>
      <w:r w:rsidR="00837B62" w:rsidRPr="00634296">
        <w:rPr>
          <w:rFonts w:eastAsia="Yu Gothic Light"/>
        </w:rPr>
        <w:t xml:space="preserve"> </w:t>
      </w:r>
      <w:r w:rsidR="00A74316" w:rsidRPr="00634296">
        <w:rPr>
          <w:rFonts w:eastAsia="Yu Gothic Light"/>
        </w:rPr>
        <w:t>sufficient power to enable a complete charge in less than 4 hours.</w:t>
      </w:r>
      <w:ins w:id="27" w:author="Wong, Anna@ARB" w:date="2022-03-28T11:37:00Z">
        <w:r w:rsidR="00837B62" w:rsidRPr="00634296">
          <w:rPr>
            <w:rFonts w:eastAsia="Yu Gothic Light"/>
          </w:rPr>
          <w:t xml:space="preserve">  All such vehicles manufacture</w:t>
        </w:r>
        <w:r w:rsidR="004A2404" w:rsidRPr="00634296">
          <w:rPr>
            <w:rFonts w:eastAsia="Yu Gothic Light"/>
          </w:rPr>
          <w:t>d</w:t>
        </w:r>
        <w:r w:rsidR="00837B62" w:rsidRPr="00634296">
          <w:rPr>
            <w:rFonts w:eastAsia="Yu Gothic Light"/>
          </w:rPr>
          <w:t xml:space="preserve"> for 2026 and subsequent model years must also be equipped with an on-boar</w:t>
        </w:r>
        <w:r w:rsidR="00103D96" w:rsidRPr="00634296">
          <w:rPr>
            <w:rFonts w:eastAsia="Yu Gothic Light"/>
          </w:rPr>
          <w:t>d</w:t>
        </w:r>
        <w:r w:rsidR="00837B62" w:rsidRPr="00634296">
          <w:rPr>
            <w:rFonts w:eastAsia="Yu Gothic Light"/>
          </w:rPr>
          <w:t xml:space="preserve"> charger with a minimum output of 5.76 kilowatts</w:t>
        </w:r>
        <w:r w:rsidR="00620663" w:rsidRPr="00634296">
          <w:rPr>
            <w:rFonts w:eastAsia="Yu Gothic Light"/>
          </w:rPr>
          <w:t xml:space="preserve"> (</w:t>
        </w:r>
        <w:r w:rsidR="00D96F4F" w:rsidRPr="00634296">
          <w:rPr>
            <w:rFonts w:eastAsia="Yu Gothic Light"/>
          </w:rPr>
          <w:t>calculated as 24 amps at 240 volts AC)</w:t>
        </w:r>
        <w:r w:rsidR="00837B62" w:rsidRPr="00634296">
          <w:rPr>
            <w:rFonts w:eastAsia="Yu Gothic Light"/>
          </w:rPr>
          <w:t xml:space="preserve"> or capable of providing sufficient power to enable charging from a state of discharge to a full charge in less than 4 hours.  </w:t>
        </w:r>
      </w:ins>
    </w:p>
    <w:p w14:paraId="7C80D15F" w14:textId="6C71393D" w:rsidR="00A74316" w:rsidRPr="00634296" w:rsidRDefault="003705DC" w:rsidP="00A74316">
      <w:pPr>
        <w:pStyle w:val="Heading3"/>
        <w:rPr>
          <w:rFonts w:eastAsia="Yu Gothic Light"/>
        </w:rPr>
      </w:pPr>
      <w:ins w:id="28" w:author="Wong, Anna@ARB" w:date="2022-03-28T11:37:00Z">
        <w:r w:rsidRPr="00634296">
          <w:rPr>
            <w:rFonts w:eastAsia="Yu Gothic Light"/>
          </w:rPr>
          <w:lastRenderedPageBreak/>
          <w:t xml:space="preserve">Alternative for AC Charger Inlet. </w:t>
        </w:r>
      </w:ins>
      <w:r w:rsidR="00A74316" w:rsidRPr="00634296">
        <w:rPr>
          <w:rFonts w:eastAsia="Yu Gothic Light"/>
        </w:rPr>
        <w:t xml:space="preserve">A manufacturer may </w:t>
      </w:r>
      <w:del w:id="29" w:author="Wong, Anna@ARB" w:date="2022-03-28T11:37:00Z">
        <w:r w:rsidR="00A74316" w:rsidRPr="00634296">
          <w:rPr>
            <w:rFonts w:eastAsia="Yu Gothic Light"/>
          </w:rPr>
          <w:delText xml:space="preserve">apply to the Executive Officer for approval to </w:delText>
        </w:r>
      </w:del>
      <w:r w:rsidR="00A74316" w:rsidRPr="00634296">
        <w:rPr>
          <w:rFonts w:eastAsia="Yu Gothic Light"/>
        </w:rPr>
        <w:t>use an alternative to the AC inlet described in su</w:t>
      </w:r>
      <w:r w:rsidR="0081163A" w:rsidRPr="00634296">
        <w:rPr>
          <w:rFonts w:eastAsia="Yu Gothic Light"/>
        </w:rPr>
        <w:t>b</w:t>
      </w:r>
      <w:del w:id="30" w:author="Wong, Anna@ARB" w:date="2022-03-28T11:37:00Z">
        <w:r w:rsidR="00A74316" w:rsidRPr="00634296">
          <w:rPr>
            <w:rFonts w:eastAsia="Yu Gothic Light"/>
          </w:rPr>
          <w:delText>divi</w:delText>
        </w:r>
      </w:del>
      <w:r w:rsidR="0081163A" w:rsidRPr="00634296">
        <w:rPr>
          <w:rFonts w:eastAsia="Yu Gothic Light"/>
        </w:rPr>
        <w:t>s</w:t>
      </w:r>
      <w:ins w:id="31" w:author="Wong, Anna@ARB" w:date="2022-03-28T11:37:00Z">
        <w:r w:rsidR="0081163A" w:rsidRPr="00634296">
          <w:rPr>
            <w:rFonts w:eastAsia="Yu Gothic Light"/>
          </w:rPr>
          <w:t>ect</w:t>
        </w:r>
      </w:ins>
      <w:r w:rsidR="0081163A" w:rsidRPr="00634296">
        <w:rPr>
          <w:rFonts w:eastAsia="Yu Gothic Light"/>
        </w:rPr>
        <w:t>ion</w:t>
      </w:r>
      <w:r w:rsidR="00A74316" w:rsidRPr="00634296">
        <w:rPr>
          <w:rFonts w:eastAsia="Yu Gothic Light"/>
        </w:rPr>
        <w:t xml:space="preserve"> (c)(1), provided that the following conditions are met:</w:t>
      </w:r>
    </w:p>
    <w:p w14:paraId="04DFD7B7" w14:textId="4EADBD30" w:rsidR="00A74316" w:rsidRPr="00634296" w:rsidRDefault="00A74316" w:rsidP="00A74316">
      <w:pPr>
        <w:pStyle w:val="Heading4"/>
        <w:rPr>
          <w:rFonts w:eastAsia="Yu Gothic Light"/>
        </w:rPr>
      </w:pPr>
      <w:r w:rsidRPr="00634296">
        <w:rPr>
          <w:rFonts w:eastAsia="Yu Gothic Light"/>
        </w:rPr>
        <w:t>each vehicle is supplied with a rigid adaptor that would enable the vehicle to meet all of the remaining system and on-board charger requirements described in sub</w:t>
      </w:r>
      <w:del w:id="32" w:author="Wong, Anna@ARB" w:date="2022-03-28T11:37:00Z">
        <w:r w:rsidRPr="00634296">
          <w:rPr>
            <w:rFonts w:eastAsia="Yu Gothic Light"/>
          </w:rPr>
          <w:delText>divi</w:delText>
        </w:r>
      </w:del>
      <w:r w:rsidR="0081163A" w:rsidRPr="00634296">
        <w:rPr>
          <w:rFonts w:eastAsia="Yu Gothic Light"/>
        </w:rPr>
        <w:t>s</w:t>
      </w:r>
      <w:ins w:id="33" w:author="Wong, Anna@ARB" w:date="2022-03-28T11:37:00Z">
        <w:r w:rsidR="0081163A" w:rsidRPr="00634296">
          <w:rPr>
            <w:rFonts w:eastAsia="Yu Gothic Light"/>
          </w:rPr>
          <w:t>ect</w:t>
        </w:r>
      </w:ins>
      <w:r w:rsidR="0081163A" w:rsidRPr="00634296">
        <w:rPr>
          <w:rFonts w:eastAsia="Yu Gothic Light"/>
        </w:rPr>
        <w:t>ion</w:t>
      </w:r>
      <w:r w:rsidRPr="00634296">
        <w:rPr>
          <w:rFonts w:eastAsia="Yu Gothic Light"/>
        </w:rPr>
        <w:t xml:space="preserve"> (c)(1); and</w:t>
      </w:r>
    </w:p>
    <w:p w14:paraId="27AFD617" w14:textId="7A3FC728" w:rsidR="003705DC" w:rsidRPr="00634296" w:rsidRDefault="00A74316" w:rsidP="003705DC">
      <w:pPr>
        <w:pStyle w:val="Heading4"/>
        <w:rPr>
          <w:ins w:id="34" w:author="Wong, Anna@ARB" w:date="2022-03-28T11:37:00Z"/>
          <w:rFonts w:eastAsia="Yu Gothic Light"/>
        </w:rPr>
      </w:pPr>
      <w:r w:rsidRPr="00634296">
        <w:rPr>
          <w:rFonts w:eastAsia="Yu Gothic Light"/>
        </w:rPr>
        <w:t>the rigid adaptor and alternative inlet must be tested and approved by a Nationally Recognized Testing Laboratory (NRTL</w:t>
      </w:r>
      <w:del w:id="35" w:author="Wong, Anna@ARB" w:date="2022-03-28T11:37:00Z">
        <w:r w:rsidRPr="00634296">
          <w:rPr>
            <w:rFonts w:eastAsia="Yu Gothic Light"/>
          </w:rPr>
          <w:delText>).</w:delText>
        </w:r>
      </w:del>
      <w:ins w:id="36" w:author="Wong, Anna@ARB" w:date="2022-03-28T11:37:00Z">
        <w:r w:rsidRPr="00634296">
          <w:rPr>
            <w:rFonts w:eastAsia="Yu Gothic Light"/>
          </w:rPr>
          <w:t>)</w:t>
        </w:r>
        <w:r w:rsidR="00C135CB" w:rsidRPr="00634296">
          <w:rPr>
            <w:rFonts w:eastAsia="Yu Gothic Light"/>
          </w:rPr>
          <w:t>, according to 29 CFR 1910.7</w:t>
        </w:r>
        <w:r w:rsidRPr="00634296">
          <w:rPr>
            <w:rFonts w:eastAsia="Yu Gothic Light"/>
          </w:rPr>
          <w:t>.</w:t>
        </w:r>
      </w:ins>
    </w:p>
    <w:p w14:paraId="5EB3F1F7" w14:textId="7F4BE70D" w:rsidR="003705DC" w:rsidRPr="00634296" w:rsidRDefault="003705DC" w:rsidP="003705DC">
      <w:pPr>
        <w:pStyle w:val="Heading3"/>
        <w:rPr>
          <w:ins w:id="37" w:author="Wong, Anna@ARB" w:date="2022-03-28T11:37:00Z"/>
        </w:rPr>
      </w:pPr>
      <w:ins w:id="38" w:author="Wong, Anna@ARB" w:date="2022-03-28T11:37:00Z">
        <w:r w:rsidRPr="00634296">
          <w:t xml:space="preserve">Charging Cord.  Beginning in the 2026 model year, </w:t>
        </w:r>
        <w:r w:rsidR="0F98A259" w:rsidRPr="00634296">
          <w:t xml:space="preserve">each </w:t>
        </w:r>
        <w:r w:rsidRPr="00634296">
          <w:t>vehicle must be supplied with a charging cord that meets the following specifications</w:t>
        </w:r>
        <w:r w:rsidR="002E35EB" w:rsidRPr="00634296">
          <w:t>:</w:t>
        </w:r>
      </w:ins>
    </w:p>
    <w:p w14:paraId="13CC2DC4" w14:textId="0435D336" w:rsidR="000C635C" w:rsidRPr="00634296" w:rsidRDefault="000C635C" w:rsidP="000C635C">
      <w:pPr>
        <w:pStyle w:val="Heading4"/>
        <w:rPr>
          <w:ins w:id="39" w:author="Wong, Anna@ARB" w:date="2022-03-28T11:37:00Z"/>
        </w:rPr>
      </w:pPr>
      <w:ins w:id="40" w:author="Wong, Anna@ARB" w:date="2022-03-28T11:37:00Z">
        <w:r w:rsidRPr="00634296">
          <w:t>Minimum of 20 feet in length</w:t>
        </w:r>
        <w:r w:rsidR="00BD672F" w:rsidRPr="00634296">
          <w:t>.</w:t>
        </w:r>
      </w:ins>
    </w:p>
    <w:p w14:paraId="3BF58687" w14:textId="1FF483A1" w:rsidR="000C635C" w:rsidRPr="00634296" w:rsidRDefault="000C635C" w:rsidP="000C635C">
      <w:pPr>
        <w:pStyle w:val="Heading4"/>
        <w:rPr>
          <w:ins w:id="41" w:author="Wong, Anna@ARB" w:date="2022-03-28T11:37:00Z"/>
        </w:rPr>
      </w:pPr>
      <w:ins w:id="42" w:author="Wong, Anna@ARB" w:date="2022-03-28T11:37:00Z">
        <w:r w:rsidRPr="00634296">
          <w:t>Dual amperage capability compatible with AC Level 1 and Lev</w:t>
        </w:r>
        <w:r w:rsidR="002C05ED" w:rsidRPr="00634296">
          <w:t>el</w:t>
        </w:r>
        <w:r w:rsidRPr="00634296">
          <w:t xml:space="preserve"> 2 charging</w:t>
        </w:r>
        <w:r w:rsidR="00BD672F" w:rsidRPr="00634296">
          <w:t>:</w:t>
        </w:r>
      </w:ins>
    </w:p>
    <w:p w14:paraId="1A492FB8" w14:textId="77777777" w:rsidR="00274B15" w:rsidRPr="00634296" w:rsidRDefault="00274B15" w:rsidP="00274B15">
      <w:pPr>
        <w:pStyle w:val="Heading5"/>
        <w:rPr>
          <w:ins w:id="43" w:author="Wong, Anna@ARB" w:date="2022-03-28T11:37:00Z"/>
        </w:rPr>
      </w:pPr>
      <w:ins w:id="44" w:author="Wong, Anna@ARB" w:date="2022-03-28T11:37:00Z">
        <w:r w:rsidRPr="00634296">
          <w:t>AC Level 1 minimum amperage capability shall be 12 amps.</w:t>
        </w:r>
      </w:ins>
    </w:p>
    <w:p w14:paraId="04B86D2E" w14:textId="25B74BB3" w:rsidR="00274B15" w:rsidRPr="00634296" w:rsidRDefault="00274B15" w:rsidP="00274B15">
      <w:pPr>
        <w:pStyle w:val="Heading5"/>
        <w:rPr>
          <w:ins w:id="45" w:author="Wong, Anna@ARB" w:date="2022-03-28T11:37:00Z"/>
        </w:rPr>
      </w:pPr>
      <w:ins w:id="46" w:author="Wong, Anna@ARB" w:date="2022-03-28T11:37:00Z">
        <w:r w:rsidRPr="00634296">
          <w:t>AC Level 2 minimum amperage capability shall be 24 amps.</w:t>
        </w:r>
      </w:ins>
    </w:p>
    <w:p w14:paraId="46FB4B24" w14:textId="2BD82753" w:rsidR="000C635C" w:rsidRPr="00634296" w:rsidRDefault="00274B15" w:rsidP="00274B15">
      <w:pPr>
        <w:pStyle w:val="Heading5"/>
        <w:rPr>
          <w:ins w:id="47" w:author="Wong, Anna@ARB" w:date="2022-03-28T11:37:00Z"/>
        </w:rPr>
      </w:pPr>
      <w:ins w:id="48" w:author="Wong, Anna@ARB" w:date="2022-03-28T11:37:00Z">
        <w:r w:rsidRPr="00634296">
          <w:t>The cord shall be configurable by the user, without the use of tools, to facilitate plugging into an appropriate National Electrical Manufacturers Association (NEMA) standard outlet to facilitate Level 1 and Level 2 charging.</w:t>
        </w:r>
      </w:ins>
    </w:p>
    <w:p w14:paraId="54F5B972" w14:textId="1507E265" w:rsidR="00B66425" w:rsidRPr="00634296" w:rsidRDefault="00B66425" w:rsidP="00B66425">
      <w:pPr>
        <w:pStyle w:val="Heading4"/>
        <w:rPr>
          <w:ins w:id="49" w:author="Wong, Anna@ARB" w:date="2022-03-28T11:37:00Z"/>
        </w:rPr>
      </w:pPr>
      <w:ins w:id="50" w:author="Wong, Anna@ARB" w:date="2022-03-28T11:37:00Z">
        <w:r w:rsidRPr="00634296">
          <w:t>User-selectable, without the use of a tool, to downgrade the amperage during charging:</w:t>
        </w:r>
      </w:ins>
    </w:p>
    <w:p w14:paraId="71D81CD5" w14:textId="50C35415" w:rsidR="00B66425" w:rsidRPr="00634296" w:rsidRDefault="00B66425" w:rsidP="00B66425">
      <w:pPr>
        <w:pStyle w:val="Heading5"/>
        <w:rPr>
          <w:ins w:id="51" w:author="Wong, Anna@ARB" w:date="2022-03-28T11:37:00Z"/>
        </w:rPr>
      </w:pPr>
      <w:ins w:id="52" w:author="Wong, Anna@ARB" w:date="2022-03-28T11:37:00Z">
        <w:r w:rsidRPr="00634296">
          <w:t xml:space="preserve">For AC Level 1 charging, selectable by the user to charge using 12 amps or 8 amps. </w:t>
        </w:r>
      </w:ins>
    </w:p>
    <w:p w14:paraId="0AD71018" w14:textId="1978D6B5" w:rsidR="00B66425" w:rsidRPr="00634296" w:rsidRDefault="00B66425" w:rsidP="00B66425">
      <w:pPr>
        <w:pStyle w:val="Heading5"/>
        <w:rPr>
          <w:ins w:id="53" w:author="Wong, Anna@ARB" w:date="2022-03-28T11:37:00Z"/>
        </w:rPr>
      </w:pPr>
      <w:ins w:id="54" w:author="Wong, Anna@ARB" w:date="2022-03-28T11:37:00Z">
        <w:r w:rsidRPr="00634296">
          <w:t>If the cord supports amperage above 24 amps for AC Level 2 charging, selectable by the user to charge at 24 amps.</w:t>
        </w:r>
      </w:ins>
    </w:p>
    <w:p w14:paraId="12CB94AB" w14:textId="16CFA1C3" w:rsidR="00B66425" w:rsidRPr="00634296" w:rsidRDefault="00B66425" w:rsidP="00B66425">
      <w:pPr>
        <w:pStyle w:val="Heading5"/>
        <w:rPr>
          <w:ins w:id="55" w:author="Wong, Anna@ARB" w:date="2022-03-28T11:37:00Z"/>
        </w:rPr>
      </w:pPr>
      <w:ins w:id="56" w:author="Wong, Anna@ARB" w:date="2022-03-28T11:37:00Z">
        <w:r w:rsidRPr="00634296">
          <w:t xml:space="preserve">The user selection feature </w:t>
        </w:r>
        <w:r w:rsidR="009F2ED1" w:rsidRPr="00634296">
          <w:t>must either be</w:t>
        </w:r>
        <w:r w:rsidRPr="00634296">
          <w:t xml:space="preserve"> integrated into the cord or in the vehicle itself (e.g., via a charging configuration menu or setting in the vehicle). </w:t>
        </w:r>
      </w:ins>
    </w:p>
    <w:p w14:paraId="26097164" w14:textId="7D63463E" w:rsidR="00B66425" w:rsidRPr="00634296" w:rsidRDefault="00B66425" w:rsidP="00B66425">
      <w:pPr>
        <w:pStyle w:val="Heading4"/>
        <w:rPr>
          <w:ins w:id="57" w:author="Wong, Anna@ARB" w:date="2022-03-28T11:37:00Z"/>
        </w:rPr>
      </w:pPr>
      <w:ins w:id="58" w:author="Wong, Anna@ARB" w:date="2022-03-28T11:37:00Z">
        <w:r w:rsidRPr="00634296">
          <w:lastRenderedPageBreak/>
          <w:t xml:space="preserve">Tested and listed by a NRTL as meeting requirements for electric vehicle supply equipment </w:t>
        </w:r>
        <w:r w:rsidR="385F1BB0" w:rsidRPr="00634296">
          <w:t xml:space="preserve">contained in </w:t>
        </w:r>
        <w:r w:rsidRPr="00634296">
          <w:t>U</w:t>
        </w:r>
        <w:r w:rsidR="00C8232F" w:rsidRPr="00634296">
          <w:t xml:space="preserve">nderwriter </w:t>
        </w:r>
        <w:r w:rsidRPr="00634296">
          <w:t>L</w:t>
        </w:r>
        <w:r w:rsidR="00C8232F" w:rsidRPr="00634296">
          <w:t>ab</w:t>
        </w:r>
        <w:r w:rsidR="00591BB5" w:rsidRPr="00634296">
          <w:t>oratory</w:t>
        </w:r>
        <w:r w:rsidR="00BC28C1" w:rsidRPr="00634296">
          <w:t xml:space="preserve"> (UL)</w:t>
        </w:r>
        <w:r w:rsidRPr="00634296">
          <w:t xml:space="preserve"> 2594</w:t>
        </w:r>
        <w:r w:rsidR="005A7BB3" w:rsidRPr="00634296">
          <w:t>, “Standard for Electric Vehicle Supply Equipment”</w:t>
        </w:r>
        <w:r w:rsidR="004F7C3A" w:rsidRPr="00634296">
          <w:t>, December 2016</w:t>
        </w:r>
        <w:r w:rsidRPr="00634296">
          <w:t>, which is incorporated herein by reference.</w:t>
        </w:r>
      </w:ins>
    </w:p>
    <w:p w14:paraId="534FBE74" w14:textId="5A86458E" w:rsidR="00B66425" w:rsidRPr="00634296" w:rsidRDefault="00B66425" w:rsidP="00B66425">
      <w:pPr>
        <w:pStyle w:val="Heading3"/>
        <w:rPr>
          <w:ins w:id="59" w:author="Wong, Anna@ARB" w:date="2022-03-28T11:37:00Z"/>
        </w:rPr>
      </w:pPr>
      <w:ins w:id="60" w:author="Wong, Anna@ARB" w:date="2022-03-28T11:37:00Z">
        <w:r w:rsidRPr="00634296">
          <w:t xml:space="preserve">Direct Current (DC) Charger Inlet. For 2026 and subsequent model years, all vehicles subject to this section under subsection (a)(1) must be equipped with a </w:t>
        </w:r>
        <w:r w:rsidR="00994F27" w:rsidRPr="00634296">
          <w:t xml:space="preserve">DC </w:t>
        </w:r>
        <w:r w:rsidRPr="00634296">
          <w:t xml:space="preserve">inlet that meets the specifications applicable to DC charging contained in SAE J1772 REV OCT 2017, SAE Electric Vehicle and Plug in Hybrid Electric Vehicle Conductive Charger Coupler, which is incorporated herein by reference.  </w:t>
        </w:r>
      </w:ins>
    </w:p>
    <w:p w14:paraId="3D27F0A4" w14:textId="6F270E06" w:rsidR="00C5030B" w:rsidRPr="00634296" w:rsidRDefault="00C5030B" w:rsidP="00C5030B">
      <w:pPr>
        <w:pStyle w:val="Heading3"/>
        <w:rPr>
          <w:ins w:id="61" w:author="Wong, Anna@ARB" w:date="2022-03-28T11:37:00Z"/>
        </w:rPr>
      </w:pPr>
      <w:ins w:id="62" w:author="Wong, Anna@ARB" w:date="2022-03-28T11:37:00Z">
        <w:r w:rsidRPr="00634296">
          <w:t>Alternative Option for DC Charger. A manufacturer may use an alternative to the DC inlet described in subsection (c)(4) under the following conditions:</w:t>
        </w:r>
      </w:ins>
    </w:p>
    <w:p w14:paraId="14E23565" w14:textId="7307C772" w:rsidR="00C5030B" w:rsidRPr="00634296" w:rsidRDefault="00C5030B" w:rsidP="00C5030B">
      <w:pPr>
        <w:pStyle w:val="Heading4"/>
        <w:rPr>
          <w:ins w:id="63" w:author="Wong, Anna@ARB" w:date="2022-03-28T11:37:00Z"/>
        </w:rPr>
      </w:pPr>
      <w:ins w:id="64" w:author="Wong, Anna@ARB" w:date="2022-03-28T11:37:00Z">
        <w:r w:rsidRPr="00634296">
          <w:t>each vehicle is supplied with an adaptor that would enable the vehicle to meet all system requirements in subsection (c)(4); and</w:t>
        </w:r>
      </w:ins>
    </w:p>
    <w:p w14:paraId="1E696988" w14:textId="58CB7F6D" w:rsidR="00274B15" w:rsidRPr="00634296" w:rsidRDefault="00C5030B" w:rsidP="00C5030B">
      <w:pPr>
        <w:pStyle w:val="Heading4"/>
        <w:rPr>
          <w:ins w:id="65" w:author="Wong, Anna@ARB" w:date="2022-03-28T11:37:00Z"/>
        </w:rPr>
      </w:pPr>
      <w:ins w:id="66" w:author="Wong, Anna@ARB" w:date="2022-03-28T11:37:00Z">
        <w:r w:rsidRPr="00634296">
          <w:t>the adaptor and alternative inlet must be tested and approved by a NRTL.</w:t>
        </w:r>
      </w:ins>
    </w:p>
    <w:p w14:paraId="668C9D22" w14:textId="772DEF80" w:rsidR="22D7886F" w:rsidRPr="00634296" w:rsidRDefault="22D7886F" w:rsidP="001602B1">
      <w:pPr>
        <w:pStyle w:val="Heading2"/>
        <w:rPr>
          <w:ins w:id="67" w:author="Wong, Anna@ARB" w:date="2022-03-28T11:37:00Z"/>
          <w:rFonts w:eastAsia="Avenir LT Std 55 Roman" w:cs="Avenir LT Std 55 Roman"/>
        </w:rPr>
      </w:pPr>
      <w:ins w:id="68" w:author="Wong, Anna@ARB" w:date="2022-03-28T11:37:00Z">
        <w:r w:rsidRPr="00634296">
          <w:rPr>
            <w:rFonts w:eastAsia="Avenir LT Std 55 Roman" w:cs="Avenir LT Std 55 Roman"/>
            <w:color w:val="000000" w:themeColor="text1"/>
            <w:szCs w:val="24"/>
          </w:rPr>
          <w:t>Severability. Each provision of this section is severable, and in the event that any provision of this section is held to be invalid, the remainder of this section and this article remains in full force and effect.</w:t>
        </w:r>
      </w:ins>
    </w:p>
    <w:p w14:paraId="1317DBED" w14:textId="48CBA3BA" w:rsidR="22D7886F" w:rsidRPr="00634296" w:rsidRDefault="22D7886F" w:rsidP="22D7886F">
      <w:pPr>
        <w:rPr>
          <w:rFonts w:ascii="Avenir LT Std 55 Roman" w:hAnsi="Avenir LT Std 55 Roman"/>
        </w:rPr>
      </w:pPr>
    </w:p>
    <w:p w14:paraId="3EA61885" w14:textId="6F4B4F9C" w:rsidR="009C73DE" w:rsidRPr="00634296" w:rsidRDefault="00A74316" w:rsidP="00A74316">
      <w:pPr>
        <w:rPr>
          <w:rFonts w:ascii="Avenir LT Std 55 Roman" w:hAnsi="Avenir LT Std 55 Roman"/>
        </w:rPr>
      </w:pPr>
      <w:r w:rsidRPr="00634296">
        <w:rPr>
          <w:rFonts w:ascii="Avenir LT Std 55 Roman" w:hAnsi="Avenir LT Std 55 Roman"/>
        </w:rPr>
        <w:t>Note: Authority cited: Sections 39600, 39601, 43013, 43018, 43101, 43104 and 43105, Health and Safety Code. Reference: Sections 38562, 39002, 39003, 39667, 43000, 43009.5, 43013, 43018, 43018.5, 43100, 43101, 43101.5, 43102, 43104, 43105, 43106, 43107, 43204 and 43205.5, Health and Safety Code.</w:t>
      </w:r>
    </w:p>
    <w:sectPr w:rsidR="009C73DE" w:rsidRPr="00634296">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61B9" w14:textId="77777777" w:rsidR="00710EE5" w:rsidRDefault="00710EE5" w:rsidP="00441133">
      <w:pPr>
        <w:spacing w:after="0" w:line="240" w:lineRule="auto"/>
      </w:pPr>
      <w:r>
        <w:separator/>
      </w:r>
    </w:p>
  </w:endnote>
  <w:endnote w:type="continuationSeparator" w:id="0">
    <w:p w14:paraId="603128DB" w14:textId="77777777" w:rsidR="00710EE5" w:rsidRDefault="00710EE5" w:rsidP="00441133">
      <w:pPr>
        <w:spacing w:after="0" w:line="240" w:lineRule="auto"/>
      </w:pPr>
      <w:r>
        <w:continuationSeparator/>
      </w:r>
    </w:p>
  </w:endnote>
  <w:endnote w:type="continuationNotice" w:id="1">
    <w:p w14:paraId="6F2F33F1" w14:textId="77777777" w:rsidR="00710EE5" w:rsidRDefault="00710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altName w:val="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EA0208"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EA0208" w:rsidRDefault="00EA0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4CC2FE47" w14:textId="6642C3AC" w:rsidR="00A25CEF" w:rsidRPr="00C617FE" w:rsidRDefault="00D775EB" w:rsidP="00A25CEF">
        <w:pPr>
          <w:pStyle w:val="Footer"/>
          <w:jc w:val="center"/>
          <w:rPr>
            <w:rFonts w:ascii="Avenir LT Std 55 Roman" w:hAnsi="Avenir LT Std 55 Roman" w:cs="Arial"/>
            <w:noProof/>
            <w:sz w:val="24"/>
            <w:szCs w:val="24"/>
            <w:shd w:val="clear" w:color="auto" w:fill="E6E6E6"/>
          </w:rPr>
        </w:pPr>
        <w:r w:rsidRPr="00C617FE">
          <w:rPr>
            <w:rFonts w:ascii="Avenir LT Std 55 Roman" w:hAnsi="Avenir LT Std 55 Roman" w:cs="Arial"/>
            <w:sz w:val="24"/>
            <w:szCs w:val="24"/>
            <w:shd w:val="clear" w:color="auto" w:fill="E6E6E6"/>
          </w:rPr>
          <w:fldChar w:fldCharType="begin"/>
        </w:r>
        <w:r w:rsidRPr="00C617FE">
          <w:rPr>
            <w:rFonts w:ascii="Avenir LT Std 55 Roman" w:hAnsi="Avenir LT Std 55 Roman" w:cs="Arial"/>
            <w:sz w:val="24"/>
            <w:szCs w:val="24"/>
          </w:rPr>
          <w:instrText xml:space="preserve"> PAGE   \* MERGEFORMAT </w:instrText>
        </w:r>
        <w:r w:rsidRPr="00C617FE">
          <w:rPr>
            <w:rFonts w:ascii="Avenir LT Std 55 Roman" w:hAnsi="Avenir LT Std 55 Roman" w:cs="Arial"/>
            <w:sz w:val="24"/>
            <w:szCs w:val="24"/>
            <w:shd w:val="clear" w:color="auto" w:fill="E6E6E6"/>
          </w:rPr>
          <w:fldChar w:fldCharType="separate"/>
        </w:r>
        <w:r w:rsidRPr="00C617FE">
          <w:rPr>
            <w:rFonts w:ascii="Avenir LT Std 55 Roman" w:hAnsi="Avenir LT Std 55 Roman" w:cs="Arial"/>
            <w:noProof/>
            <w:sz w:val="24"/>
            <w:szCs w:val="24"/>
          </w:rPr>
          <w:t>2</w:t>
        </w:r>
        <w:r w:rsidRPr="00C617FE">
          <w:rPr>
            <w:rFonts w:ascii="Avenir LT Std 55 Roman" w:hAnsi="Avenir LT Std 55 Roman" w:cs="Arial"/>
            <w:noProof/>
            <w:sz w:val="24"/>
            <w:szCs w:val="24"/>
            <w:shd w:val="clear" w:color="auto" w:fill="E6E6E6"/>
          </w:rPr>
          <w:fldChar w:fldCharType="end"/>
        </w:r>
      </w:p>
    </w:sdtContent>
  </w:sdt>
  <w:p w14:paraId="393678AB" w14:textId="56A9D7A7" w:rsidR="00A25CEF" w:rsidRPr="00A25CEF" w:rsidRDefault="00A25CEF" w:rsidP="00A25CEF">
    <w:pPr>
      <w:pStyle w:val="Footer"/>
      <w:rPr>
        <w:rFonts w:ascii="Avenir LT Std 55 Roman" w:hAnsi="Avenir LT Std 55 Roman" w:cs="Arial"/>
        <w:noProof/>
        <w:sz w:val="24"/>
        <w:szCs w:val="24"/>
      </w:rPr>
    </w:pPr>
    <w:r w:rsidRPr="00C617FE">
      <w:rPr>
        <w:rFonts w:ascii="Avenir LT Std 55 Roman" w:hAnsi="Avenir LT Std 55 Roman" w:cs="Arial"/>
        <w:noProof/>
        <w:sz w:val="24"/>
        <w:szCs w:val="24"/>
      </w:rPr>
      <w:t>Date of Release: April 12, 2022</w:t>
    </w:r>
    <w:r w:rsidRPr="00A25CEF">
      <w:rPr>
        <w:rFonts w:ascii="Avenir LT Std 55 Roman" w:hAnsi="Avenir LT Std 55 Roman" w:cs="Arial"/>
        <w:noProof/>
        <w:sz w:val="24"/>
        <w:szCs w:val="24"/>
      </w:rPr>
      <w:t xml:space="preserve"> </w:t>
    </w:r>
  </w:p>
  <w:p w14:paraId="165F3604" w14:textId="5CB62CBA" w:rsidR="00EA0208" w:rsidRPr="005009EB" w:rsidRDefault="00A25CEF" w:rsidP="00A25CEF">
    <w:pPr>
      <w:pStyle w:val="Footer"/>
      <w:rPr>
        <w:rFonts w:ascii="Avenir LT Std 55 Roman" w:hAnsi="Avenir LT Std 55 Roman" w:cs="Arial"/>
        <w:noProof/>
        <w:sz w:val="24"/>
        <w:szCs w:val="24"/>
      </w:rPr>
    </w:pPr>
    <w:r w:rsidRPr="00A25CEF">
      <w:rPr>
        <w:rFonts w:ascii="Avenir LT Std 55 Roman" w:hAnsi="Avenir LT Std 55 Roman" w:cs="Arial"/>
        <w:noProof/>
        <w:sz w:val="24"/>
        <w:szCs w:val="24"/>
      </w:rPr>
      <w:t>Date of Hearing: June 9,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EA0208" w:rsidRDefault="00EA02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D624" w14:textId="77777777" w:rsidR="00710EE5" w:rsidRDefault="00710EE5" w:rsidP="00441133">
      <w:pPr>
        <w:spacing w:after="0" w:line="240" w:lineRule="auto"/>
      </w:pPr>
      <w:r>
        <w:separator/>
      </w:r>
    </w:p>
  </w:footnote>
  <w:footnote w:type="continuationSeparator" w:id="0">
    <w:p w14:paraId="3AFF6116" w14:textId="77777777" w:rsidR="00710EE5" w:rsidRDefault="00710EE5" w:rsidP="00441133">
      <w:pPr>
        <w:spacing w:after="0" w:line="240" w:lineRule="auto"/>
      </w:pPr>
      <w:r>
        <w:continuationSeparator/>
      </w:r>
    </w:p>
  </w:footnote>
  <w:footnote w:type="continuationNotice" w:id="1">
    <w:p w14:paraId="128E4CB5" w14:textId="77777777" w:rsidR="00710EE5" w:rsidRDefault="00710E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322BA7FA" w:rsidR="00EA0208" w:rsidRPr="00A25CEF" w:rsidRDefault="00A25CEF" w:rsidP="00EA0208">
    <w:pPr>
      <w:tabs>
        <w:tab w:val="center" w:pos="4320"/>
        <w:tab w:val="right" w:pos="8640"/>
      </w:tabs>
      <w:ind w:right="-540"/>
      <w:rPr>
        <w:rFonts w:ascii="Avenir LT Std 55 Roman" w:hAnsi="Avenir LT Std 55 Roman" w:cs="Arial"/>
        <w:szCs w:val="24"/>
      </w:rPr>
    </w:pPr>
    <w:r>
      <w:rPr>
        <w:rFonts w:cs="Arial"/>
        <w:sz w:val="20"/>
      </w:rPr>
      <w:tab/>
    </w:r>
    <w:r w:rsidRPr="00A25CEF">
      <w:rPr>
        <w:rFonts w:ascii="Avenir LT Std 55 Roman" w:hAnsi="Avenir LT Std 55 Roman" w:cs="Arial"/>
        <w:sz w:val="24"/>
        <w:szCs w:val="28"/>
      </w:rPr>
      <w:t>Appendix A-4</w:t>
    </w:r>
    <w:r w:rsidR="00634296">
      <w:rPr>
        <w:rFonts w:ascii="Avenir LT Std 55 Roman" w:hAnsi="Avenir LT Std 55 Roman" w:cs="Arial"/>
        <w:sz w:val="24"/>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EA0208" w:rsidRPr="00F11192" w:rsidRDefault="00D775EB" w:rsidP="00EA0208">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ng, Anna@ARB">
    <w15:presenceInfo w15:providerId="AD" w15:userId="S::Anna.Wong@arb.ca.gov::a1726947-5b7f-418d-aa27-ca72f29f4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02189"/>
    <w:rsid w:val="0003381B"/>
    <w:rsid w:val="00045F83"/>
    <w:rsid w:val="00055ED4"/>
    <w:rsid w:val="00064093"/>
    <w:rsid w:val="00082072"/>
    <w:rsid w:val="00091191"/>
    <w:rsid w:val="000C635C"/>
    <w:rsid w:val="000D4D2F"/>
    <w:rsid w:val="000E0DAF"/>
    <w:rsid w:val="000F3D84"/>
    <w:rsid w:val="00103D96"/>
    <w:rsid w:val="00124BE8"/>
    <w:rsid w:val="00155BD5"/>
    <w:rsid w:val="001602B1"/>
    <w:rsid w:val="00172264"/>
    <w:rsid w:val="001E1A3D"/>
    <w:rsid w:val="001E2245"/>
    <w:rsid w:val="001E6E1F"/>
    <w:rsid w:val="001F005D"/>
    <w:rsid w:val="00210298"/>
    <w:rsid w:val="00213217"/>
    <w:rsid w:val="00213AFA"/>
    <w:rsid w:val="00232022"/>
    <w:rsid w:val="00254CC5"/>
    <w:rsid w:val="00274B15"/>
    <w:rsid w:val="00276BAE"/>
    <w:rsid w:val="002916BA"/>
    <w:rsid w:val="002972BB"/>
    <w:rsid w:val="002A770F"/>
    <w:rsid w:val="002B21A2"/>
    <w:rsid w:val="002C05ED"/>
    <w:rsid w:val="002D1ABB"/>
    <w:rsid w:val="002E35EB"/>
    <w:rsid w:val="00303E06"/>
    <w:rsid w:val="00321724"/>
    <w:rsid w:val="00322E58"/>
    <w:rsid w:val="0035301C"/>
    <w:rsid w:val="003705DC"/>
    <w:rsid w:val="00383448"/>
    <w:rsid w:val="00385D01"/>
    <w:rsid w:val="003B49B5"/>
    <w:rsid w:val="003C52D3"/>
    <w:rsid w:val="0042738D"/>
    <w:rsid w:val="004275AB"/>
    <w:rsid w:val="00441133"/>
    <w:rsid w:val="004460E8"/>
    <w:rsid w:val="00452F8C"/>
    <w:rsid w:val="004712A9"/>
    <w:rsid w:val="004A2404"/>
    <w:rsid w:val="004D7CAE"/>
    <w:rsid w:val="004E21FA"/>
    <w:rsid w:val="004F411B"/>
    <w:rsid w:val="004F7C3A"/>
    <w:rsid w:val="005009EB"/>
    <w:rsid w:val="0059074C"/>
    <w:rsid w:val="00591BB5"/>
    <w:rsid w:val="005A7BB3"/>
    <w:rsid w:val="005C2371"/>
    <w:rsid w:val="0061586C"/>
    <w:rsid w:val="00615A3E"/>
    <w:rsid w:val="00620663"/>
    <w:rsid w:val="00634296"/>
    <w:rsid w:val="00661E35"/>
    <w:rsid w:val="00680ADB"/>
    <w:rsid w:val="006D205B"/>
    <w:rsid w:val="00710EE5"/>
    <w:rsid w:val="007241C0"/>
    <w:rsid w:val="00730692"/>
    <w:rsid w:val="00753748"/>
    <w:rsid w:val="00763134"/>
    <w:rsid w:val="007F7F2C"/>
    <w:rsid w:val="0081163A"/>
    <w:rsid w:val="0083463F"/>
    <w:rsid w:val="00837B62"/>
    <w:rsid w:val="0084629D"/>
    <w:rsid w:val="00862B6A"/>
    <w:rsid w:val="00870A7E"/>
    <w:rsid w:val="00880720"/>
    <w:rsid w:val="008862DA"/>
    <w:rsid w:val="008921D7"/>
    <w:rsid w:val="00894ABC"/>
    <w:rsid w:val="009308A7"/>
    <w:rsid w:val="00943D03"/>
    <w:rsid w:val="009455AC"/>
    <w:rsid w:val="00956A21"/>
    <w:rsid w:val="00994F27"/>
    <w:rsid w:val="009A33D7"/>
    <w:rsid w:val="009C73DE"/>
    <w:rsid w:val="009D7493"/>
    <w:rsid w:val="009F2ED1"/>
    <w:rsid w:val="009F5C98"/>
    <w:rsid w:val="00A1368C"/>
    <w:rsid w:val="00A23EE7"/>
    <w:rsid w:val="00A25CEF"/>
    <w:rsid w:val="00A35FB8"/>
    <w:rsid w:val="00A4316B"/>
    <w:rsid w:val="00A5378C"/>
    <w:rsid w:val="00A563FE"/>
    <w:rsid w:val="00A74316"/>
    <w:rsid w:val="00AA1813"/>
    <w:rsid w:val="00AB4C8D"/>
    <w:rsid w:val="00AC61A0"/>
    <w:rsid w:val="00AF435F"/>
    <w:rsid w:val="00AF5DB1"/>
    <w:rsid w:val="00B2025A"/>
    <w:rsid w:val="00B31B5F"/>
    <w:rsid w:val="00B50DCA"/>
    <w:rsid w:val="00B521F1"/>
    <w:rsid w:val="00B65A64"/>
    <w:rsid w:val="00B66425"/>
    <w:rsid w:val="00B67667"/>
    <w:rsid w:val="00B72E0A"/>
    <w:rsid w:val="00BC28C1"/>
    <w:rsid w:val="00BD672F"/>
    <w:rsid w:val="00C135CB"/>
    <w:rsid w:val="00C1452F"/>
    <w:rsid w:val="00C218E8"/>
    <w:rsid w:val="00C5030B"/>
    <w:rsid w:val="00C617FE"/>
    <w:rsid w:val="00C64E24"/>
    <w:rsid w:val="00C8232F"/>
    <w:rsid w:val="00C91902"/>
    <w:rsid w:val="00C92B54"/>
    <w:rsid w:val="00CC3289"/>
    <w:rsid w:val="00CF2B72"/>
    <w:rsid w:val="00D214C6"/>
    <w:rsid w:val="00D2464F"/>
    <w:rsid w:val="00D46012"/>
    <w:rsid w:val="00D51C6A"/>
    <w:rsid w:val="00D775EB"/>
    <w:rsid w:val="00D87B1B"/>
    <w:rsid w:val="00D916E0"/>
    <w:rsid w:val="00D96F4F"/>
    <w:rsid w:val="00D97C55"/>
    <w:rsid w:val="00E11AE3"/>
    <w:rsid w:val="00E14E5C"/>
    <w:rsid w:val="00E224EE"/>
    <w:rsid w:val="00E23B54"/>
    <w:rsid w:val="00E27DC8"/>
    <w:rsid w:val="00E377CD"/>
    <w:rsid w:val="00E44C95"/>
    <w:rsid w:val="00E47C98"/>
    <w:rsid w:val="00E62507"/>
    <w:rsid w:val="00E73E0F"/>
    <w:rsid w:val="00E84DF7"/>
    <w:rsid w:val="00E85801"/>
    <w:rsid w:val="00EA0208"/>
    <w:rsid w:val="00EB0C62"/>
    <w:rsid w:val="00EB6173"/>
    <w:rsid w:val="00EB74BC"/>
    <w:rsid w:val="00EC014D"/>
    <w:rsid w:val="00EF0FC1"/>
    <w:rsid w:val="00EF25DE"/>
    <w:rsid w:val="00F24835"/>
    <w:rsid w:val="00F37E6E"/>
    <w:rsid w:val="00F72D9A"/>
    <w:rsid w:val="00F90957"/>
    <w:rsid w:val="00FA7223"/>
    <w:rsid w:val="00FB5A51"/>
    <w:rsid w:val="00FF5761"/>
    <w:rsid w:val="042B6AB7"/>
    <w:rsid w:val="0BEDF21C"/>
    <w:rsid w:val="0DAE2064"/>
    <w:rsid w:val="0F98A259"/>
    <w:rsid w:val="132176D4"/>
    <w:rsid w:val="17DFA507"/>
    <w:rsid w:val="197A0D88"/>
    <w:rsid w:val="1D0170B1"/>
    <w:rsid w:val="22D7886F"/>
    <w:rsid w:val="22DBE55D"/>
    <w:rsid w:val="26AD0199"/>
    <w:rsid w:val="278C8172"/>
    <w:rsid w:val="2870E8DC"/>
    <w:rsid w:val="28869047"/>
    <w:rsid w:val="2CF09A77"/>
    <w:rsid w:val="2E7A2A94"/>
    <w:rsid w:val="2FA48CE9"/>
    <w:rsid w:val="32C89E98"/>
    <w:rsid w:val="33589725"/>
    <w:rsid w:val="34C4291E"/>
    <w:rsid w:val="358C3606"/>
    <w:rsid w:val="385F1BB0"/>
    <w:rsid w:val="3A316AB0"/>
    <w:rsid w:val="40C22190"/>
    <w:rsid w:val="422395CB"/>
    <w:rsid w:val="42BED280"/>
    <w:rsid w:val="4605928B"/>
    <w:rsid w:val="46E9263F"/>
    <w:rsid w:val="48B28CB6"/>
    <w:rsid w:val="4BECFAAC"/>
    <w:rsid w:val="4EAA8D8F"/>
    <w:rsid w:val="4FF66813"/>
    <w:rsid w:val="533596CA"/>
    <w:rsid w:val="59268A21"/>
    <w:rsid w:val="5BB131B7"/>
    <w:rsid w:val="5CA3D748"/>
    <w:rsid w:val="5CBBC2BE"/>
    <w:rsid w:val="651F9578"/>
    <w:rsid w:val="69B1A7BB"/>
    <w:rsid w:val="69B4876D"/>
    <w:rsid w:val="6AE8D659"/>
    <w:rsid w:val="6E427872"/>
    <w:rsid w:val="6EC30BBB"/>
    <w:rsid w:val="7397209F"/>
    <w:rsid w:val="7433EEE0"/>
    <w:rsid w:val="77414BE2"/>
    <w:rsid w:val="7B6B6E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DA8D"/>
  <w15:chartTrackingRefBased/>
  <w15:docId w15:val="{35D42C48-E4ED-45E6-8D05-AD0FCD8B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FollowedHyperlink">
    <w:name w:val="FollowedHyperlink"/>
    <w:basedOn w:val="DefaultParagraphFont"/>
    <w:uiPriority w:val="99"/>
    <w:semiHidden/>
    <w:unhideWhenUsed/>
    <w:rsid w:val="00A74316"/>
    <w:rPr>
      <w:color w:val="954F72" w:themeColor="followedHyperlink"/>
      <w:u w:val="single"/>
    </w:rPr>
  </w:style>
  <w:style w:type="paragraph" w:styleId="CommentText">
    <w:name w:val="annotation text"/>
    <w:basedOn w:val="Normal"/>
    <w:link w:val="CommentTextChar"/>
    <w:uiPriority w:val="99"/>
    <w:semiHidden/>
    <w:unhideWhenUsed/>
    <w:rsid w:val="00055ED4"/>
    <w:pPr>
      <w:spacing w:line="240" w:lineRule="auto"/>
    </w:pPr>
    <w:rPr>
      <w:sz w:val="20"/>
      <w:szCs w:val="20"/>
    </w:rPr>
  </w:style>
  <w:style w:type="character" w:customStyle="1" w:styleId="CommentTextChar">
    <w:name w:val="Comment Text Char"/>
    <w:basedOn w:val="DefaultParagraphFont"/>
    <w:link w:val="CommentText"/>
    <w:uiPriority w:val="99"/>
    <w:semiHidden/>
    <w:rsid w:val="00055ED4"/>
    <w:rPr>
      <w:sz w:val="20"/>
      <w:szCs w:val="20"/>
    </w:rPr>
  </w:style>
  <w:style w:type="character" w:styleId="CommentReference">
    <w:name w:val="annotation reference"/>
    <w:basedOn w:val="DefaultParagraphFont"/>
    <w:uiPriority w:val="99"/>
    <w:semiHidden/>
    <w:unhideWhenUsed/>
    <w:rsid w:val="00055ED4"/>
    <w:rPr>
      <w:sz w:val="16"/>
      <w:szCs w:val="16"/>
    </w:rPr>
  </w:style>
  <w:style w:type="paragraph" w:styleId="FootnoteText">
    <w:name w:val="footnote text"/>
    <w:basedOn w:val="Normal"/>
    <w:link w:val="FootnoteTextChar"/>
    <w:uiPriority w:val="99"/>
    <w:semiHidden/>
    <w:unhideWhenUsed/>
    <w:rsid w:val="006206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663"/>
    <w:rPr>
      <w:sz w:val="20"/>
      <w:szCs w:val="20"/>
    </w:rPr>
  </w:style>
  <w:style w:type="character" w:styleId="FootnoteReference">
    <w:name w:val="footnote reference"/>
    <w:basedOn w:val="DefaultParagraphFont"/>
    <w:uiPriority w:val="99"/>
    <w:semiHidden/>
    <w:unhideWhenUsed/>
    <w:rsid w:val="00620663"/>
    <w:rPr>
      <w:vertAlign w:val="superscript"/>
    </w:rPr>
  </w:style>
  <w:style w:type="paragraph" w:styleId="CommentSubject">
    <w:name w:val="annotation subject"/>
    <w:basedOn w:val="CommentText"/>
    <w:next w:val="CommentText"/>
    <w:link w:val="CommentSubjectChar"/>
    <w:uiPriority w:val="99"/>
    <w:semiHidden/>
    <w:unhideWhenUsed/>
    <w:rsid w:val="00C8232F"/>
    <w:rPr>
      <w:b/>
      <w:bCs/>
    </w:rPr>
  </w:style>
  <w:style w:type="character" w:customStyle="1" w:styleId="CommentSubjectChar">
    <w:name w:val="Comment Subject Char"/>
    <w:basedOn w:val="CommentTextChar"/>
    <w:link w:val="CommentSubject"/>
    <w:uiPriority w:val="99"/>
    <w:semiHidden/>
    <w:rsid w:val="00C8232F"/>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10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1937">
      <w:bodyDiv w:val="1"/>
      <w:marLeft w:val="0"/>
      <w:marRight w:val="0"/>
      <w:marTop w:val="0"/>
      <w:marBottom w:val="0"/>
      <w:divBdr>
        <w:top w:val="none" w:sz="0" w:space="0" w:color="auto"/>
        <w:left w:val="none" w:sz="0" w:space="0" w:color="auto"/>
        <w:bottom w:val="none" w:sz="0" w:space="0" w:color="auto"/>
        <w:right w:val="none" w:sz="0" w:space="0" w:color="auto"/>
      </w:divBdr>
      <w:divsChild>
        <w:div w:id="609357074">
          <w:marLeft w:val="0"/>
          <w:marRight w:val="0"/>
          <w:marTop w:val="240"/>
          <w:marBottom w:val="240"/>
          <w:divBdr>
            <w:top w:val="none" w:sz="0" w:space="0" w:color="auto"/>
            <w:left w:val="none" w:sz="0" w:space="0" w:color="auto"/>
            <w:bottom w:val="none" w:sz="0" w:space="0" w:color="auto"/>
            <w:right w:val="none" w:sz="0" w:space="0" w:color="auto"/>
          </w:divBdr>
        </w:div>
        <w:div w:id="617294855">
          <w:marLeft w:val="0"/>
          <w:marRight w:val="0"/>
          <w:marTop w:val="240"/>
          <w:marBottom w:val="0"/>
          <w:divBdr>
            <w:top w:val="none" w:sz="0" w:space="0" w:color="auto"/>
            <w:left w:val="none" w:sz="0" w:space="0" w:color="auto"/>
            <w:bottom w:val="none" w:sz="0" w:space="0" w:color="auto"/>
            <w:right w:val="none" w:sz="0" w:space="0" w:color="auto"/>
          </w:divBdr>
          <w:divsChild>
            <w:div w:id="1116679534">
              <w:marLeft w:val="0"/>
              <w:marRight w:val="0"/>
              <w:marTop w:val="0"/>
              <w:marBottom w:val="0"/>
              <w:divBdr>
                <w:top w:val="none" w:sz="0" w:space="0" w:color="auto"/>
                <w:left w:val="none" w:sz="0" w:space="0" w:color="auto"/>
                <w:bottom w:val="none" w:sz="0" w:space="0" w:color="auto"/>
                <w:right w:val="none" w:sz="0" w:space="0" w:color="auto"/>
              </w:divBdr>
              <w:divsChild>
                <w:div w:id="651065044">
                  <w:marLeft w:val="0"/>
                  <w:marRight w:val="0"/>
                  <w:marTop w:val="240"/>
                  <w:marBottom w:val="0"/>
                  <w:divBdr>
                    <w:top w:val="none" w:sz="0" w:space="0" w:color="auto"/>
                    <w:left w:val="none" w:sz="0" w:space="0" w:color="auto"/>
                    <w:bottom w:val="none" w:sz="0" w:space="0" w:color="auto"/>
                    <w:right w:val="none" w:sz="0" w:space="0" w:color="auto"/>
                  </w:divBdr>
                  <w:divsChild>
                    <w:div w:id="923955559">
                      <w:marLeft w:val="0"/>
                      <w:marRight w:val="0"/>
                      <w:marTop w:val="240"/>
                      <w:marBottom w:val="0"/>
                      <w:divBdr>
                        <w:top w:val="none" w:sz="0" w:space="0" w:color="auto"/>
                        <w:left w:val="none" w:sz="0" w:space="0" w:color="auto"/>
                        <w:bottom w:val="none" w:sz="0" w:space="0" w:color="auto"/>
                        <w:right w:val="none" w:sz="0" w:space="0" w:color="auto"/>
                      </w:divBdr>
                      <w:divsChild>
                        <w:div w:id="526020203">
                          <w:marLeft w:val="0"/>
                          <w:marRight w:val="0"/>
                          <w:marTop w:val="0"/>
                          <w:marBottom w:val="0"/>
                          <w:divBdr>
                            <w:top w:val="none" w:sz="0" w:space="0" w:color="auto"/>
                            <w:left w:val="none" w:sz="0" w:space="0" w:color="auto"/>
                            <w:bottom w:val="none" w:sz="0" w:space="0" w:color="auto"/>
                            <w:right w:val="none" w:sz="0" w:space="0" w:color="auto"/>
                          </w:divBdr>
                          <w:divsChild>
                            <w:div w:id="1800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10549">
                      <w:marLeft w:val="0"/>
                      <w:marRight w:val="0"/>
                      <w:marTop w:val="0"/>
                      <w:marBottom w:val="0"/>
                      <w:divBdr>
                        <w:top w:val="none" w:sz="0" w:space="0" w:color="auto"/>
                        <w:left w:val="none" w:sz="0" w:space="0" w:color="auto"/>
                        <w:bottom w:val="none" w:sz="0" w:space="0" w:color="auto"/>
                        <w:right w:val="none" w:sz="0" w:space="0" w:color="auto"/>
                      </w:divBdr>
                      <w:divsChild>
                        <w:div w:id="2134861733">
                          <w:marLeft w:val="0"/>
                          <w:marRight w:val="0"/>
                          <w:marTop w:val="0"/>
                          <w:marBottom w:val="0"/>
                          <w:divBdr>
                            <w:top w:val="none" w:sz="0" w:space="0" w:color="auto"/>
                            <w:left w:val="none" w:sz="0" w:space="0" w:color="auto"/>
                            <w:bottom w:val="none" w:sz="0" w:space="0" w:color="auto"/>
                            <w:right w:val="none" w:sz="0" w:space="0" w:color="auto"/>
                          </w:divBdr>
                        </w:div>
                      </w:divsChild>
                    </w:div>
                    <w:div w:id="1960378914">
                      <w:marLeft w:val="0"/>
                      <w:marRight w:val="0"/>
                      <w:marTop w:val="240"/>
                      <w:marBottom w:val="0"/>
                      <w:divBdr>
                        <w:top w:val="none" w:sz="0" w:space="0" w:color="auto"/>
                        <w:left w:val="none" w:sz="0" w:space="0" w:color="auto"/>
                        <w:bottom w:val="none" w:sz="0" w:space="0" w:color="auto"/>
                        <w:right w:val="none" w:sz="0" w:space="0" w:color="auto"/>
                      </w:divBdr>
                      <w:divsChild>
                        <w:div w:id="439841209">
                          <w:marLeft w:val="0"/>
                          <w:marRight w:val="0"/>
                          <w:marTop w:val="0"/>
                          <w:marBottom w:val="0"/>
                          <w:divBdr>
                            <w:top w:val="none" w:sz="0" w:space="0" w:color="auto"/>
                            <w:left w:val="none" w:sz="0" w:space="0" w:color="auto"/>
                            <w:bottom w:val="none" w:sz="0" w:space="0" w:color="auto"/>
                            <w:right w:val="none" w:sz="0" w:space="0" w:color="auto"/>
                          </w:divBdr>
                          <w:divsChild>
                            <w:div w:id="13593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7527">
                  <w:marLeft w:val="0"/>
                  <w:marRight w:val="0"/>
                  <w:marTop w:val="240"/>
                  <w:marBottom w:val="0"/>
                  <w:divBdr>
                    <w:top w:val="none" w:sz="0" w:space="0" w:color="auto"/>
                    <w:left w:val="none" w:sz="0" w:space="0" w:color="auto"/>
                    <w:bottom w:val="none" w:sz="0" w:space="0" w:color="auto"/>
                    <w:right w:val="none" w:sz="0" w:space="0" w:color="auto"/>
                  </w:divBdr>
                  <w:divsChild>
                    <w:div w:id="1318919522">
                      <w:marLeft w:val="0"/>
                      <w:marRight w:val="0"/>
                      <w:marTop w:val="240"/>
                      <w:marBottom w:val="0"/>
                      <w:divBdr>
                        <w:top w:val="none" w:sz="0" w:space="0" w:color="auto"/>
                        <w:left w:val="none" w:sz="0" w:space="0" w:color="auto"/>
                        <w:bottom w:val="none" w:sz="0" w:space="0" w:color="auto"/>
                        <w:right w:val="none" w:sz="0" w:space="0" w:color="auto"/>
                      </w:divBdr>
                      <w:divsChild>
                        <w:div w:id="1482311704">
                          <w:marLeft w:val="0"/>
                          <w:marRight w:val="0"/>
                          <w:marTop w:val="0"/>
                          <w:marBottom w:val="0"/>
                          <w:divBdr>
                            <w:top w:val="none" w:sz="0" w:space="0" w:color="auto"/>
                            <w:left w:val="none" w:sz="0" w:space="0" w:color="auto"/>
                            <w:bottom w:val="none" w:sz="0" w:space="0" w:color="auto"/>
                            <w:right w:val="none" w:sz="0" w:space="0" w:color="auto"/>
                          </w:divBdr>
                          <w:divsChild>
                            <w:div w:id="11135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7131">
                      <w:marLeft w:val="0"/>
                      <w:marRight w:val="0"/>
                      <w:marTop w:val="240"/>
                      <w:marBottom w:val="0"/>
                      <w:divBdr>
                        <w:top w:val="none" w:sz="0" w:space="0" w:color="auto"/>
                        <w:left w:val="none" w:sz="0" w:space="0" w:color="auto"/>
                        <w:bottom w:val="none" w:sz="0" w:space="0" w:color="auto"/>
                        <w:right w:val="none" w:sz="0" w:space="0" w:color="auto"/>
                      </w:divBdr>
                      <w:divsChild>
                        <w:div w:id="466438184">
                          <w:marLeft w:val="0"/>
                          <w:marRight w:val="0"/>
                          <w:marTop w:val="0"/>
                          <w:marBottom w:val="0"/>
                          <w:divBdr>
                            <w:top w:val="none" w:sz="0" w:space="0" w:color="auto"/>
                            <w:left w:val="none" w:sz="0" w:space="0" w:color="auto"/>
                            <w:bottom w:val="none" w:sz="0" w:space="0" w:color="auto"/>
                            <w:right w:val="none" w:sz="0" w:space="0" w:color="auto"/>
                          </w:divBdr>
                          <w:divsChild>
                            <w:div w:id="1379009737">
                              <w:marLeft w:val="0"/>
                              <w:marRight w:val="0"/>
                              <w:marTop w:val="0"/>
                              <w:marBottom w:val="0"/>
                              <w:divBdr>
                                <w:top w:val="none" w:sz="0" w:space="0" w:color="auto"/>
                                <w:left w:val="none" w:sz="0" w:space="0" w:color="auto"/>
                                <w:bottom w:val="none" w:sz="0" w:space="0" w:color="auto"/>
                                <w:right w:val="none" w:sz="0" w:space="0" w:color="auto"/>
                              </w:divBdr>
                            </w:div>
                          </w:divsChild>
                        </w:div>
                        <w:div w:id="1455443262">
                          <w:marLeft w:val="0"/>
                          <w:marRight w:val="0"/>
                          <w:marTop w:val="240"/>
                          <w:marBottom w:val="0"/>
                          <w:divBdr>
                            <w:top w:val="none" w:sz="0" w:space="0" w:color="auto"/>
                            <w:left w:val="none" w:sz="0" w:space="0" w:color="auto"/>
                            <w:bottom w:val="none" w:sz="0" w:space="0" w:color="auto"/>
                            <w:right w:val="none" w:sz="0" w:space="0" w:color="auto"/>
                          </w:divBdr>
                          <w:divsChild>
                            <w:div w:id="866791833">
                              <w:marLeft w:val="0"/>
                              <w:marRight w:val="0"/>
                              <w:marTop w:val="0"/>
                              <w:marBottom w:val="0"/>
                              <w:divBdr>
                                <w:top w:val="none" w:sz="0" w:space="0" w:color="auto"/>
                                <w:left w:val="none" w:sz="0" w:space="0" w:color="auto"/>
                                <w:bottom w:val="none" w:sz="0" w:space="0" w:color="auto"/>
                                <w:right w:val="none" w:sz="0" w:space="0" w:color="auto"/>
                              </w:divBdr>
                              <w:divsChild>
                                <w:div w:id="9857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2765">
                          <w:marLeft w:val="0"/>
                          <w:marRight w:val="0"/>
                          <w:marTop w:val="240"/>
                          <w:marBottom w:val="0"/>
                          <w:divBdr>
                            <w:top w:val="none" w:sz="0" w:space="0" w:color="auto"/>
                            <w:left w:val="none" w:sz="0" w:space="0" w:color="auto"/>
                            <w:bottom w:val="none" w:sz="0" w:space="0" w:color="auto"/>
                            <w:right w:val="none" w:sz="0" w:space="0" w:color="auto"/>
                          </w:divBdr>
                          <w:divsChild>
                            <w:div w:id="586883991">
                              <w:marLeft w:val="0"/>
                              <w:marRight w:val="0"/>
                              <w:marTop w:val="0"/>
                              <w:marBottom w:val="0"/>
                              <w:divBdr>
                                <w:top w:val="none" w:sz="0" w:space="0" w:color="auto"/>
                                <w:left w:val="none" w:sz="0" w:space="0" w:color="auto"/>
                                <w:bottom w:val="none" w:sz="0" w:space="0" w:color="auto"/>
                                <w:right w:val="none" w:sz="0" w:space="0" w:color="auto"/>
                              </w:divBdr>
                              <w:divsChild>
                                <w:div w:id="9553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2972">
                      <w:marLeft w:val="0"/>
                      <w:marRight w:val="0"/>
                      <w:marTop w:val="0"/>
                      <w:marBottom w:val="0"/>
                      <w:divBdr>
                        <w:top w:val="none" w:sz="0" w:space="0" w:color="auto"/>
                        <w:left w:val="none" w:sz="0" w:space="0" w:color="auto"/>
                        <w:bottom w:val="none" w:sz="0" w:space="0" w:color="auto"/>
                        <w:right w:val="none" w:sz="0" w:space="0" w:color="auto"/>
                      </w:divBdr>
                      <w:divsChild>
                        <w:div w:id="15534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324">
                  <w:marLeft w:val="0"/>
                  <w:marRight w:val="0"/>
                  <w:marTop w:val="240"/>
                  <w:marBottom w:val="0"/>
                  <w:divBdr>
                    <w:top w:val="none" w:sz="0" w:space="0" w:color="auto"/>
                    <w:left w:val="none" w:sz="0" w:space="0" w:color="auto"/>
                    <w:bottom w:val="none" w:sz="0" w:space="0" w:color="auto"/>
                    <w:right w:val="none" w:sz="0" w:space="0" w:color="auto"/>
                  </w:divBdr>
                  <w:divsChild>
                    <w:div w:id="255478336">
                      <w:marLeft w:val="0"/>
                      <w:marRight w:val="0"/>
                      <w:marTop w:val="0"/>
                      <w:marBottom w:val="0"/>
                      <w:divBdr>
                        <w:top w:val="none" w:sz="0" w:space="0" w:color="auto"/>
                        <w:left w:val="none" w:sz="0" w:space="0" w:color="auto"/>
                        <w:bottom w:val="none" w:sz="0" w:space="0" w:color="auto"/>
                        <w:right w:val="none" w:sz="0" w:space="0" w:color="auto"/>
                      </w:divBdr>
                      <w:divsChild>
                        <w:div w:id="1278676870">
                          <w:marLeft w:val="0"/>
                          <w:marRight w:val="0"/>
                          <w:marTop w:val="0"/>
                          <w:marBottom w:val="0"/>
                          <w:divBdr>
                            <w:top w:val="none" w:sz="0" w:space="0" w:color="auto"/>
                            <w:left w:val="none" w:sz="0" w:space="0" w:color="auto"/>
                            <w:bottom w:val="none" w:sz="0" w:space="0" w:color="auto"/>
                            <w:right w:val="none" w:sz="0" w:space="0" w:color="auto"/>
                          </w:divBdr>
                        </w:div>
                      </w:divsChild>
                    </w:div>
                    <w:div w:id="1767268358">
                      <w:marLeft w:val="0"/>
                      <w:marRight w:val="0"/>
                      <w:marTop w:val="240"/>
                      <w:marBottom w:val="0"/>
                      <w:divBdr>
                        <w:top w:val="none" w:sz="0" w:space="0" w:color="auto"/>
                        <w:left w:val="none" w:sz="0" w:space="0" w:color="auto"/>
                        <w:bottom w:val="none" w:sz="0" w:space="0" w:color="auto"/>
                        <w:right w:val="none" w:sz="0" w:space="0" w:color="auto"/>
                      </w:divBdr>
                      <w:divsChild>
                        <w:div w:id="1517303718">
                          <w:marLeft w:val="0"/>
                          <w:marRight w:val="0"/>
                          <w:marTop w:val="0"/>
                          <w:marBottom w:val="0"/>
                          <w:divBdr>
                            <w:top w:val="none" w:sz="0" w:space="0" w:color="auto"/>
                            <w:left w:val="none" w:sz="0" w:space="0" w:color="auto"/>
                            <w:bottom w:val="none" w:sz="0" w:space="0" w:color="auto"/>
                            <w:right w:val="none" w:sz="0" w:space="0" w:color="auto"/>
                          </w:divBdr>
                          <w:divsChild>
                            <w:div w:id="4254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9027">
              <w:marLeft w:val="0"/>
              <w:marRight w:val="0"/>
              <w:marTop w:val="240"/>
              <w:marBottom w:val="0"/>
              <w:divBdr>
                <w:top w:val="none" w:sz="0" w:space="0" w:color="auto"/>
                <w:left w:val="none" w:sz="0" w:space="0" w:color="auto"/>
                <w:bottom w:val="none" w:sz="0" w:space="0" w:color="auto"/>
                <w:right w:val="none" w:sz="0" w:space="0" w:color="auto"/>
              </w:divBdr>
              <w:divsChild>
                <w:div w:id="1785466727">
                  <w:marLeft w:val="0"/>
                  <w:marRight w:val="0"/>
                  <w:marTop w:val="0"/>
                  <w:marBottom w:val="0"/>
                  <w:divBdr>
                    <w:top w:val="none" w:sz="0" w:space="0" w:color="auto"/>
                    <w:left w:val="none" w:sz="0" w:space="0" w:color="auto"/>
                    <w:bottom w:val="none" w:sz="0" w:space="0" w:color="auto"/>
                    <w:right w:val="none" w:sz="0" w:space="0" w:color="auto"/>
                  </w:divBdr>
                  <w:divsChild>
                    <w:div w:id="17419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1790">
      <w:bodyDiv w:val="1"/>
      <w:marLeft w:val="0"/>
      <w:marRight w:val="0"/>
      <w:marTop w:val="0"/>
      <w:marBottom w:val="0"/>
      <w:divBdr>
        <w:top w:val="none" w:sz="0" w:space="0" w:color="auto"/>
        <w:left w:val="none" w:sz="0" w:space="0" w:color="auto"/>
        <w:bottom w:val="none" w:sz="0" w:space="0" w:color="auto"/>
        <w:right w:val="none" w:sz="0" w:space="0" w:color="auto"/>
      </w:divBdr>
    </w:div>
    <w:div w:id="851987797">
      <w:bodyDiv w:val="1"/>
      <w:marLeft w:val="0"/>
      <w:marRight w:val="0"/>
      <w:marTop w:val="0"/>
      <w:marBottom w:val="0"/>
      <w:divBdr>
        <w:top w:val="none" w:sz="0" w:space="0" w:color="auto"/>
        <w:left w:val="none" w:sz="0" w:space="0" w:color="auto"/>
        <w:bottom w:val="none" w:sz="0" w:space="0" w:color="auto"/>
        <w:right w:val="none" w:sz="0" w:space="0" w:color="auto"/>
      </w:divBdr>
      <w:divsChild>
        <w:div w:id="251550264">
          <w:marLeft w:val="0"/>
          <w:marRight w:val="0"/>
          <w:marTop w:val="240"/>
          <w:marBottom w:val="0"/>
          <w:divBdr>
            <w:top w:val="none" w:sz="0" w:space="0" w:color="auto"/>
            <w:left w:val="none" w:sz="0" w:space="0" w:color="auto"/>
            <w:bottom w:val="none" w:sz="0" w:space="0" w:color="auto"/>
            <w:right w:val="none" w:sz="0" w:space="0" w:color="auto"/>
          </w:divBdr>
          <w:divsChild>
            <w:div w:id="572349557">
              <w:marLeft w:val="0"/>
              <w:marRight w:val="0"/>
              <w:marTop w:val="240"/>
              <w:marBottom w:val="0"/>
              <w:divBdr>
                <w:top w:val="none" w:sz="0" w:space="0" w:color="auto"/>
                <w:left w:val="none" w:sz="0" w:space="0" w:color="auto"/>
                <w:bottom w:val="none" w:sz="0" w:space="0" w:color="auto"/>
                <w:right w:val="none" w:sz="0" w:space="0" w:color="auto"/>
              </w:divBdr>
              <w:divsChild>
                <w:div w:id="1182476759">
                  <w:marLeft w:val="0"/>
                  <w:marRight w:val="0"/>
                  <w:marTop w:val="0"/>
                  <w:marBottom w:val="0"/>
                  <w:divBdr>
                    <w:top w:val="none" w:sz="0" w:space="0" w:color="auto"/>
                    <w:left w:val="none" w:sz="0" w:space="0" w:color="auto"/>
                    <w:bottom w:val="none" w:sz="0" w:space="0" w:color="auto"/>
                    <w:right w:val="none" w:sz="0" w:space="0" w:color="auto"/>
                  </w:divBdr>
                  <w:divsChild>
                    <w:div w:id="11434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930">
              <w:marLeft w:val="0"/>
              <w:marRight w:val="0"/>
              <w:marTop w:val="0"/>
              <w:marBottom w:val="0"/>
              <w:divBdr>
                <w:top w:val="none" w:sz="0" w:space="0" w:color="auto"/>
                <w:left w:val="none" w:sz="0" w:space="0" w:color="auto"/>
                <w:bottom w:val="none" w:sz="0" w:space="0" w:color="auto"/>
                <w:right w:val="none" w:sz="0" w:space="0" w:color="auto"/>
              </w:divBdr>
              <w:divsChild>
                <w:div w:id="1015694218">
                  <w:marLeft w:val="0"/>
                  <w:marRight w:val="0"/>
                  <w:marTop w:val="240"/>
                  <w:marBottom w:val="0"/>
                  <w:divBdr>
                    <w:top w:val="none" w:sz="0" w:space="0" w:color="auto"/>
                    <w:left w:val="none" w:sz="0" w:space="0" w:color="auto"/>
                    <w:bottom w:val="none" w:sz="0" w:space="0" w:color="auto"/>
                    <w:right w:val="none" w:sz="0" w:space="0" w:color="auto"/>
                  </w:divBdr>
                  <w:divsChild>
                    <w:div w:id="32507465">
                      <w:marLeft w:val="0"/>
                      <w:marRight w:val="0"/>
                      <w:marTop w:val="0"/>
                      <w:marBottom w:val="0"/>
                      <w:divBdr>
                        <w:top w:val="none" w:sz="0" w:space="0" w:color="auto"/>
                        <w:left w:val="none" w:sz="0" w:space="0" w:color="auto"/>
                        <w:bottom w:val="none" w:sz="0" w:space="0" w:color="auto"/>
                        <w:right w:val="none" w:sz="0" w:space="0" w:color="auto"/>
                      </w:divBdr>
                      <w:divsChild>
                        <w:div w:id="111942454">
                          <w:marLeft w:val="0"/>
                          <w:marRight w:val="0"/>
                          <w:marTop w:val="0"/>
                          <w:marBottom w:val="0"/>
                          <w:divBdr>
                            <w:top w:val="none" w:sz="0" w:space="0" w:color="auto"/>
                            <w:left w:val="none" w:sz="0" w:space="0" w:color="auto"/>
                            <w:bottom w:val="none" w:sz="0" w:space="0" w:color="auto"/>
                            <w:right w:val="none" w:sz="0" w:space="0" w:color="auto"/>
                          </w:divBdr>
                        </w:div>
                      </w:divsChild>
                    </w:div>
                    <w:div w:id="1357778676">
                      <w:marLeft w:val="0"/>
                      <w:marRight w:val="0"/>
                      <w:marTop w:val="240"/>
                      <w:marBottom w:val="0"/>
                      <w:divBdr>
                        <w:top w:val="none" w:sz="0" w:space="0" w:color="auto"/>
                        <w:left w:val="none" w:sz="0" w:space="0" w:color="auto"/>
                        <w:bottom w:val="none" w:sz="0" w:space="0" w:color="auto"/>
                        <w:right w:val="none" w:sz="0" w:space="0" w:color="auto"/>
                      </w:divBdr>
                      <w:divsChild>
                        <w:div w:id="627467036">
                          <w:marLeft w:val="0"/>
                          <w:marRight w:val="0"/>
                          <w:marTop w:val="240"/>
                          <w:marBottom w:val="0"/>
                          <w:divBdr>
                            <w:top w:val="none" w:sz="0" w:space="0" w:color="auto"/>
                            <w:left w:val="none" w:sz="0" w:space="0" w:color="auto"/>
                            <w:bottom w:val="none" w:sz="0" w:space="0" w:color="auto"/>
                            <w:right w:val="none" w:sz="0" w:space="0" w:color="auto"/>
                          </w:divBdr>
                          <w:divsChild>
                            <w:div w:id="1556233845">
                              <w:marLeft w:val="0"/>
                              <w:marRight w:val="0"/>
                              <w:marTop w:val="0"/>
                              <w:marBottom w:val="0"/>
                              <w:divBdr>
                                <w:top w:val="none" w:sz="0" w:space="0" w:color="auto"/>
                                <w:left w:val="none" w:sz="0" w:space="0" w:color="auto"/>
                                <w:bottom w:val="none" w:sz="0" w:space="0" w:color="auto"/>
                                <w:right w:val="none" w:sz="0" w:space="0" w:color="auto"/>
                              </w:divBdr>
                              <w:divsChild>
                                <w:div w:id="1864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111">
                          <w:marLeft w:val="0"/>
                          <w:marRight w:val="0"/>
                          <w:marTop w:val="0"/>
                          <w:marBottom w:val="0"/>
                          <w:divBdr>
                            <w:top w:val="none" w:sz="0" w:space="0" w:color="auto"/>
                            <w:left w:val="none" w:sz="0" w:space="0" w:color="auto"/>
                            <w:bottom w:val="none" w:sz="0" w:space="0" w:color="auto"/>
                            <w:right w:val="none" w:sz="0" w:space="0" w:color="auto"/>
                          </w:divBdr>
                          <w:divsChild>
                            <w:div w:id="1036388939">
                              <w:marLeft w:val="0"/>
                              <w:marRight w:val="0"/>
                              <w:marTop w:val="0"/>
                              <w:marBottom w:val="0"/>
                              <w:divBdr>
                                <w:top w:val="none" w:sz="0" w:space="0" w:color="auto"/>
                                <w:left w:val="none" w:sz="0" w:space="0" w:color="auto"/>
                                <w:bottom w:val="none" w:sz="0" w:space="0" w:color="auto"/>
                                <w:right w:val="none" w:sz="0" w:space="0" w:color="auto"/>
                              </w:divBdr>
                            </w:div>
                          </w:divsChild>
                        </w:div>
                        <w:div w:id="1830556979">
                          <w:marLeft w:val="0"/>
                          <w:marRight w:val="0"/>
                          <w:marTop w:val="240"/>
                          <w:marBottom w:val="0"/>
                          <w:divBdr>
                            <w:top w:val="none" w:sz="0" w:space="0" w:color="auto"/>
                            <w:left w:val="none" w:sz="0" w:space="0" w:color="auto"/>
                            <w:bottom w:val="none" w:sz="0" w:space="0" w:color="auto"/>
                            <w:right w:val="none" w:sz="0" w:space="0" w:color="auto"/>
                          </w:divBdr>
                          <w:divsChild>
                            <w:div w:id="540634689">
                              <w:marLeft w:val="0"/>
                              <w:marRight w:val="0"/>
                              <w:marTop w:val="0"/>
                              <w:marBottom w:val="0"/>
                              <w:divBdr>
                                <w:top w:val="none" w:sz="0" w:space="0" w:color="auto"/>
                                <w:left w:val="none" w:sz="0" w:space="0" w:color="auto"/>
                                <w:bottom w:val="none" w:sz="0" w:space="0" w:color="auto"/>
                                <w:right w:val="none" w:sz="0" w:space="0" w:color="auto"/>
                              </w:divBdr>
                              <w:divsChild>
                                <w:div w:id="15897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3103">
                      <w:marLeft w:val="0"/>
                      <w:marRight w:val="0"/>
                      <w:marTop w:val="240"/>
                      <w:marBottom w:val="0"/>
                      <w:divBdr>
                        <w:top w:val="none" w:sz="0" w:space="0" w:color="auto"/>
                        <w:left w:val="none" w:sz="0" w:space="0" w:color="auto"/>
                        <w:bottom w:val="none" w:sz="0" w:space="0" w:color="auto"/>
                        <w:right w:val="none" w:sz="0" w:space="0" w:color="auto"/>
                      </w:divBdr>
                      <w:divsChild>
                        <w:div w:id="994798088">
                          <w:marLeft w:val="0"/>
                          <w:marRight w:val="0"/>
                          <w:marTop w:val="0"/>
                          <w:marBottom w:val="0"/>
                          <w:divBdr>
                            <w:top w:val="none" w:sz="0" w:space="0" w:color="auto"/>
                            <w:left w:val="none" w:sz="0" w:space="0" w:color="auto"/>
                            <w:bottom w:val="none" w:sz="0" w:space="0" w:color="auto"/>
                            <w:right w:val="none" w:sz="0" w:space="0" w:color="auto"/>
                          </w:divBdr>
                          <w:divsChild>
                            <w:div w:id="3913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5190">
                  <w:marLeft w:val="0"/>
                  <w:marRight w:val="0"/>
                  <w:marTop w:val="240"/>
                  <w:marBottom w:val="0"/>
                  <w:divBdr>
                    <w:top w:val="none" w:sz="0" w:space="0" w:color="auto"/>
                    <w:left w:val="none" w:sz="0" w:space="0" w:color="auto"/>
                    <w:bottom w:val="none" w:sz="0" w:space="0" w:color="auto"/>
                    <w:right w:val="none" w:sz="0" w:space="0" w:color="auto"/>
                  </w:divBdr>
                  <w:divsChild>
                    <w:div w:id="23412985">
                      <w:marLeft w:val="0"/>
                      <w:marRight w:val="0"/>
                      <w:marTop w:val="240"/>
                      <w:marBottom w:val="0"/>
                      <w:divBdr>
                        <w:top w:val="none" w:sz="0" w:space="0" w:color="auto"/>
                        <w:left w:val="none" w:sz="0" w:space="0" w:color="auto"/>
                        <w:bottom w:val="none" w:sz="0" w:space="0" w:color="auto"/>
                        <w:right w:val="none" w:sz="0" w:space="0" w:color="auto"/>
                      </w:divBdr>
                      <w:divsChild>
                        <w:div w:id="1804615698">
                          <w:marLeft w:val="0"/>
                          <w:marRight w:val="0"/>
                          <w:marTop w:val="0"/>
                          <w:marBottom w:val="0"/>
                          <w:divBdr>
                            <w:top w:val="none" w:sz="0" w:space="0" w:color="auto"/>
                            <w:left w:val="none" w:sz="0" w:space="0" w:color="auto"/>
                            <w:bottom w:val="none" w:sz="0" w:space="0" w:color="auto"/>
                            <w:right w:val="none" w:sz="0" w:space="0" w:color="auto"/>
                          </w:divBdr>
                          <w:divsChild>
                            <w:div w:id="20124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611">
                      <w:marLeft w:val="0"/>
                      <w:marRight w:val="0"/>
                      <w:marTop w:val="0"/>
                      <w:marBottom w:val="0"/>
                      <w:divBdr>
                        <w:top w:val="none" w:sz="0" w:space="0" w:color="auto"/>
                        <w:left w:val="none" w:sz="0" w:space="0" w:color="auto"/>
                        <w:bottom w:val="none" w:sz="0" w:space="0" w:color="auto"/>
                        <w:right w:val="none" w:sz="0" w:space="0" w:color="auto"/>
                      </w:divBdr>
                      <w:divsChild>
                        <w:div w:id="12522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2754">
                  <w:marLeft w:val="0"/>
                  <w:marRight w:val="0"/>
                  <w:marTop w:val="240"/>
                  <w:marBottom w:val="0"/>
                  <w:divBdr>
                    <w:top w:val="none" w:sz="0" w:space="0" w:color="auto"/>
                    <w:left w:val="none" w:sz="0" w:space="0" w:color="auto"/>
                    <w:bottom w:val="none" w:sz="0" w:space="0" w:color="auto"/>
                    <w:right w:val="none" w:sz="0" w:space="0" w:color="auto"/>
                  </w:divBdr>
                  <w:divsChild>
                    <w:div w:id="31615370">
                      <w:marLeft w:val="0"/>
                      <w:marRight w:val="0"/>
                      <w:marTop w:val="0"/>
                      <w:marBottom w:val="0"/>
                      <w:divBdr>
                        <w:top w:val="none" w:sz="0" w:space="0" w:color="auto"/>
                        <w:left w:val="none" w:sz="0" w:space="0" w:color="auto"/>
                        <w:bottom w:val="none" w:sz="0" w:space="0" w:color="auto"/>
                        <w:right w:val="none" w:sz="0" w:space="0" w:color="auto"/>
                      </w:divBdr>
                      <w:divsChild>
                        <w:div w:id="1213540622">
                          <w:marLeft w:val="0"/>
                          <w:marRight w:val="0"/>
                          <w:marTop w:val="0"/>
                          <w:marBottom w:val="0"/>
                          <w:divBdr>
                            <w:top w:val="none" w:sz="0" w:space="0" w:color="auto"/>
                            <w:left w:val="none" w:sz="0" w:space="0" w:color="auto"/>
                            <w:bottom w:val="none" w:sz="0" w:space="0" w:color="auto"/>
                            <w:right w:val="none" w:sz="0" w:space="0" w:color="auto"/>
                          </w:divBdr>
                        </w:div>
                      </w:divsChild>
                    </w:div>
                    <w:div w:id="145513795">
                      <w:marLeft w:val="0"/>
                      <w:marRight w:val="0"/>
                      <w:marTop w:val="240"/>
                      <w:marBottom w:val="0"/>
                      <w:divBdr>
                        <w:top w:val="none" w:sz="0" w:space="0" w:color="auto"/>
                        <w:left w:val="none" w:sz="0" w:space="0" w:color="auto"/>
                        <w:bottom w:val="none" w:sz="0" w:space="0" w:color="auto"/>
                        <w:right w:val="none" w:sz="0" w:space="0" w:color="auto"/>
                      </w:divBdr>
                      <w:divsChild>
                        <w:div w:id="634608626">
                          <w:marLeft w:val="0"/>
                          <w:marRight w:val="0"/>
                          <w:marTop w:val="0"/>
                          <w:marBottom w:val="0"/>
                          <w:divBdr>
                            <w:top w:val="none" w:sz="0" w:space="0" w:color="auto"/>
                            <w:left w:val="none" w:sz="0" w:space="0" w:color="auto"/>
                            <w:bottom w:val="none" w:sz="0" w:space="0" w:color="auto"/>
                            <w:right w:val="none" w:sz="0" w:space="0" w:color="auto"/>
                          </w:divBdr>
                          <w:divsChild>
                            <w:div w:id="17460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4048">
                      <w:marLeft w:val="0"/>
                      <w:marRight w:val="0"/>
                      <w:marTop w:val="240"/>
                      <w:marBottom w:val="0"/>
                      <w:divBdr>
                        <w:top w:val="none" w:sz="0" w:space="0" w:color="auto"/>
                        <w:left w:val="none" w:sz="0" w:space="0" w:color="auto"/>
                        <w:bottom w:val="none" w:sz="0" w:space="0" w:color="auto"/>
                        <w:right w:val="none" w:sz="0" w:space="0" w:color="auto"/>
                      </w:divBdr>
                      <w:divsChild>
                        <w:div w:id="506017495">
                          <w:marLeft w:val="0"/>
                          <w:marRight w:val="0"/>
                          <w:marTop w:val="0"/>
                          <w:marBottom w:val="0"/>
                          <w:divBdr>
                            <w:top w:val="none" w:sz="0" w:space="0" w:color="auto"/>
                            <w:left w:val="none" w:sz="0" w:space="0" w:color="auto"/>
                            <w:bottom w:val="none" w:sz="0" w:space="0" w:color="auto"/>
                            <w:right w:val="none" w:sz="0" w:space="0" w:color="auto"/>
                          </w:divBdr>
                          <w:divsChild>
                            <w:div w:id="168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7309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accept-or-reject-tracked-changes-in-word-b2dac7d8-f497-4e94-81bd-d64e62eee0e8"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55EAVHMDKNRW-187398370-2991</_dlc_DocId>
    <_dlc_DocIdUrl xmlns="a53cf8a9-81ff-4583-b76a-f8057a43c85c">
      <Url>https://carb.sharepoint.com/STCD/ACCB2/_layouts/15/DocIdRedir.aspx?ID=55EAVHMDKNRW-187398370-2991</Url>
      <Description>55EAVHMDKNRW-187398370-2991</Description>
    </_dlc_DocIdUrl>
    <SharedWithUsers xmlns="d14d0c0b-13ee-4290-8980-30b4db330847">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29" ma:contentTypeDescription="Create a new document." ma:contentTypeScope="" ma:versionID="0ed67939512a6c15e56087b238201cc8">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979d97c7e6977fb2e8b21a5ad5bd3338"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4A656-BC8B-418F-B7B1-94CC51971AE2}">
  <ds:schemaRefs>
    <ds:schemaRef ds:uri="http://schemas.microsoft.com/sharepoint/events"/>
  </ds:schemaRefs>
</ds:datastoreItem>
</file>

<file path=customXml/itemProps2.xml><?xml version="1.0" encoding="utf-8"?>
<ds:datastoreItem xmlns:ds="http://schemas.openxmlformats.org/officeDocument/2006/customXml" ds:itemID="{13E82F2D-9E1B-442B-8B27-88276F24D5F7}">
  <ds:schemaRefs>
    <ds:schemaRef ds:uri="http://schemas.microsoft.com/office/2006/metadata/properties"/>
    <ds:schemaRef ds:uri="http://schemas.microsoft.com/office/infopath/2007/PartnerControls"/>
    <ds:schemaRef ds:uri="a53cf8a9-81ff-4583-b76a-f8057a43c85c"/>
    <ds:schemaRef ds:uri="86f47d7f-edfa-45b4-a402-c61bb0106bbc"/>
    <ds:schemaRef ds:uri="http://schemas.microsoft.com/sharepoint/v4"/>
    <ds:schemaRef ds:uri="http://schemas.microsoft.com/sharepoint/v3/fields"/>
    <ds:schemaRef ds:uri="http://schemas.microsoft.com/sharepoint/v3"/>
    <ds:schemaRef ds:uri="d14d0c0b-13ee-4290-8980-30b4db330847"/>
  </ds:schemaRefs>
</ds:datastoreItem>
</file>

<file path=customXml/itemProps3.xml><?xml version="1.0" encoding="utf-8"?>
<ds:datastoreItem xmlns:ds="http://schemas.openxmlformats.org/officeDocument/2006/customXml" ds:itemID="{7165EE78-1A55-4051-A70C-E1701539DA21}">
  <ds:schemaRefs>
    <ds:schemaRef ds:uri="http://schemas.openxmlformats.org/officeDocument/2006/bibliography"/>
  </ds:schemaRefs>
</ds:datastoreItem>
</file>

<file path=customXml/itemProps4.xml><?xml version="1.0" encoding="utf-8"?>
<ds:datastoreItem xmlns:ds="http://schemas.openxmlformats.org/officeDocument/2006/customXml" ds:itemID="{4E5D58EA-55C9-4E32-8DB7-842857872553}">
  <ds:schemaRefs>
    <ds:schemaRef ds:uri="http://schemas.microsoft.com/sharepoint/v3/contenttype/forms"/>
  </ds:schemaRefs>
</ds:datastoreItem>
</file>

<file path=customXml/itemProps5.xml><?xml version="1.0" encoding="utf-8"?>
<ds:datastoreItem xmlns:ds="http://schemas.openxmlformats.org/officeDocument/2006/customXml" ds:itemID="{EC95D680-DF7D-436C-933E-CB2DFFDD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A-4 - Reg Order Section 1962.3 Amendments</vt:lpstr>
    </vt:vector>
  </TitlesOfParts>
  <Company>California Air Resources Board</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A-4 - Reg Order Section 1962.3 Amendments</dc:title>
  <dc:subject/>
  <dc:creator>Hopkins, Chris@ARB</dc:creator>
  <cp:keywords/>
  <dc:description/>
  <cp:lastModifiedBy>Bhambra, Banpreet@ARB</cp:lastModifiedBy>
  <cp:revision>5</cp:revision>
  <dcterms:created xsi:type="dcterms:W3CDTF">2022-04-06T20:30:00Z</dcterms:created>
  <dcterms:modified xsi:type="dcterms:W3CDTF">2022-04-08T19:01:00Z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bfb8024a-42e6-4861-b1c2-47f21e3dfb2b</vt:lpwstr>
  </property>
</Properties>
</file>