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F365CA" w14:textId="77777777" w:rsidR="00F728F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August 27, 2024</w:t>
      </w:r>
    </w:p>
    <w:p w14:paraId="3F94CFC6" w14:textId="77777777" w:rsidR="00F728F4" w:rsidRDefault="00F728F4">
      <w:pPr>
        <w:rPr>
          <w:rFonts w:ascii="Times New Roman" w:eastAsia="Times New Roman" w:hAnsi="Times New Roman" w:cs="Times New Roman"/>
          <w:sz w:val="24"/>
          <w:szCs w:val="24"/>
        </w:rPr>
      </w:pPr>
    </w:p>
    <w:p w14:paraId="4AF3AD28" w14:textId="77777777" w:rsidR="00F728F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California Air Resources Board</w:t>
      </w:r>
    </w:p>
    <w:p w14:paraId="0146A34A" w14:textId="77777777" w:rsidR="00F728F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P.O. Box 2815</w:t>
      </w:r>
    </w:p>
    <w:p w14:paraId="0DF2F380" w14:textId="77777777" w:rsidR="00F728F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Sacramento, CA 95812</w:t>
      </w:r>
    </w:p>
    <w:p w14:paraId="3C743005" w14:textId="77777777" w:rsidR="00F728F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electronically]</w:t>
      </w:r>
    </w:p>
    <w:p w14:paraId="50630FD6" w14:textId="77777777" w:rsidR="00F728F4" w:rsidRDefault="00F728F4">
      <w:pPr>
        <w:rPr>
          <w:rFonts w:ascii="Times New Roman" w:eastAsia="Times New Roman" w:hAnsi="Times New Roman" w:cs="Times New Roman"/>
          <w:sz w:val="24"/>
          <w:szCs w:val="24"/>
        </w:rPr>
      </w:pPr>
    </w:p>
    <w:p w14:paraId="03636913" w14:textId="60C0458E" w:rsidR="00F728F4"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 Electric Hydrogen Comments on </w:t>
      </w:r>
      <w:r w:rsidR="00DB73FD">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rPr>
        <w:t>Low Carbon Fuel Standard’s August 2024 15-Day Comment Period</w:t>
      </w:r>
    </w:p>
    <w:p w14:paraId="17C2B9B3" w14:textId="77777777" w:rsidR="00F728F4" w:rsidRDefault="00F728F4">
      <w:pPr>
        <w:rPr>
          <w:rFonts w:ascii="Times New Roman" w:eastAsia="Times New Roman" w:hAnsi="Times New Roman" w:cs="Times New Roman"/>
          <w:sz w:val="24"/>
          <w:szCs w:val="24"/>
        </w:rPr>
      </w:pPr>
    </w:p>
    <w:p w14:paraId="245AB98F" w14:textId="77777777" w:rsidR="00F728F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California Air Resources Board,</w:t>
      </w:r>
    </w:p>
    <w:p w14:paraId="478D58E6" w14:textId="77777777" w:rsidR="00F728F4" w:rsidRDefault="00F728F4">
      <w:pPr>
        <w:jc w:val="both"/>
        <w:rPr>
          <w:rFonts w:ascii="Times New Roman" w:eastAsia="Times New Roman" w:hAnsi="Times New Roman" w:cs="Times New Roman"/>
          <w:sz w:val="24"/>
          <w:szCs w:val="24"/>
        </w:rPr>
      </w:pPr>
    </w:p>
    <w:p w14:paraId="0A4E6236" w14:textId="04862ED6" w:rsidR="0053317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Electric Hydrogen</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appreciates the opportunity to submit comments to the California Air Resources Board (CARB) on the 15-Day Changes released on August 12, 2024.</w:t>
      </w:r>
      <w:r w:rsidR="0053317D">
        <w:rPr>
          <w:rFonts w:ascii="Times New Roman" w:eastAsia="Times New Roman" w:hAnsi="Times New Roman" w:cs="Times New Roman"/>
          <w:sz w:val="24"/>
          <w:szCs w:val="24"/>
        </w:rPr>
        <w:t xml:space="preserve"> To address our proposed amendments, Electric Hydrogen would like to </w:t>
      </w:r>
      <w:r w:rsidR="0053317D" w:rsidRPr="0053317D">
        <w:rPr>
          <w:rFonts w:ascii="Times New Roman" w:eastAsia="Times New Roman" w:hAnsi="Times New Roman" w:cs="Times New Roman"/>
          <w:sz w:val="24"/>
          <w:szCs w:val="24"/>
        </w:rPr>
        <w:t>call</w:t>
      </w:r>
      <w:r w:rsidR="0053317D">
        <w:rPr>
          <w:rFonts w:ascii="Times New Roman" w:eastAsia="Times New Roman" w:hAnsi="Times New Roman" w:cs="Times New Roman"/>
          <w:sz w:val="24"/>
          <w:szCs w:val="24"/>
        </w:rPr>
        <w:t xml:space="preserve"> on</w:t>
      </w:r>
      <w:r w:rsidR="0053317D" w:rsidRPr="0053317D">
        <w:rPr>
          <w:rFonts w:ascii="Times New Roman" w:eastAsia="Times New Roman" w:hAnsi="Times New Roman" w:cs="Times New Roman"/>
          <w:sz w:val="24"/>
          <w:szCs w:val="24"/>
        </w:rPr>
        <w:t xml:space="preserve"> CARB to issue a second 15-day package</w:t>
      </w:r>
      <w:r w:rsidR="0053317D">
        <w:rPr>
          <w:rFonts w:ascii="Times New Roman" w:eastAsia="Times New Roman" w:hAnsi="Times New Roman" w:cs="Times New Roman"/>
          <w:sz w:val="24"/>
          <w:szCs w:val="24"/>
        </w:rPr>
        <w:t>.</w:t>
      </w:r>
    </w:p>
    <w:p w14:paraId="300287D9" w14:textId="77777777" w:rsidR="00F728F4" w:rsidRDefault="00F728F4">
      <w:pPr>
        <w:jc w:val="both"/>
        <w:rPr>
          <w:rFonts w:ascii="Times New Roman" w:eastAsia="Times New Roman" w:hAnsi="Times New Roman" w:cs="Times New Roman"/>
          <w:sz w:val="24"/>
          <w:szCs w:val="24"/>
        </w:rPr>
      </w:pPr>
    </w:p>
    <w:p w14:paraId="6C226A6B" w14:textId="7F8FB21C" w:rsidR="00F728F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significant facilities, management groups, and employees in California and Massachusetts, Electric Hydrogen manufactures the world’s most powerful </w:t>
      </w:r>
      <w:proofErr w:type="spellStart"/>
      <w:r>
        <w:rPr>
          <w:rFonts w:ascii="Times New Roman" w:eastAsia="Times New Roman" w:hAnsi="Times New Roman" w:cs="Times New Roman"/>
          <w:sz w:val="24"/>
          <w:szCs w:val="24"/>
        </w:rPr>
        <w:t>electrolyzers</w:t>
      </w:r>
      <w:proofErr w:type="spellEnd"/>
      <w:r>
        <w:rPr>
          <w:rFonts w:ascii="Times New Roman" w:eastAsia="Times New Roman" w:hAnsi="Times New Roman" w:cs="Times New Roman"/>
          <w:sz w:val="24"/>
          <w:szCs w:val="24"/>
        </w:rPr>
        <w:t xml:space="preserve"> for critical industries to produce low-cost green hydrogen. Our 100 MW </w:t>
      </w:r>
      <w:proofErr w:type="spellStart"/>
      <w:r>
        <w:rPr>
          <w:rFonts w:ascii="Times New Roman" w:eastAsia="Times New Roman" w:hAnsi="Times New Roman" w:cs="Times New Roman"/>
          <w:sz w:val="24"/>
          <w:szCs w:val="24"/>
        </w:rPr>
        <w:t>electrolyzer</w:t>
      </w:r>
      <w:proofErr w:type="spellEnd"/>
      <w:r>
        <w:rPr>
          <w:rFonts w:ascii="Times New Roman" w:eastAsia="Times New Roman" w:hAnsi="Times New Roman" w:cs="Times New Roman"/>
          <w:sz w:val="24"/>
          <w:szCs w:val="24"/>
        </w:rPr>
        <w:t xml:space="preserve"> plant is designed to generation-follow variable renewable energy resources and enable customers to efficiently convert renewable electrical energy into clean molecular energy in the form of hydrogen. Electric Hydrogen’s mission is to </w:t>
      </w:r>
      <w:r w:rsidR="00ED51C9">
        <w:rPr>
          <w:rFonts w:ascii="Times New Roman" w:eastAsia="Times New Roman" w:hAnsi="Times New Roman" w:cs="Times New Roman"/>
          <w:sz w:val="24"/>
          <w:szCs w:val="24"/>
        </w:rPr>
        <w:t xml:space="preserve">make green hydrogen cost competitive with fossil hydrogen </w:t>
      </w:r>
      <w:r>
        <w:rPr>
          <w:rFonts w:ascii="Times New Roman" w:eastAsia="Times New Roman" w:hAnsi="Times New Roman" w:cs="Times New Roman"/>
          <w:sz w:val="24"/>
          <w:szCs w:val="24"/>
        </w:rPr>
        <w:t xml:space="preserve">in a timeframe that matters. Put another way, the company exists to make green hydrogen an economic inevitability, giving hard to decarbonize industries, like heavy-duty transportation, aviation, and maritime transport, a viable and cost-effective solution to meet their urgent net-zero climate objectives. Green hydrogen is a necessary tool in the energy transition to a net-zero economy. </w:t>
      </w:r>
    </w:p>
    <w:p w14:paraId="7F597BDC" w14:textId="77777777" w:rsidR="00F728F4" w:rsidRDefault="00F728F4">
      <w:pPr>
        <w:jc w:val="both"/>
        <w:rPr>
          <w:rFonts w:ascii="Times New Roman" w:eastAsia="Times New Roman" w:hAnsi="Times New Roman" w:cs="Times New Roman"/>
          <w:sz w:val="24"/>
          <w:szCs w:val="24"/>
        </w:rPr>
      </w:pPr>
    </w:p>
    <w:p w14:paraId="26F1A3D4" w14:textId="3BC930F5" w:rsidR="00F728F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Given that the LCFS is fundamental to reducing carbon emissions from the transportation sector, Electric Hydrogen is appreciative of the proposed near-term increase in stringency to a 9% </w:t>
      </w:r>
      <w:r w:rsidR="00C162A2">
        <w:rPr>
          <w:rFonts w:ascii="Times New Roman" w:eastAsia="Times New Roman" w:hAnsi="Times New Roman" w:cs="Times New Roman"/>
          <w:sz w:val="24"/>
          <w:szCs w:val="24"/>
        </w:rPr>
        <w:t>carbon intensity (CI)</w:t>
      </w:r>
      <w:r>
        <w:rPr>
          <w:rFonts w:ascii="Times New Roman" w:eastAsia="Times New Roman" w:hAnsi="Times New Roman" w:cs="Times New Roman"/>
          <w:sz w:val="24"/>
          <w:szCs w:val="24"/>
        </w:rPr>
        <w:t xml:space="preserve"> reduction in 2025.</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This is an important step in helping to realize the climate benefits needed to reach California’s environmental and clean energy goals. </w:t>
      </w:r>
    </w:p>
    <w:p w14:paraId="1F26CE10" w14:textId="77777777" w:rsidR="00F728F4" w:rsidRDefault="00F728F4">
      <w:pPr>
        <w:jc w:val="both"/>
        <w:rPr>
          <w:rFonts w:ascii="Times New Roman" w:eastAsia="Times New Roman" w:hAnsi="Times New Roman" w:cs="Times New Roman"/>
          <w:sz w:val="24"/>
          <w:szCs w:val="24"/>
        </w:rPr>
      </w:pPr>
    </w:p>
    <w:p w14:paraId="2EBC11AF" w14:textId="7761473D" w:rsidR="00F728F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effectively leverage hydrogen for decarbonization, the state must significantly boost demand for green hydrogen. The LCFS program is essential in driving this demand within the </w:t>
      </w:r>
      <w:r>
        <w:rPr>
          <w:rFonts w:ascii="Times New Roman" w:eastAsia="Times New Roman" w:hAnsi="Times New Roman" w:cs="Times New Roman"/>
          <w:sz w:val="24"/>
          <w:szCs w:val="24"/>
        </w:rPr>
        <w:lastRenderedPageBreak/>
        <w:t>transportation sector, fostering industry</w:t>
      </w:r>
      <w:r w:rsidR="00ED51C9">
        <w:rPr>
          <w:rFonts w:ascii="Times New Roman" w:eastAsia="Times New Roman" w:hAnsi="Times New Roman" w:cs="Times New Roman"/>
          <w:sz w:val="24"/>
          <w:szCs w:val="24"/>
        </w:rPr>
        <w:t xml:space="preserve"> scale</w:t>
      </w:r>
      <w:r>
        <w:rPr>
          <w:rFonts w:ascii="Times New Roman" w:eastAsia="Times New Roman" w:hAnsi="Times New Roman" w:cs="Times New Roman"/>
          <w:sz w:val="24"/>
          <w:szCs w:val="24"/>
        </w:rPr>
        <w:t>, and reducing green hydrogen costs across the economy. Scaling the industry is vital to supporting the 2022 California Scoping Plan for Achieving Carbon Neutrality, which indicates that California must increase green hydrogen production by 1700-fold to meet its net-zero goal by 2045.</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Additionally, the LCFS program is crucial for advancing statewide clean energy objectives, including the clean hydrogen hub through the Alliance for Renewable Clean Hydrogen Energy System. Since California’s LCFS program frequently serves as a model for other low-carbon initiatives across the U.S., it is crucial to ensure </w:t>
      </w:r>
      <w:r w:rsidR="00C162A2">
        <w:rPr>
          <w:rFonts w:ascii="Times New Roman" w:eastAsia="Times New Roman" w:hAnsi="Times New Roman" w:cs="Times New Roman"/>
          <w:sz w:val="24"/>
          <w:szCs w:val="24"/>
        </w:rPr>
        <w:t>it</w:t>
      </w:r>
      <w:r>
        <w:rPr>
          <w:rFonts w:ascii="Times New Roman" w:eastAsia="Times New Roman" w:hAnsi="Times New Roman" w:cs="Times New Roman"/>
          <w:sz w:val="24"/>
          <w:szCs w:val="24"/>
        </w:rPr>
        <w:t xml:space="preserve"> sends the right market signals to effectively expand the clean hydrogen economy.</w:t>
      </w:r>
    </w:p>
    <w:p w14:paraId="7FFF2031" w14:textId="77777777" w:rsidR="00F728F4" w:rsidRDefault="00F728F4">
      <w:pPr>
        <w:jc w:val="both"/>
        <w:rPr>
          <w:rFonts w:ascii="Times New Roman" w:eastAsia="Times New Roman" w:hAnsi="Times New Roman" w:cs="Times New Roman"/>
          <w:sz w:val="24"/>
          <w:szCs w:val="24"/>
        </w:rPr>
      </w:pPr>
    </w:p>
    <w:p w14:paraId="7982EBC9" w14:textId="77777777" w:rsidR="00F728F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stated in comments submitted in response to the April 10 LCFS Workshop</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and the December 2023 Proposed 2024 LCFS Amendments,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Electric Hydrogen recommends that CARB make the following two amendments to ensure that the LCFS is fully optimized to drive green hydrogen production, displace fossil fuels, and deliver air quality benefits:</w:t>
      </w:r>
    </w:p>
    <w:p w14:paraId="2E9C851E" w14:textId="77777777" w:rsidR="00F728F4" w:rsidRDefault="00F728F4">
      <w:pPr>
        <w:jc w:val="both"/>
        <w:rPr>
          <w:rFonts w:ascii="Times New Roman" w:eastAsia="Times New Roman" w:hAnsi="Times New Roman" w:cs="Times New Roman"/>
          <w:sz w:val="24"/>
          <w:szCs w:val="24"/>
        </w:rPr>
      </w:pPr>
    </w:p>
    <w:p w14:paraId="45AB968E" w14:textId="77777777" w:rsidR="00F728F4"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Amendment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Allow book-and-claim delivery of low-CI electricity for electrolytic hydrogen production used as a feedstock in transportation fuel.</w:t>
      </w:r>
    </w:p>
    <w:p w14:paraId="62BBAA70" w14:textId="77777777" w:rsidR="00F728F4" w:rsidRDefault="00000000">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Amendment 2:</w:t>
      </w:r>
      <w:r>
        <w:rPr>
          <w:rFonts w:ascii="Times New Roman" w:eastAsia="Times New Roman" w:hAnsi="Times New Roman" w:cs="Times New Roman"/>
          <w:sz w:val="24"/>
          <w:szCs w:val="24"/>
        </w:rPr>
        <w:t xml:space="preserve"> Allow book-and-claim delivery of low-CI hydrogen in dedicated hydrogen pipelines outside of California.</w:t>
      </w:r>
    </w:p>
    <w:p w14:paraId="54867742" w14:textId="77777777" w:rsidR="00F728F4" w:rsidRDefault="00F728F4">
      <w:pPr>
        <w:ind w:left="720"/>
        <w:jc w:val="both"/>
        <w:rPr>
          <w:rFonts w:ascii="Times New Roman" w:eastAsia="Times New Roman" w:hAnsi="Times New Roman" w:cs="Times New Roman"/>
          <w:sz w:val="24"/>
          <w:szCs w:val="24"/>
        </w:rPr>
      </w:pPr>
    </w:p>
    <w:p w14:paraId="459A0062" w14:textId="5D45AB05" w:rsidR="00F728F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amendment is critical to encouraging the replacement of natural gas with green hydrogen as a feedstock, specifically in the production of </w:t>
      </w:r>
      <w:r w:rsidR="00C162A2">
        <w:rPr>
          <w:rFonts w:ascii="Times New Roman" w:eastAsia="Times New Roman" w:hAnsi="Times New Roman" w:cs="Times New Roman"/>
          <w:sz w:val="24"/>
          <w:szCs w:val="24"/>
        </w:rPr>
        <w:t>sustainable aviation fuel (</w:t>
      </w:r>
      <w:r>
        <w:rPr>
          <w:rFonts w:ascii="Times New Roman" w:eastAsia="Times New Roman" w:hAnsi="Times New Roman" w:cs="Times New Roman"/>
          <w:sz w:val="24"/>
          <w:szCs w:val="24"/>
        </w:rPr>
        <w:t>SAF</w:t>
      </w:r>
      <w:r w:rsidR="00C162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Over 30 refineries around the country, including seven in California, produce renewable diesel and/or SAF for the California transportation market. </w:t>
      </w:r>
      <w:r w:rsidR="00ED51C9">
        <w:rPr>
          <w:rFonts w:ascii="Times New Roman" w:eastAsia="Times New Roman" w:hAnsi="Times New Roman" w:cs="Times New Roman"/>
          <w:sz w:val="24"/>
          <w:szCs w:val="24"/>
        </w:rPr>
        <w:t>T</w:t>
      </w:r>
      <w:r>
        <w:rPr>
          <w:rFonts w:ascii="Times New Roman" w:eastAsia="Times New Roman" w:hAnsi="Times New Roman" w:cs="Times New Roman"/>
          <w:sz w:val="24"/>
          <w:szCs w:val="24"/>
        </w:rPr>
        <w:t>hese refineries currently use steam methane reformer</w:t>
      </w:r>
      <w:r w:rsidR="00ED51C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(SMR</w:t>
      </w:r>
      <w:r w:rsidR="00ED51C9">
        <w:rPr>
          <w:rFonts w:ascii="Times New Roman" w:eastAsia="Times New Roman" w:hAnsi="Times New Roman" w:cs="Times New Roman"/>
          <w:sz w:val="24"/>
          <w:szCs w:val="24"/>
        </w:rPr>
        <w:t>s</w:t>
      </w:r>
      <w:r>
        <w:rPr>
          <w:rFonts w:ascii="Times New Roman" w:eastAsia="Times New Roman" w:hAnsi="Times New Roman" w:cs="Times New Roman"/>
          <w:sz w:val="24"/>
          <w:szCs w:val="24"/>
        </w:rPr>
        <w:t>) to reform natural gas into hydrogen for fuel processing</w:t>
      </w:r>
      <w:r w:rsidR="00ED51C9">
        <w:rPr>
          <w:rFonts w:ascii="Times New Roman" w:eastAsia="Times New Roman" w:hAnsi="Times New Roman" w:cs="Times New Roman"/>
          <w:sz w:val="24"/>
          <w:szCs w:val="24"/>
        </w:rPr>
        <w:t xml:space="preserve"> and production</w:t>
      </w:r>
      <w:r>
        <w:rPr>
          <w:rFonts w:ascii="Times New Roman" w:eastAsia="Times New Roman" w:hAnsi="Times New Roman" w:cs="Times New Roman"/>
          <w:sz w:val="24"/>
          <w:szCs w:val="24"/>
        </w:rPr>
        <w:t>. The 15-Day Changes’ prohibition on the use of book</w:t>
      </w:r>
      <w:r w:rsidR="00C162A2">
        <w:rPr>
          <w:rFonts w:ascii="Times New Roman" w:eastAsia="Times New Roman" w:hAnsi="Times New Roman" w:cs="Times New Roman"/>
          <w:sz w:val="24"/>
          <w:szCs w:val="24"/>
        </w:rPr>
        <w:t>-</w:t>
      </w:r>
      <w:r>
        <w:rPr>
          <w:rFonts w:ascii="Times New Roman" w:eastAsia="Times New Roman" w:hAnsi="Times New Roman" w:cs="Times New Roman"/>
          <w:sz w:val="24"/>
          <w:szCs w:val="24"/>
        </w:rPr>
        <w:t>and</w:t>
      </w:r>
      <w:r w:rsidR="00C162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claim delivery of low-CI electricity </w:t>
      </w:r>
      <w:proofErr w:type="gramStart"/>
      <w:r>
        <w:rPr>
          <w:rFonts w:ascii="Times New Roman" w:eastAsia="Times New Roman" w:hAnsi="Times New Roman" w:cs="Times New Roman"/>
          <w:sz w:val="24"/>
          <w:szCs w:val="24"/>
        </w:rPr>
        <w:t xml:space="preserve">for </w:t>
      </w:r>
      <w:r w:rsidR="00ED51C9">
        <w:rPr>
          <w:rFonts w:ascii="Times New Roman" w:eastAsia="Times New Roman" w:hAnsi="Times New Roman" w:cs="Times New Roman"/>
          <w:sz w:val="24"/>
          <w:szCs w:val="24"/>
        </w:rPr>
        <w:t>the production of</w:t>
      </w:r>
      <w:proofErr w:type="gramEnd"/>
      <w:r w:rsidR="00ED51C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electrolytic hydrogen used as a feedstock effectively locks in the use of SMRs and prohibits these refineries from switching their hydrogen source to electrolytic hydrogen. This prohibition perpetuates significant local air pollution and greenhouse gas </w:t>
      </w:r>
      <w:r w:rsidR="00C162A2">
        <w:rPr>
          <w:rFonts w:ascii="Times New Roman" w:eastAsia="Times New Roman" w:hAnsi="Times New Roman" w:cs="Times New Roman"/>
          <w:sz w:val="24"/>
          <w:szCs w:val="24"/>
        </w:rPr>
        <w:t xml:space="preserve">(GHG) </w:t>
      </w:r>
      <w:r>
        <w:rPr>
          <w:rFonts w:ascii="Times New Roman" w:eastAsia="Times New Roman" w:hAnsi="Times New Roman" w:cs="Times New Roman"/>
          <w:sz w:val="24"/>
          <w:szCs w:val="24"/>
        </w:rPr>
        <w:t>pollution for communities adjacent to these refineries. The median SMR in California emits as much as 80 tons of fine particulate matter, 132 tons of NOx, and 777,274 tons of CO2 annually. While the 15-Day Changes allow these refineries to utilize book</w:t>
      </w:r>
      <w:r w:rsidR="00C162A2">
        <w:rPr>
          <w:rFonts w:ascii="Times New Roman" w:eastAsia="Times New Roman" w:hAnsi="Times New Roman" w:cs="Times New Roman"/>
          <w:sz w:val="24"/>
          <w:szCs w:val="24"/>
        </w:rPr>
        <w:t>-</w:t>
      </w:r>
      <w:r>
        <w:rPr>
          <w:rFonts w:ascii="Times New Roman" w:eastAsia="Times New Roman" w:hAnsi="Times New Roman" w:cs="Times New Roman"/>
          <w:sz w:val="24"/>
          <w:szCs w:val="24"/>
        </w:rPr>
        <w:t>and</w:t>
      </w:r>
      <w:r w:rsidR="00C162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claim accounting to source renewable natural gas (RNG) to mitigate </w:t>
      </w:r>
      <w:r w:rsidR="00C162A2">
        <w:rPr>
          <w:rFonts w:ascii="Times New Roman" w:eastAsia="Times New Roman" w:hAnsi="Times New Roman" w:cs="Times New Roman"/>
          <w:sz w:val="24"/>
          <w:szCs w:val="24"/>
        </w:rPr>
        <w:t>GHG</w:t>
      </w:r>
      <w:r>
        <w:rPr>
          <w:rFonts w:ascii="Times New Roman" w:eastAsia="Times New Roman" w:hAnsi="Times New Roman" w:cs="Times New Roman"/>
          <w:sz w:val="24"/>
          <w:szCs w:val="24"/>
        </w:rPr>
        <w:t xml:space="preserve"> emissions, sourcing RNG at these facilities does nothing to reduce local air pollution for vulnerable communities adjacent to the refineries. Extending book</w:t>
      </w:r>
      <w:r w:rsidR="00C162A2">
        <w:rPr>
          <w:rFonts w:ascii="Times New Roman" w:eastAsia="Times New Roman" w:hAnsi="Times New Roman" w:cs="Times New Roman"/>
          <w:sz w:val="24"/>
          <w:szCs w:val="24"/>
        </w:rPr>
        <w:t>-</w:t>
      </w:r>
      <w:r>
        <w:rPr>
          <w:rFonts w:ascii="Times New Roman" w:eastAsia="Times New Roman" w:hAnsi="Times New Roman" w:cs="Times New Roman"/>
          <w:sz w:val="24"/>
          <w:szCs w:val="24"/>
        </w:rPr>
        <w:t>and</w:t>
      </w:r>
      <w:r w:rsidR="00C162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claim </w:t>
      </w:r>
      <w:r>
        <w:rPr>
          <w:rFonts w:ascii="Times New Roman" w:eastAsia="Times New Roman" w:hAnsi="Times New Roman" w:cs="Times New Roman"/>
          <w:sz w:val="24"/>
          <w:szCs w:val="24"/>
        </w:rPr>
        <w:lastRenderedPageBreak/>
        <w:t xml:space="preserve">accounting beyond RNG to renewable electricity would allow these facilities the option to replace their SMRs with </w:t>
      </w:r>
      <w:proofErr w:type="spellStart"/>
      <w:r>
        <w:rPr>
          <w:rFonts w:ascii="Times New Roman" w:eastAsia="Times New Roman" w:hAnsi="Times New Roman" w:cs="Times New Roman"/>
          <w:sz w:val="24"/>
          <w:szCs w:val="24"/>
        </w:rPr>
        <w:t>electrolyzers</w:t>
      </w:r>
      <w:proofErr w:type="spellEnd"/>
      <w:r>
        <w:rPr>
          <w:rFonts w:ascii="Times New Roman" w:eastAsia="Times New Roman" w:hAnsi="Times New Roman" w:cs="Times New Roman"/>
          <w:sz w:val="24"/>
          <w:szCs w:val="24"/>
        </w:rPr>
        <w:t xml:space="preserve"> to lower or eliminate both local air pollution and </w:t>
      </w:r>
      <w:r w:rsidR="00C162A2">
        <w:rPr>
          <w:rFonts w:ascii="Times New Roman" w:eastAsia="Times New Roman" w:hAnsi="Times New Roman" w:cs="Times New Roman"/>
          <w:sz w:val="24"/>
          <w:szCs w:val="24"/>
        </w:rPr>
        <w:t>GHG</w:t>
      </w:r>
      <w:r>
        <w:rPr>
          <w:rFonts w:ascii="Times New Roman" w:eastAsia="Times New Roman" w:hAnsi="Times New Roman" w:cs="Times New Roman"/>
          <w:sz w:val="24"/>
          <w:szCs w:val="24"/>
        </w:rPr>
        <w:t xml:space="preserve"> emissions. </w:t>
      </w:r>
    </w:p>
    <w:p w14:paraId="400D8E89" w14:textId="77777777" w:rsidR="00F728F4" w:rsidRDefault="00F728F4">
      <w:pPr>
        <w:jc w:val="both"/>
        <w:rPr>
          <w:rFonts w:ascii="Times New Roman" w:eastAsia="Times New Roman" w:hAnsi="Times New Roman" w:cs="Times New Roman"/>
          <w:sz w:val="24"/>
          <w:szCs w:val="24"/>
        </w:rPr>
      </w:pPr>
    </w:p>
    <w:p w14:paraId="6321FCED" w14:textId="4A1088CD" w:rsidR="00F728F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Failing to provide equal treatment to RNG and renewable electricity as it relates to the use of book</w:t>
      </w:r>
      <w:r w:rsidR="00C162A2">
        <w:rPr>
          <w:rFonts w:ascii="Times New Roman" w:eastAsia="Times New Roman" w:hAnsi="Times New Roman" w:cs="Times New Roman"/>
          <w:sz w:val="24"/>
          <w:szCs w:val="24"/>
        </w:rPr>
        <w:t>-</w:t>
      </w:r>
      <w:r>
        <w:rPr>
          <w:rFonts w:ascii="Times New Roman" w:eastAsia="Times New Roman" w:hAnsi="Times New Roman" w:cs="Times New Roman"/>
          <w:sz w:val="24"/>
          <w:szCs w:val="24"/>
        </w:rPr>
        <w:t>and</w:t>
      </w:r>
      <w:r w:rsidR="00C162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claim accounting is also a missed opportunity to drive investment in the green hydrogen industry into California. Under the </w:t>
      </w:r>
      <w:r w:rsidR="00C162A2">
        <w:rPr>
          <w:rFonts w:ascii="Times New Roman" w:eastAsia="Times New Roman" w:hAnsi="Times New Roman" w:cs="Times New Roman"/>
          <w:sz w:val="24"/>
          <w:szCs w:val="24"/>
        </w:rPr>
        <w:t>European Union’s (</w:t>
      </w:r>
      <w:r>
        <w:rPr>
          <w:rFonts w:ascii="Times New Roman" w:eastAsia="Times New Roman" w:hAnsi="Times New Roman" w:cs="Times New Roman"/>
          <w:sz w:val="24"/>
          <w:szCs w:val="24"/>
        </w:rPr>
        <w:t>EU</w:t>
      </w:r>
      <w:r w:rsidR="00C162A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third Renewable Energy Directive (RED III), the EU is requiring refineries to use at least 42% green hydrogen by 2030 and 60% by 2035. This policy is driving significant investment into the EU. </w:t>
      </w:r>
      <w:r w:rsidR="00C162A2">
        <w:rPr>
          <w:rFonts w:ascii="Times New Roman" w:eastAsia="Times New Roman" w:hAnsi="Times New Roman" w:cs="Times New Roman"/>
          <w:sz w:val="24"/>
          <w:szCs w:val="24"/>
        </w:rPr>
        <w:t>For example, j</w:t>
      </w:r>
      <w:r>
        <w:rPr>
          <w:rFonts w:ascii="Times New Roman" w:eastAsia="Times New Roman" w:hAnsi="Times New Roman" w:cs="Times New Roman"/>
          <w:sz w:val="24"/>
          <w:szCs w:val="24"/>
        </w:rPr>
        <w:t>ust last month green hydrogen developers in the EU took final investment decision</w:t>
      </w:r>
      <w:r w:rsidR="00C162A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(FID) on 730 megawatts of green hydrogen projects in the EU. Allowing refineries to utilize book and claim delivery of low-CI electricity for electrolytic hydrogen production could unlock similar investment in California. </w:t>
      </w:r>
    </w:p>
    <w:p w14:paraId="29F1042A" w14:textId="77777777" w:rsidR="00F728F4" w:rsidRDefault="00F728F4">
      <w:pPr>
        <w:jc w:val="both"/>
        <w:rPr>
          <w:rFonts w:ascii="Times New Roman" w:eastAsia="Times New Roman" w:hAnsi="Times New Roman" w:cs="Times New Roman"/>
          <w:sz w:val="24"/>
          <w:szCs w:val="24"/>
        </w:rPr>
      </w:pPr>
    </w:p>
    <w:p w14:paraId="1E398099" w14:textId="27D2D2B3" w:rsidR="00F728F4" w:rsidRPr="007E4A3B" w:rsidRDefault="00000000">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The second amendment would provide fuel producers with greater access to green hydrogen to lower the carbon intensity of their liquid transportation fuels</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Today, California has only 16 miles of dedicated hydrogen pipelines. However, nationwide there are about 1,600 miles of dedicated hydrogen pipelines, 90% of which are concentrated in the Gulf Coast.</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Since this existing hydrogen pipeline infrastructure network serves a variety of industrial customers, it can </w:t>
      </w:r>
      <w:r w:rsidR="00C162A2">
        <w:rPr>
          <w:rFonts w:ascii="Times New Roman" w:eastAsia="Times New Roman" w:hAnsi="Times New Roman" w:cs="Times New Roman"/>
          <w:sz w:val="24"/>
          <w:szCs w:val="24"/>
        </w:rPr>
        <w:t xml:space="preserve">also be </w:t>
      </w:r>
      <w:r>
        <w:rPr>
          <w:rFonts w:ascii="Times New Roman" w:eastAsia="Times New Roman" w:hAnsi="Times New Roman" w:cs="Times New Roman"/>
          <w:sz w:val="24"/>
          <w:szCs w:val="24"/>
        </w:rPr>
        <w:t xml:space="preserve">a tool to help ensure California </w:t>
      </w:r>
      <w:r w:rsidR="00112629">
        <w:rPr>
          <w:rFonts w:ascii="Times New Roman" w:eastAsia="Times New Roman" w:hAnsi="Times New Roman" w:cs="Times New Roman"/>
          <w:sz w:val="24"/>
          <w:szCs w:val="24"/>
        </w:rPr>
        <w:t>has</w:t>
      </w:r>
      <w:r>
        <w:rPr>
          <w:rFonts w:ascii="Times New Roman" w:eastAsia="Times New Roman" w:hAnsi="Times New Roman" w:cs="Times New Roman"/>
          <w:sz w:val="24"/>
          <w:szCs w:val="24"/>
        </w:rPr>
        <w:t xml:space="preserve"> access to </w:t>
      </w:r>
      <w:r w:rsidR="00C162A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low-cost and low-carbon fuels needed to support the state’s climate and air quality goals. As the proposed changes are currently written, however, the vast network of Gulf Coast hydrogen pipelines would not be eligible for book-and-claim within the LCFS. As a result, the state’s access to low-cost, low-carbon fuels is restricted, which runs counter to the findings of the 2022 Scoping Plan and the state’s broader </w:t>
      </w:r>
      <w:r w:rsidRPr="007E4A3B">
        <w:rPr>
          <w:rFonts w:ascii="Times New Roman" w:eastAsia="Times New Roman" w:hAnsi="Times New Roman" w:cs="Times New Roman"/>
          <w:color w:val="000000" w:themeColor="text1"/>
          <w:sz w:val="24"/>
          <w:szCs w:val="24"/>
        </w:rPr>
        <w:t>climate goals. However, if amended as outlined, the LCFS program would help facilitate an influx of clean fuels</w:t>
      </w:r>
      <w:r w:rsidR="00C162A2">
        <w:rPr>
          <w:rFonts w:ascii="Times New Roman" w:eastAsia="Times New Roman" w:hAnsi="Times New Roman" w:cs="Times New Roman"/>
          <w:color w:val="000000" w:themeColor="text1"/>
          <w:sz w:val="24"/>
          <w:szCs w:val="24"/>
        </w:rPr>
        <w:t>,</w:t>
      </w:r>
      <w:r w:rsidRPr="007E4A3B">
        <w:rPr>
          <w:rFonts w:ascii="Times New Roman" w:eastAsia="Times New Roman" w:hAnsi="Times New Roman" w:cs="Times New Roman"/>
          <w:color w:val="000000" w:themeColor="text1"/>
          <w:sz w:val="24"/>
          <w:szCs w:val="24"/>
        </w:rPr>
        <w:t xml:space="preserve"> </w:t>
      </w:r>
      <w:r w:rsidR="00C162A2">
        <w:rPr>
          <w:rFonts w:ascii="Times New Roman" w:eastAsia="Times New Roman" w:hAnsi="Times New Roman" w:cs="Times New Roman"/>
          <w:color w:val="000000" w:themeColor="text1"/>
          <w:sz w:val="24"/>
          <w:szCs w:val="24"/>
        </w:rPr>
        <w:t>such as SAF</w:t>
      </w:r>
      <w:r w:rsidRPr="007E4A3B">
        <w:rPr>
          <w:rFonts w:ascii="Times New Roman" w:eastAsia="Times New Roman" w:hAnsi="Times New Roman" w:cs="Times New Roman"/>
          <w:color w:val="000000" w:themeColor="text1"/>
          <w:sz w:val="24"/>
          <w:szCs w:val="24"/>
        </w:rPr>
        <w:t xml:space="preserve"> made with green hydrogen</w:t>
      </w:r>
      <w:r w:rsidR="00C162A2">
        <w:rPr>
          <w:rFonts w:ascii="Times New Roman" w:eastAsia="Times New Roman" w:hAnsi="Times New Roman" w:cs="Times New Roman"/>
          <w:color w:val="000000" w:themeColor="text1"/>
          <w:sz w:val="24"/>
          <w:szCs w:val="24"/>
        </w:rPr>
        <w:t>,</w:t>
      </w:r>
      <w:r w:rsidRPr="007E4A3B">
        <w:rPr>
          <w:rFonts w:ascii="Times New Roman" w:eastAsia="Times New Roman" w:hAnsi="Times New Roman" w:cs="Times New Roman"/>
          <w:color w:val="000000" w:themeColor="text1"/>
          <w:sz w:val="24"/>
          <w:szCs w:val="24"/>
        </w:rPr>
        <w:t xml:space="preserve"> to reduce emissions in California.  </w:t>
      </w:r>
    </w:p>
    <w:p w14:paraId="1F07300C" w14:textId="77777777" w:rsidR="00F728F4" w:rsidRPr="007E4A3B" w:rsidRDefault="00F728F4">
      <w:pPr>
        <w:jc w:val="both"/>
        <w:rPr>
          <w:rFonts w:ascii="Times New Roman" w:eastAsia="Times New Roman" w:hAnsi="Times New Roman" w:cs="Times New Roman"/>
          <w:color w:val="000000" w:themeColor="text1"/>
          <w:sz w:val="24"/>
          <w:szCs w:val="24"/>
        </w:rPr>
      </w:pPr>
    </w:p>
    <w:p w14:paraId="71CAF441" w14:textId="6392C1CE" w:rsidR="00F728F4" w:rsidRDefault="00000000">
      <w:pPr>
        <w:jc w:val="both"/>
        <w:rPr>
          <w:rFonts w:ascii="Times New Roman" w:eastAsia="Times New Roman" w:hAnsi="Times New Roman" w:cs="Times New Roman"/>
          <w:sz w:val="24"/>
          <w:szCs w:val="24"/>
        </w:rPr>
      </w:pPr>
      <w:r w:rsidRPr="007E4A3B">
        <w:rPr>
          <w:rFonts w:ascii="Times New Roman" w:eastAsia="Times New Roman" w:hAnsi="Times New Roman" w:cs="Times New Roman"/>
          <w:color w:val="000000" w:themeColor="text1"/>
          <w:sz w:val="24"/>
          <w:szCs w:val="24"/>
        </w:rPr>
        <w:t xml:space="preserve">In summary, Electric Hydrogen is appreciative of CARB’s near-term increase in stringency for the </w:t>
      </w:r>
      <w:r w:rsidR="00C162A2">
        <w:rPr>
          <w:rFonts w:ascii="Times New Roman" w:eastAsia="Times New Roman" w:hAnsi="Times New Roman" w:cs="Times New Roman"/>
          <w:color w:val="000000" w:themeColor="text1"/>
          <w:sz w:val="24"/>
          <w:szCs w:val="24"/>
        </w:rPr>
        <w:t xml:space="preserve">LCFS </w:t>
      </w:r>
      <w:r w:rsidRPr="007E4A3B">
        <w:rPr>
          <w:rFonts w:ascii="Times New Roman" w:eastAsia="Times New Roman" w:hAnsi="Times New Roman" w:cs="Times New Roman"/>
          <w:color w:val="000000" w:themeColor="text1"/>
          <w:sz w:val="24"/>
          <w:szCs w:val="24"/>
        </w:rPr>
        <w:t xml:space="preserve">but believes </w:t>
      </w:r>
      <w:r w:rsidR="00C162A2">
        <w:rPr>
          <w:rFonts w:ascii="Times New Roman" w:eastAsia="Times New Roman" w:hAnsi="Times New Roman" w:cs="Times New Roman"/>
          <w:color w:val="000000" w:themeColor="text1"/>
          <w:sz w:val="24"/>
          <w:szCs w:val="24"/>
        </w:rPr>
        <w:t>it</w:t>
      </w:r>
      <w:r w:rsidRPr="007E4A3B">
        <w:rPr>
          <w:rFonts w:ascii="Times New Roman" w:eastAsia="Times New Roman" w:hAnsi="Times New Roman" w:cs="Times New Roman"/>
          <w:color w:val="000000" w:themeColor="text1"/>
          <w:sz w:val="24"/>
          <w:szCs w:val="24"/>
        </w:rPr>
        <w:t xml:space="preserve"> must better support the development of </w:t>
      </w:r>
      <w:r w:rsidR="00C162A2">
        <w:rPr>
          <w:rFonts w:ascii="Times New Roman" w:eastAsia="Times New Roman" w:hAnsi="Times New Roman" w:cs="Times New Roman"/>
          <w:color w:val="000000" w:themeColor="text1"/>
          <w:sz w:val="24"/>
          <w:szCs w:val="24"/>
        </w:rPr>
        <w:t>a</w:t>
      </w:r>
      <w:r w:rsidRPr="007E4A3B">
        <w:rPr>
          <w:rFonts w:ascii="Times New Roman" w:eastAsia="Times New Roman" w:hAnsi="Times New Roman" w:cs="Times New Roman"/>
          <w:color w:val="000000" w:themeColor="text1"/>
          <w:sz w:val="24"/>
          <w:szCs w:val="24"/>
        </w:rPr>
        <w:t xml:space="preserve"> robust electrolytic hydrogen market. Amending the book-and-claim pathways as outlined will help California become a leader in the green hydrogen economy by supporting clean technology innovation, encouraging the transition away from natural gas, and improving local air quality for front-line communities. In this way, the LCFS would help support the statewide clean hydrogen hub and underpin the state’s broader climate and air quality goals. Electric Hydrogen appreciates CARB’s consideration of the proposed amendments and looks forward to continuing to work with CARB on this critical </w:t>
      </w:r>
      <w:r>
        <w:rPr>
          <w:rFonts w:ascii="Times New Roman" w:eastAsia="Times New Roman" w:hAnsi="Times New Roman" w:cs="Times New Roman"/>
          <w:sz w:val="24"/>
          <w:szCs w:val="24"/>
        </w:rPr>
        <w:t>effort.</w:t>
      </w:r>
    </w:p>
    <w:p w14:paraId="12094EC9" w14:textId="77777777" w:rsidR="00F728F4" w:rsidRDefault="00F728F4">
      <w:pPr>
        <w:jc w:val="both"/>
        <w:rPr>
          <w:rFonts w:ascii="Times New Roman" w:eastAsia="Times New Roman" w:hAnsi="Times New Roman" w:cs="Times New Roman"/>
          <w:sz w:val="24"/>
          <w:szCs w:val="24"/>
        </w:rPr>
      </w:pPr>
    </w:p>
    <w:p w14:paraId="0A204186" w14:textId="77777777" w:rsidR="00F728F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p>
    <w:p w14:paraId="127E769E" w14:textId="77777777" w:rsidR="00F728F4" w:rsidRDefault="00F728F4">
      <w:pPr>
        <w:jc w:val="both"/>
        <w:rPr>
          <w:rFonts w:ascii="Times New Roman" w:eastAsia="Times New Roman" w:hAnsi="Times New Roman" w:cs="Times New Roman"/>
          <w:sz w:val="24"/>
          <w:szCs w:val="24"/>
        </w:rPr>
      </w:pPr>
    </w:p>
    <w:p w14:paraId="18994313" w14:textId="77777777" w:rsidR="00F728F4" w:rsidRDefault="00000000">
      <w:pPr>
        <w:jc w:val="both"/>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 /s/ Paul Wilkins </w:t>
      </w:r>
    </w:p>
    <w:p w14:paraId="4AAEE1CE" w14:textId="77777777" w:rsidR="00F728F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Paul Wilkins </w:t>
      </w:r>
    </w:p>
    <w:p w14:paraId="321974A1" w14:textId="77777777" w:rsidR="00F728F4"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President for Policy and Government Engagement </w:t>
      </w:r>
    </w:p>
    <w:p w14:paraId="1CEBE03D" w14:textId="07546A0D" w:rsidR="00F728F4" w:rsidRDefault="00000000" w:rsidP="00112629">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Electric Hydrogen </w:t>
      </w:r>
    </w:p>
    <w:sectPr w:rsidR="00F728F4">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0CD841" w14:textId="77777777" w:rsidR="00CB37A1" w:rsidRDefault="00CB37A1">
      <w:pPr>
        <w:spacing w:line="240" w:lineRule="auto"/>
      </w:pPr>
      <w:r>
        <w:separator/>
      </w:r>
    </w:p>
  </w:endnote>
  <w:endnote w:type="continuationSeparator" w:id="0">
    <w:p w14:paraId="5CC87328" w14:textId="77777777" w:rsidR="00CB37A1" w:rsidRDefault="00CB37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8069665"/>
      <w:docPartObj>
        <w:docPartGallery w:val="Page Numbers (Bottom of Page)"/>
        <w:docPartUnique/>
      </w:docPartObj>
    </w:sdtPr>
    <w:sdtContent>
      <w:p w14:paraId="68CF1809" w14:textId="2747A75B" w:rsidR="00C162A2" w:rsidRDefault="00C162A2" w:rsidP="00DA583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4D9AC1" w14:textId="77777777" w:rsidR="00C162A2" w:rsidRDefault="00C16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905181511"/>
      <w:docPartObj>
        <w:docPartGallery w:val="Page Numbers (Bottom of Page)"/>
        <w:docPartUnique/>
      </w:docPartObj>
    </w:sdtPr>
    <w:sdtContent>
      <w:p w14:paraId="5558824C" w14:textId="52B6787F" w:rsidR="00C162A2" w:rsidRPr="00C162A2" w:rsidRDefault="00C162A2" w:rsidP="00DA5830">
        <w:pPr>
          <w:pStyle w:val="Footer"/>
          <w:framePr w:wrap="none" w:vAnchor="text" w:hAnchor="margin" w:xAlign="center" w:y="1"/>
          <w:rPr>
            <w:rStyle w:val="PageNumber"/>
            <w:rFonts w:ascii="Times New Roman" w:hAnsi="Times New Roman" w:cs="Times New Roman"/>
          </w:rPr>
        </w:pPr>
        <w:r w:rsidRPr="00C162A2">
          <w:rPr>
            <w:rStyle w:val="PageNumber"/>
            <w:rFonts w:ascii="Times New Roman" w:hAnsi="Times New Roman" w:cs="Times New Roman"/>
          </w:rPr>
          <w:fldChar w:fldCharType="begin"/>
        </w:r>
        <w:r w:rsidRPr="00C162A2">
          <w:rPr>
            <w:rStyle w:val="PageNumber"/>
            <w:rFonts w:ascii="Times New Roman" w:hAnsi="Times New Roman" w:cs="Times New Roman"/>
          </w:rPr>
          <w:instrText xml:space="preserve"> PAGE </w:instrText>
        </w:r>
        <w:r w:rsidRPr="00C162A2">
          <w:rPr>
            <w:rStyle w:val="PageNumber"/>
            <w:rFonts w:ascii="Times New Roman" w:hAnsi="Times New Roman" w:cs="Times New Roman"/>
          </w:rPr>
          <w:fldChar w:fldCharType="separate"/>
        </w:r>
        <w:r w:rsidRPr="00C162A2">
          <w:rPr>
            <w:rStyle w:val="PageNumber"/>
            <w:rFonts w:ascii="Times New Roman" w:hAnsi="Times New Roman" w:cs="Times New Roman"/>
            <w:noProof/>
          </w:rPr>
          <w:t>2</w:t>
        </w:r>
        <w:r w:rsidRPr="00C162A2">
          <w:rPr>
            <w:rStyle w:val="PageNumber"/>
            <w:rFonts w:ascii="Times New Roman" w:hAnsi="Times New Roman" w:cs="Times New Roman"/>
          </w:rPr>
          <w:fldChar w:fldCharType="end"/>
        </w:r>
      </w:p>
    </w:sdtContent>
  </w:sdt>
  <w:p w14:paraId="591C95C1" w14:textId="77777777" w:rsidR="00C162A2" w:rsidRDefault="00C16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A8C72" w14:textId="77777777" w:rsidR="00CB37A1" w:rsidRDefault="00CB37A1">
      <w:pPr>
        <w:spacing w:line="240" w:lineRule="auto"/>
      </w:pPr>
      <w:r>
        <w:separator/>
      </w:r>
    </w:p>
  </w:footnote>
  <w:footnote w:type="continuationSeparator" w:id="0">
    <w:p w14:paraId="46C6BC2E" w14:textId="77777777" w:rsidR="00CB37A1" w:rsidRDefault="00CB37A1">
      <w:pPr>
        <w:spacing w:line="240" w:lineRule="auto"/>
      </w:pPr>
      <w:r>
        <w:continuationSeparator/>
      </w:r>
    </w:p>
  </w:footnote>
  <w:footnote w:id="1">
    <w:p w14:paraId="3A0B260E" w14:textId="77777777" w:rsidR="00F728F4" w:rsidRPr="00C162A2" w:rsidRDefault="00000000">
      <w:pPr>
        <w:spacing w:line="240" w:lineRule="auto"/>
        <w:rPr>
          <w:rFonts w:ascii="Times New Roman" w:hAnsi="Times New Roman" w:cs="Times New Roman"/>
          <w:sz w:val="20"/>
          <w:szCs w:val="20"/>
        </w:rPr>
      </w:pPr>
      <w:r w:rsidRPr="00C162A2">
        <w:rPr>
          <w:rFonts w:ascii="Times New Roman" w:hAnsi="Times New Roman" w:cs="Times New Roman"/>
          <w:sz w:val="20"/>
          <w:szCs w:val="20"/>
          <w:vertAlign w:val="superscript"/>
        </w:rPr>
        <w:footnoteRef/>
      </w:r>
      <w:r w:rsidRPr="00C162A2">
        <w:rPr>
          <w:rFonts w:ascii="Times New Roman" w:hAnsi="Times New Roman" w:cs="Times New Roman"/>
          <w:sz w:val="20"/>
          <w:szCs w:val="20"/>
        </w:rPr>
        <w:t xml:space="preserve"> See </w:t>
      </w:r>
      <w:hyperlink r:id="rId1">
        <w:r w:rsidRPr="00C162A2">
          <w:rPr>
            <w:rFonts w:ascii="Times New Roman" w:hAnsi="Times New Roman" w:cs="Times New Roman"/>
            <w:color w:val="1155CC"/>
            <w:sz w:val="20"/>
            <w:szCs w:val="20"/>
            <w:u w:val="single"/>
          </w:rPr>
          <w:t>https://eh2.com/</w:t>
        </w:r>
      </w:hyperlink>
      <w:r w:rsidRPr="00C162A2">
        <w:rPr>
          <w:rFonts w:ascii="Times New Roman" w:hAnsi="Times New Roman" w:cs="Times New Roman"/>
          <w:sz w:val="20"/>
          <w:szCs w:val="20"/>
        </w:rPr>
        <w:t xml:space="preserve"> </w:t>
      </w:r>
    </w:p>
  </w:footnote>
  <w:footnote w:id="2">
    <w:p w14:paraId="13100240" w14:textId="77777777" w:rsidR="00C162A2" w:rsidRPr="00C162A2" w:rsidRDefault="00000000" w:rsidP="00C162A2">
      <w:pPr>
        <w:spacing w:line="240" w:lineRule="auto"/>
        <w:rPr>
          <w:rFonts w:ascii="Times New Roman" w:eastAsia="Times New Roman" w:hAnsi="Times New Roman" w:cs="Times New Roman"/>
          <w:sz w:val="20"/>
          <w:szCs w:val="20"/>
          <w:lang w:val="en-US"/>
        </w:rPr>
      </w:pPr>
      <w:r w:rsidRPr="00C162A2">
        <w:rPr>
          <w:rFonts w:ascii="Times New Roman" w:hAnsi="Times New Roman" w:cs="Times New Roman"/>
          <w:sz w:val="20"/>
          <w:szCs w:val="20"/>
          <w:vertAlign w:val="superscript"/>
        </w:rPr>
        <w:footnoteRef/>
      </w:r>
      <w:r w:rsidRPr="00C162A2">
        <w:rPr>
          <w:rFonts w:ascii="Times New Roman" w:hAnsi="Times New Roman" w:cs="Times New Roman"/>
          <w:sz w:val="20"/>
          <w:szCs w:val="20"/>
        </w:rPr>
        <w:t xml:space="preserve"> </w:t>
      </w:r>
      <w:r w:rsidR="00C162A2" w:rsidRPr="00C162A2">
        <w:rPr>
          <w:rFonts w:ascii="Times New Roman" w:eastAsia="Times New Roman" w:hAnsi="Times New Roman" w:cs="Times New Roman"/>
          <w:i/>
          <w:iCs/>
          <w:sz w:val="20"/>
          <w:szCs w:val="20"/>
          <w:lang w:val="en-US"/>
        </w:rPr>
        <w:t>Notice of Public Availability of Modified Text and Availability of Additional Documents and/or Information: Proposed Low Carbon Fuel Standard Amendments</w:t>
      </w:r>
      <w:r w:rsidR="00C162A2" w:rsidRPr="00C162A2">
        <w:rPr>
          <w:rFonts w:ascii="Times New Roman" w:eastAsia="Times New Roman" w:hAnsi="Times New Roman" w:cs="Times New Roman"/>
          <w:sz w:val="20"/>
          <w:szCs w:val="20"/>
          <w:lang w:val="en-US"/>
        </w:rPr>
        <w:t xml:space="preserve">. California Air Resources Board, Aug. 2024, </w:t>
      </w:r>
      <w:r w:rsidR="00C162A2" w:rsidRPr="00C162A2">
        <w:rPr>
          <w:rFonts w:ascii="Times New Roman" w:eastAsia="Times New Roman" w:hAnsi="Times New Roman" w:cs="Times New Roman"/>
          <w:sz w:val="20"/>
          <w:szCs w:val="20"/>
          <w:lang w:val="en-US"/>
        </w:rPr>
        <w:fldChar w:fldCharType="begin"/>
      </w:r>
      <w:r w:rsidR="00C162A2" w:rsidRPr="00C162A2">
        <w:rPr>
          <w:rFonts w:ascii="Times New Roman" w:eastAsia="Times New Roman" w:hAnsi="Times New Roman" w:cs="Times New Roman"/>
          <w:sz w:val="20"/>
          <w:szCs w:val="20"/>
          <w:lang w:val="en-US"/>
        </w:rPr>
        <w:instrText>HYPERLINK "https://ww2.arb.ca.gov/sites/default/files/barcu/regact/2024/lcfs2024/15day_notice.pdf"</w:instrText>
      </w:r>
      <w:r w:rsidR="00C162A2" w:rsidRPr="00C162A2">
        <w:rPr>
          <w:rFonts w:ascii="Times New Roman" w:eastAsia="Times New Roman" w:hAnsi="Times New Roman" w:cs="Times New Roman"/>
          <w:sz w:val="20"/>
          <w:szCs w:val="20"/>
          <w:lang w:val="en-US"/>
        </w:rPr>
      </w:r>
      <w:r w:rsidR="00C162A2" w:rsidRPr="00C162A2">
        <w:rPr>
          <w:rFonts w:ascii="Times New Roman" w:eastAsia="Times New Roman" w:hAnsi="Times New Roman" w:cs="Times New Roman"/>
          <w:sz w:val="20"/>
          <w:szCs w:val="20"/>
          <w:lang w:val="en-US"/>
        </w:rPr>
        <w:fldChar w:fldCharType="separate"/>
      </w:r>
      <w:r w:rsidR="00C162A2" w:rsidRPr="00C162A2">
        <w:rPr>
          <w:rFonts w:ascii="Times New Roman" w:eastAsia="Times New Roman" w:hAnsi="Times New Roman" w:cs="Times New Roman"/>
          <w:color w:val="0000FF"/>
          <w:sz w:val="20"/>
          <w:szCs w:val="20"/>
          <w:u w:val="single"/>
          <w:lang w:val="en-US"/>
        </w:rPr>
        <w:t>https://ww2.arb.ca.gov/sites/default/files/barcu/regact/2024/lcfs2024/15day_notice.pdf</w:t>
      </w:r>
      <w:r w:rsidR="00C162A2" w:rsidRPr="00C162A2">
        <w:rPr>
          <w:rFonts w:ascii="Times New Roman" w:eastAsia="Times New Roman" w:hAnsi="Times New Roman" w:cs="Times New Roman"/>
          <w:sz w:val="20"/>
          <w:szCs w:val="20"/>
          <w:lang w:val="en-US"/>
        </w:rPr>
        <w:fldChar w:fldCharType="end"/>
      </w:r>
      <w:r w:rsidR="00C162A2" w:rsidRPr="00C162A2">
        <w:rPr>
          <w:rFonts w:ascii="Times New Roman" w:eastAsia="Times New Roman" w:hAnsi="Times New Roman" w:cs="Times New Roman"/>
          <w:sz w:val="20"/>
          <w:szCs w:val="20"/>
          <w:lang w:val="en-US"/>
        </w:rPr>
        <w:t>.</w:t>
      </w:r>
    </w:p>
    <w:p w14:paraId="58BFCB6A" w14:textId="68330360" w:rsidR="00F728F4" w:rsidRPr="00C162A2" w:rsidRDefault="00F728F4" w:rsidP="00C162A2">
      <w:pPr>
        <w:spacing w:line="240" w:lineRule="auto"/>
        <w:rPr>
          <w:rFonts w:ascii="Times New Roman" w:hAnsi="Times New Roman" w:cs="Times New Roman"/>
          <w:sz w:val="20"/>
          <w:szCs w:val="20"/>
        </w:rPr>
      </w:pPr>
    </w:p>
  </w:footnote>
  <w:footnote w:id="3">
    <w:p w14:paraId="50EB83AA" w14:textId="70AA2CE6" w:rsidR="00F728F4" w:rsidRPr="00C162A2" w:rsidRDefault="00000000">
      <w:pPr>
        <w:spacing w:line="240" w:lineRule="auto"/>
        <w:rPr>
          <w:rFonts w:ascii="Times New Roman" w:hAnsi="Times New Roman" w:cs="Times New Roman"/>
          <w:sz w:val="20"/>
          <w:szCs w:val="20"/>
          <w:lang w:val="en-US"/>
        </w:rPr>
      </w:pPr>
      <w:r w:rsidRPr="00C162A2">
        <w:rPr>
          <w:rFonts w:ascii="Times New Roman" w:hAnsi="Times New Roman" w:cs="Times New Roman"/>
          <w:sz w:val="20"/>
          <w:szCs w:val="20"/>
          <w:vertAlign w:val="superscript"/>
        </w:rPr>
        <w:footnoteRef/>
      </w:r>
      <w:r w:rsidRPr="00C162A2">
        <w:rPr>
          <w:rFonts w:ascii="Times New Roman" w:hAnsi="Times New Roman" w:cs="Times New Roman"/>
          <w:sz w:val="20"/>
          <w:szCs w:val="20"/>
        </w:rPr>
        <w:t xml:space="preserve"> </w:t>
      </w:r>
      <w:r w:rsidR="00C162A2" w:rsidRPr="00C162A2">
        <w:rPr>
          <w:rFonts w:ascii="Times New Roman" w:hAnsi="Times New Roman" w:cs="Times New Roman"/>
          <w:i/>
          <w:iCs/>
          <w:sz w:val="20"/>
          <w:szCs w:val="20"/>
          <w:lang w:val="en-US"/>
        </w:rPr>
        <w:t>2022 Scoping Plan for Achieving Carbon Neutrality</w:t>
      </w:r>
      <w:r w:rsidR="00C162A2" w:rsidRPr="00C162A2">
        <w:rPr>
          <w:rFonts w:ascii="Times New Roman" w:hAnsi="Times New Roman" w:cs="Times New Roman"/>
          <w:sz w:val="20"/>
          <w:szCs w:val="20"/>
          <w:lang w:val="en-US"/>
        </w:rPr>
        <w:t xml:space="preserve">. California Air Resources Board, Dec. 2022, </w:t>
      </w:r>
      <w:hyperlink r:id="rId2" w:history="1">
        <w:r w:rsidR="00C162A2" w:rsidRPr="00C162A2">
          <w:rPr>
            <w:rStyle w:val="Hyperlink"/>
            <w:rFonts w:ascii="Times New Roman" w:hAnsi="Times New Roman" w:cs="Times New Roman"/>
            <w:sz w:val="20"/>
            <w:szCs w:val="20"/>
            <w:lang w:val="en-US"/>
          </w:rPr>
          <w:t>https://ww2.arb.ca.gov/sites/default/files/2023-04/2022-sp.pdf</w:t>
        </w:r>
      </w:hyperlink>
      <w:r w:rsidR="00C162A2" w:rsidRPr="00C162A2">
        <w:rPr>
          <w:rFonts w:ascii="Times New Roman" w:hAnsi="Times New Roman" w:cs="Times New Roman"/>
          <w:sz w:val="20"/>
          <w:szCs w:val="20"/>
          <w:lang w:val="en-US"/>
        </w:rPr>
        <w:t>.</w:t>
      </w:r>
    </w:p>
  </w:footnote>
  <w:footnote w:id="4">
    <w:p w14:paraId="7626E8A5" w14:textId="3C129D41" w:rsidR="00F728F4" w:rsidRPr="00C162A2" w:rsidRDefault="00000000">
      <w:pPr>
        <w:spacing w:line="240" w:lineRule="auto"/>
        <w:rPr>
          <w:rFonts w:ascii="Times New Roman" w:hAnsi="Times New Roman" w:cs="Times New Roman"/>
          <w:sz w:val="20"/>
          <w:szCs w:val="20"/>
        </w:rPr>
      </w:pPr>
      <w:r w:rsidRPr="00C162A2">
        <w:rPr>
          <w:rFonts w:ascii="Times New Roman" w:hAnsi="Times New Roman" w:cs="Times New Roman"/>
          <w:sz w:val="20"/>
          <w:szCs w:val="20"/>
          <w:vertAlign w:val="superscript"/>
        </w:rPr>
        <w:footnoteRef/>
      </w:r>
      <w:r w:rsidRPr="00C162A2">
        <w:rPr>
          <w:rFonts w:ascii="Times New Roman" w:hAnsi="Times New Roman" w:cs="Times New Roman"/>
          <w:sz w:val="20"/>
          <w:szCs w:val="20"/>
        </w:rPr>
        <w:t xml:space="preserve"> </w:t>
      </w:r>
      <w:r w:rsidR="00C162A2" w:rsidRPr="00C162A2">
        <w:rPr>
          <w:rFonts w:ascii="Times New Roman" w:hAnsi="Times New Roman" w:cs="Times New Roman"/>
          <w:sz w:val="20"/>
          <w:szCs w:val="20"/>
        </w:rPr>
        <w:t>Electric Hydrogen Comments on Low Carbon Fuel Standard April 10, 2024, Workshop</w:t>
      </w:r>
      <w:r w:rsidR="00C162A2" w:rsidRPr="00C162A2">
        <w:rPr>
          <w:rFonts w:ascii="Times New Roman" w:hAnsi="Times New Roman" w:cs="Times New Roman"/>
          <w:sz w:val="20"/>
          <w:szCs w:val="20"/>
        </w:rPr>
        <w:t>. Available at:</w:t>
      </w:r>
      <w:r w:rsidR="00C162A2" w:rsidRPr="00C162A2">
        <w:rPr>
          <w:rFonts w:ascii="Times New Roman" w:hAnsi="Times New Roman" w:cs="Times New Roman"/>
          <w:sz w:val="20"/>
          <w:szCs w:val="20"/>
        </w:rPr>
        <w:t xml:space="preserve"> </w:t>
      </w:r>
      <w:hyperlink r:id="rId3" w:history="1">
        <w:r w:rsidR="0032396D">
          <w:rPr>
            <w:rStyle w:val="Hyperlink"/>
            <w:rFonts w:ascii="Times New Roman" w:hAnsi="Times New Roman" w:cs="Times New Roman"/>
            <w:sz w:val="20"/>
            <w:szCs w:val="20"/>
          </w:rPr>
          <w:t>https://ww2.arb.ca.gov/system/files/webform/public_comments/11301/2024.05.10 EH2 LCFS Workshop Comments_Final.pdf</w:t>
        </w:r>
      </w:hyperlink>
      <w:r w:rsidR="00C162A2" w:rsidRPr="00C162A2">
        <w:rPr>
          <w:rFonts w:ascii="Times New Roman" w:hAnsi="Times New Roman" w:cs="Times New Roman"/>
          <w:sz w:val="20"/>
          <w:szCs w:val="20"/>
        </w:rPr>
        <w:t>.</w:t>
      </w:r>
      <w:r w:rsidR="00C162A2" w:rsidRPr="00C162A2">
        <w:rPr>
          <w:rFonts w:ascii="Times New Roman" w:hAnsi="Times New Roman" w:cs="Times New Roman"/>
          <w:sz w:val="20"/>
          <w:szCs w:val="20"/>
        </w:rPr>
        <w:t xml:space="preserve"> </w:t>
      </w:r>
    </w:p>
  </w:footnote>
  <w:footnote w:id="5">
    <w:p w14:paraId="4DB8049E" w14:textId="01BC1734" w:rsidR="00F728F4" w:rsidRPr="00C162A2" w:rsidRDefault="00000000">
      <w:pPr>
        <w:spacing w:line="240" w:lineRule="auto"/>
        <w:rPr>
          <w:rFonts w:ascii="Times New Roman" w:hAnsi="Times New Roman" w:cs="Times New Roman"/>
          <w:sz w:val="20"/>
          <w:szCs w:val="20"/>
        </w:rPr>
      </w:pPr>
      <w:r w:rsidRPr="00C162A2">
        <w:rPr>
          <w:rFonts w:ascii="Times New Roman" w:hAnsi="Times New Roman" w:cs="Times New Roman"/>
          <w:sz w:val="20"/>
          <w:szCs w:val="20"/>
          <w:vertAlign w:val="superscript"/>
        </w:rPr>
        <w:footnoteRef/>
      </w:r>
      <w:r w:rsidRPr="00C162A2">
        <w:rPr>
          <w:rFonts w:ascii="Times New Roman" w:hAnsi="Times New Roman" w:cs="Times New Roman"/>
          <w:sz w:val="20"/>
          <w:szCs w:val="20"/>
        </w:rPr>
        <w:t xml:space="preserve"> </w:t>
      </w:r>
      <w:r w:rsidR="00C162A2" w:rsidRPr="00C162A2">
        <w:rPr>
          <w:rFonts w:ascii="Times New Roman" w:hAnsi="Times New Roman" w:cs="Times New Roman"/>
          <w:sz w:val="20"/>
          <w:szCs w:val="20"/>
        </w:rPr>
        <w:t>Electric Hydrogen Comments on Proposed 2024 LCFS Amendments</w:t>
      </w:r>
      <w:r w:rsidR="00C162A2" w:rsidRPr="00C162A2">
        <w:rPr>
          <w:rFonts w:ascii="Times New Roman" w:hAnsi="Times New Roman" w:cs="Times New Roman"/>
          <w:sz w:val="20"/>
          <w:szCs w:val="20"/>
        </w:rPr>
        <w:t xml:space="preserve">. Available at: </w:t>
      </w:r>
      <w:hyperlink r:id="rId4" w:history="1">
        <w:r w:rsidR="00C162A2" w:rsidRPr="00C162A2">
          <w:rPr>
            <w:rStyle w:val="Hyperlink"/>
            <w:rFonts w:ascii="Times New Roman" w:hAnsi="Times New Roman" w:cs="Times New Roman"/>
            <w:sz w:val="20"/>
            <w:szCs w:val="20"/>
          </w:rPr>
          <w:t>https://www.arb.ca.gov/lists/com-attach/6869-lcfs2024-A</w:t>
        </w:r>
        <w:r w:rsidR="00C162A2" w:rsidRPr="00C162A2">
          <w:rPr>
            <w:rStyle w:val="Hyperlink"/>
            <w:rFonts w:ascii="Times New Roman" w:hAnsi="Times New Roman" w:cs="Times New Roman"/>
            <w:sz w:val="20"/>
            <w:szCs w:val="20"/>
          </w:rPr>
          <w:t>G</w:t>
        </w:r>
        <w:r w:rsidR="00C162A2" w:rsidRPr="00C162A2">
          <w:rPr>
            <w:rStyle w:val="Hyperlink"/>
            <w:rFonts w:ascii="Times New Roman" w:hAnsi="Times New Roman" w:cs="Times New Roman"/>
            <w:sz w:val="20"/>
            <w:szCs w:val="20"/>
          </w:rPr>
          <w:t>VUPgZiAjIFd1cl.pdf</w:t>
        </w:r>
      </w:hyperlink>
      <w:r w:rsidRPr="00C162A2">
        <w:rPr>
          <w:rFonts w:ascii="Times New Roman" w:hAnsi="Times New Roman" w:cs="Times New Roman"/>
          <w:sz w:val="20"/>
          <w:szCs w:val="20"/>
        </w:rPr>
        <w:t xml:space="preserve"> </w:t>
      </w:r>
    </w:p>
  </w:footnote>
  <w:footnote w:id="6">
    <w:p w14:paraId="2795F2D9" w14:textId="3CF20D86" w:rsidR="00F728F4" w:rsidRPr="00C162A2" w:rsidRDefault="00000000">
      <w:pPr>
        <w:spacing w:line="240" w:lineRule="auto"/>
        <w:rPr>
          <w:rFonts w:ascii="Times New Roman" w:hAnsi="Times New Roman" w:cs="Times New Roman"/>
          <w:sz w:val="20"/>
          <w:szCs w:val="20"/>
        </w:rPr>
      </w:pPr>
      <w:r w:rsidRPr="00C162A2">
        <w:rPr>
          <w:rFonts w:ascii="Times New Roman" w:hAnsi="Times New Roman" w:cs="Times New Roman"/>
          <w:sz w:val="20"/>
          <w:szCs w:val="20"/>
          <w:vertAlign w:val="superscript"/>
        </w:rPr>
        <w:footnoteRef/>
      </w:r>
      <w:r w:rsidRPr="00C162A2">
        <w:rPr>
          <w:rFonts w:ascii="Times New Roman" w:hAnsi="Times New Roman" w:cs="Times New Roman"/>
          <w:sz w:val="20"/>
          <w:szCs w:val="20"/>
        </w:rPr>
        <w:t xml:space="preserve"> </w:t>
      </w:r>
      <w:r w:rsidR="00C162A2" w:rsidRPr="00C162A2">
        <w:rPr>
          <w:rFonts w:ascii="Times New Roman" w:hAnsi="Times New Roman" w:cs="Times New Roman"/>
          <w:sz w:val="20"/>
          <w:szCs w:val="20"/>
        </w:rPr>
        <w:t>Jus</w:t>
      </w:r>
      <w:r w:rsidR="0032396D">
        <w:rPr>
          <w:rFonts w:ascii="Times New Roman" w:hAnsi="Times New Roman" w:cs="Times New Roman"/>
          <w:sz w:val="20"/>
          <w:szCs w:val="20"/>
        </w:rPr>
        <w:t>ti</w:t>
      </w:r>
      <w:r w:rsidR="00C162A2" w:rsidRPr="00C162A2">
        <w:rPr>
          <w:rFonts w:ascii="Times New Roman" w:hAnsi="Times New Roman" w:cs="Times New Roman"/>
          <w:sz w:val="20"/>
          <w:szCs w:val="20"/>
        </w:rPr>
        <w:t xml:space="preserve">n </w:t>
      </w:r>
      <w:proofErr w:type="spellStart"/>
      <w:r w:rsidR="00C162A2" w:rsidRPr="00C162A2">
        <w:rPr>
          <w:rFonts w:ascii="Times New Roman" w:hAnsi="Times New Roman" w:cs="Times New Roman"/>
          <w:sz w:val="20"/>
          <w:szCs w:val="20"/>
        </w:rPr>
        <w:t>Bracci</w:t>
      </w:r>
      <w:proofErr w:type="spellEnd"/>
      <w:r w:rsidR="00C162A2" w:rsidRPr="00C162A2">
        <w:rPr>
          <w:rFonts w:ascii="Times New Roman" w:hAnsi="Times New Roman" w:cs="Times New Roman"/>
          <w:sz w:val="20"/>
          <w:szCs w:val="20"/>
        </w:rPr>
        <w:t xml:space="preserve">, Adam Brandt, Sally M. Benson, </w:t>
      </w:r>
      <w:proofErr w:type="spellStart"/>
      <w:r w:rsidR="00C162A2" w:rsidRPr="00C162A2">
        <w:rPr>
          <w:rFonts w:ascii="Times New Roman" w:hAnsi="Times New Roman" w:cs="Times New Roman"/>
          <w:sz w:val="20"/>
          <w:szCs w:val="20"/>
        </w:rPr>
        <w:t>Gireesh</w:t>
      </w:r>
      <w:proofErr w:type="spellEnd"/>
      <w:r w:rsidR="00C162A2" w:rsidRPr="00C162A2">
        <w:rPr>
          <w:rFonts w:ascii="Times New Roman" w:hAnsi="Times New Roman" w:cs="Times New Roman"/>
          <w:sz w:val="20"/>
          <w:szCs w:val="20"/>
        </w:rPr>
        <w:t xml:space="preserve"> </w:t>
      </w:r>
      <w:proofErr w:type="spellStart"/>
      <w:r w:rsidR="00C162A2" w:rsidRPr="00C162A2">
        <w:rPr>
          <w:rFonts w:ascii="Times New Roman" w:hAnsi="Times New Roman" w:cs="Times New Roman"/>
          <w:sz w:val="20"/>
          <w:szCs w:val="20"/>
        </w:rPr>
        <w:t>Shrimali</w:t>
      </w:r>
      <w:proofErr w:type="spellEnd"/>
      <w:r w:rsidR="00C162A2" w:rsidRPr="00C162A2">
        <w:rPr>
          <w:rFonts w:ascii="Times New Roman" w:hAnsi="Times New Roman" w:cs="Times New Roman"/>
          <w:sz w:val="20"/>
          <w:szCs w:val="20"/>
        </w:rPr>
        <w:t xml:space="preserve"> and Sarah D. </w:t>
      </w:r>
      <w:proofErr w:type="spellStart"/>
      <w:r w:rsidR="00C162A2" w:rsidRPr="00C162A2">
        <w:rPr>
          <w:rFonts w:ascii="Times New Roman" w:hAnsi="Times New Roman" w:cs="Times New Roman"/>
          <w:sz w:val="20"/>
          <w:szCs w:val="20"/>
        </w:rPr>
        <w:t>Saltzer</w:t>
      </w:r>
      <w:proofErr w:type="spellEnd"/>
      <w:r w:rsidR="00C162A2" w:rsidRPr="00C162A2">
        <w:rPr>
          <w:rFonts w:ascii="Times New Roman" w:hAnsi="Times New Roman" w:cs="Times New Roman"/>
          <w:sz w:val="20"/>
          <w:szCs w:val="20"/>
        </w:rPr>
        <w:t xml:space="preserve">, “Pathways to Carbon Neutrality in California: The Hydrogen Opportunity”, Stanford Center for Carbon Storage and Stanford Carbon Removal </w:t>
      </w:r>
      <w:proofErr w:type="spellStart"/>
      <w:r w:rsidR="00C162A2" w:rsidRPr="00C162A2">
        <w:rPr>
          <w:rFonts w:ascii="Times New Roman" w:hAnsi="Times New Roman" w:cs="Times New Roman"/>
          <w:sz w:val="20"/>
          <w:szCs w:val="20"/>
        </w:rPr>
        <w:t>IniKaKve</w:t>
      </w:r>
      <w:proofErr w:type="spellEnd"/>
      <w:r w:rsidR="00C162A2" w:rsidRPr="00C162A2">
        <w:rPr>
          <w:rFonts w:ascii="Times New Roman" w:hAnsi="Times New Roman" w:cs="Times New Roman"/>
          <w:sz w:val="20"/>
          <w:szCs w:val="20"/>
        </w:rPr>
        <w:t>, February 2022, page 25.</w:t>
      </w:r>
      <w:r w:rsidR="00C162A2" w:rsidRPr="00C162A2">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B83B6" w14:textId="77777777" w:rsidR="00F728F4" w:rsidRDefault="00000000">
    <w:pPr>
      <w:jc w:val="right"/>
    </w:pPr>
    <w:r>
      <w:rPr>
        <w:noProof/>
      </w:rPr>
      <w:drawing>
        <wp:inline distT="114300" distB="114300" distL="114300" distR="114300" wp14:anchorId="1E68D1FE" wp14:editId="364CC415">
          <wp:extent cx="2188414" cy="5857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88414" cy="5857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254670"/>
    <w:multiLevelType w:val="multilevel"/>
    <w:tmpl w:val="06E4D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3449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F4"/>
    <w:rsid w:val="00112629"/>
    <w:rsid w:val="001F6644"/>
    <w:rsid w:val="00223E8B"/>
    <w:rsid w:val="0032396D"/>
    <w:rsid w:val="0053317D"/>
    <w:rsid w:val="006D5A40"/>
    <w:rsid w:val="007E4A3B"/>
    <w:rsid w:val="00946663"/>
    <w:rsid w:val="00C162A2"/>
    <w:rsid w:val="00CB37A1"/>
    <w:rsid w:val="00D570D1"/>
    <w:rsid w:val="00DB73FD"/>
    <w:rsid w:val="00E00998"/>
    <w:rsid w:val="00E304BF"/>
    <w:rsid w:val="00ED51C9"/>
    <w:rsid w:val="00F72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46B515"/>
  <w15:docId w15:val="{3C3CA7BF-A4FF-DE49-AFEA-79AB6400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noteText">
    <w:name w:val="footnote text"/>
    <w:basedOn w:val="Normal"/>
    <w:link w:val="FootnoteTextChar"/>
    <w:uiPriority w:val="99"/>
    <w:semiHidden/>
    <w:unhideWhenUsed/>
    <w:rsid w:val="00C162A2"/>
    <w:pPr>
      <w:spacing w:line="240" w:lineRule="auto"/>
    </w:pPr>
    <w:rPr>
      <w:sz w:val="20"/>
      <w:szCs w:val="20"/>
    </w:rPr>
  </w:style>
  <w:style w:type="character" w:customStyle="1" w:styleId="FootnoteTextChar">
    <w:name w:val="Footnote Text Char"/>
    <w:basedOn w:val="DefaultParagraphFont"/>
    <w:link w:val="FootnoteText"/>
    <w:uiPriority w:val="99"/>
    <w:semiHidden/>
    <w:rsid w:val="00C162A2"/>
    <w:rPr>
      <w:sz w:val="20"/>
      <w:szCs w:val="20"/>
    </w:rPr>
  </w:style>
  <w:style w:type="character" w:styleId="FootnoteReference">
    <w:name w:val="footnote reference"/>
    <w:basedOn w:val="DefaultParagraphFont"/>
    <w:uiPriority w:val="99"/>
    <w:semiHidden/>
    <w:unhideWhenUsed/>
    <w:rsid w:val="00C162A2"/>
    <w:rPr>
      <w:vertAlign w:val="superscript"/>
    </w:rPr>
  </w:style>
  <w:style w:type="paragraph" w:styleId="Header">
    <w:name w:val="header"/>
    <w:basedOn w:val="Normal"/>
    <w:link w:val="HeaderChar"/>
    <w:uiPriority w:val="99"/>
    <w:unhideWhenUsed/>
    <w:rsid w:val="00C162A2"/>
    <w:pPr>
      <w:tabs>
        <w:tab w:val="center" w:pos="4680"/>
        <w:tab w:val="right" w:pos="9360"/>
      </w:tabs>
      <w:spacing w:line="240" w:lineRule="auto"/>
    </w:pPr>
  </w:style>
  <w:style w:type="character" w:customStyle="1" w:styleId="HeaderChar">
    <w:name w:val="Header Char"/>
    <w:basedOn w:val="DefaultParagraphFont"/>
    <w:link w:val="Header"/>
    <w:uiPriority w:val="99"/>
    <w:rsid w:val="00C162A2"/>
  </w:style>
  <w:style w:type="paragraph" w:styleId="Footer">
    <w:name w:val="footer"/>
    <w:basedOn w:val="Normal"/>
    <w:link w:val="FooterChar"/>
    <w:uiPriority w:val="99"/>
    <w:unhideWhenUsed/>
    <w:rsid w:val="00C162A2"/>
    <w:pPr>
      <w:tabs>
        <w:tab w:val="center" w:pos="4680"/>
        <w:tab w:val="right" w:pos="9360"/>
      </w:tabs>
      <w:spacing w:line="240" w:lineRule="auto"/>
    </w:pPr>
  </w:style>
  <w:style w:type="character" w:customStyle="1" w:styleId="FooterChar">
    <w:name w:val="Footer Char"/>
    <w:basedOn w:val="DefaultParagraphFont"/>
    <w:link w:val="Footer"/>
    <w:uiPriority w:val="99"/>
    <w:rsid w:val="00C162A2"/>
  </w:style>
  <w:style w:type="character" w:styleId="PageNumber">
    <w:name w:val="page number"/>
    <w:basedOn w:val="DefaultParagraphFont"/>
    <w:uiPriority w:val="99"/>
    <w:semiHidden/>
    <w:unhideWhenUsed/>
    <w:rsid w:val="00C162A2"/>
  </w:style>
  <w:style w:type="character" w:styleId="Hyperlink">
    <w:name w:val="Hyperlink"/>
    <w:basedOn w:val="DefaultParagraphFont"/>
    <w:uiPriority w:val="99"/>
    <w:unhideWhenUsed/>
    <w:rsid w:val="00C162A2"/>
    <w:rPr>
      <w:color w:val="0000FF"/>
      <w:u w:val="single"/>
    </w:rPr>
  </w:style>
  <w:style w:type="character" w:styleId="UnresolvedMention">
    <w:name w:val="Unresolved Mention"/>
    <w:basedOn w:val="DefaultParagraphFont"/>
    <w:uiPriority w:val="99"/>
    <w:semiHidden/>
    <w:unhideWhenUsed/>
    <w:rsid w:val="00C162A2"/>
    <w:rPr>
      <w:color w:val="605E5C"/>
      <w:shd w:val="clear" w:color="auto" w:fill="E1DFDD"/>
    </w:rPr>
  </w:style>
  <w:style w:type="character" w:styleId="FollowedHyperlink">
    <w:name w:val="FollowedHyperlink"/>
    <w:basedOn w:val="DefaultParagraphFont"/>
    <w:uiPriority w:val="99"/>
    <w:semiHidden/>
    <w:unhideWhenUsed/>
    <w:rsid w:val="003239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10197">
      <w:bodyDiv w:val="1"/>
      <w:marLeft w:val="0"/>
      <w:marRight w:val="0"/>
      <w:marTop w:val="0"/>
      <w:marBottom w:val="0"/>
      <w:divBdr>
        <w:top w:val="none" w:sz="0" w:space="0" w:color="auto"/>
        <w:left w:val="none" w:sz="0" w:space="0" w:color="auto"/>
        <w:bottom w:val="none" w:sz="0" w:space="0" w:color="auto"/>
        <w:right w:val="none" w:sz="0" w:space="0" w:color="auto"/>
      </w:divBdr>
      <w:divsChild>
        <w:div w:id="1250115612">
          <w:marLeft w:val="480"/>
          <w:marRight w:val="0"/>
          <w:marTop w:val="0"/>
          <w:marBottom w:val="0"/>
          <w:divBdr>
            <w:top w:val="none" w:sz="0" w:space="0" w:color="auto"/>
            <w:left w:val="none" w:sz="0" w:space="0" w:color="auto"/>
            <w:bottom w:val="none" w:sz="0" w:space="0" w:color="auto"/>
            <w:right w:val="none" w:sz="0" w:space="0" w:color="auto"/>
          </w:divBdr>
          <w:divsChild>
            <w:div w:id="11216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99224">
      <w:bodyDiv w:val="1"/>
      <w:marLeft w:val="0"/>
      <w:marRight w:val="0"/>
      <w:marTop w:val="0"/>
      <w:marBottom w:val="0"/>
      <w:divBdr>
        <w:top w:val="none" w:sz="0" w:space="0" w:color="auto"/>
        <w:left w:val="none" w:sz="0" w:space="0" w:color="auto"/>
        <w:bottom w:val="none" w:sz="0" w:space="0" w:color="auto"/>
        <w:right w:val="none" w:sz="0" w:space="0" w:color="auto"/>
      </w:divBdr>
      <w:divsChild>
        <w:div w:id="350841518">
          <w:marLeft w:val="480"/>
          <w:marRight w:val="0"/>
          <w:marTop w:val="0"/>
          <w:marBottom w:val="0"/>
          <w:divBdr>
            <w:top w:val="none" w:sz="0" w:space="0" w:color="auto"/>
            <w:left w:val="none" w:sz="0" w:space="0" w:color="auto"/>
            <w:bottom w:val="none" w:sz="0" w:space="0" w:color="auto"/>
            <w:right w:val="none" w:sz="0" w:space="0" w:color="auto"/>
          </w:divBdr>
          <w:divsChild>
            <w:div w:id="176260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73045">
      <w:bodyDiv w:val="1"/>
      <w:marLeft w:val="0"/>
      <w:marRight w:val="0"/>
      <w:marTop w:val="0"/>
      <w:marBottom w:val="0"/>
      <w:divBdr>
        <w:top w:val="none" w:sz="0" w:space="0" w:color="auto"/>
        <w:left w:val="none" w:sz="0" w:space="0" w:color="auto"/>
        <w:bottom w:val="none" w:sz="0" w:space="0" w:color="auto"/>
        <w:right w:val="none" w:sz="0" w:space="0" w:color="auto"/>
      </w:divBdr>
      <w:divsChild>
        <w:div w:id="2082563081">
          <w:marLeft w:val="480"/>
          <w:marRight w:val="0"/>
          <w:marTop w:val="0"/>
          <w:marBottom w:val="0"/>
          <w:divBdr>
            <w:top w:val="none" w:sz="0" w:space="0" w:color="auto"/>
            <w:left w:val="none" w:sz="0" w:space="0" w:color="auto"/>
            <w:bottom w:val="none" w:sz="0" w:space="0" w:color="auto"/>
            <w:right w:val="none" w:sz="0" w:space="0" w:color="auto"/>
          </w:divBdr>
          <w:divsChild>
            <w:div w:id="10989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84559">
      <w:bodyDiv w:val="1"/>
      <w:marLeft w:val="0"/>
      <w:marRight w:val="0"/>
      <w:marTop w:val="0"/>
      <w:marBottom w:val="0"/>
      <w:divBdr>
        <w:top w:val="none" w:sz="0" w:space="0" w:color="auto"/>
        <w:left w:val="none" w:sz="0" w:space="0" w:color="auto"/>
        <w:bottom w:val="none" w:sz="0" w:space="0" w:color="auto"/>
        <w:right w:val="none" w:sz="0" w:space="0" w:color="auto"/>
      </w:divBdr>
      <w:divsChild>
        <w:div w:id="21588812">
          <w:marLeft w:val="480"/>
          <w:marRight w:val="0"/>
          <w:marTop w:val="0"/>
          <w:marBottom w:val="0"/>
          <w:divBdr>
            <w:top w:val="none" w:sz="0" w:space="0" w:color="auto"/>
            <w:left w:val="none" w:sz="0" w:space="0" w:color="auto"/>
            <w:bottom w:val="none" w:sz="0" w:space="0" w:color="auto"/>
            <w:right w:val="none" w:sz="0" w:space="0" w:color="auto"/>
          </w:divBdr>
          <w:divsChild>
            <w:div w:id="18458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2.arb.ca.gov/system/files/webform/public_comments/11301/2024.05.10%20EH2%20LCFS%20Workshop%20Comments_Final.pdf" TargetMode="External"/><Relationship Id="rId2" Type="http://schemas.openxmlformats.org/officeDocument/2006/relationships/hyperlink" Target="https://ww2.arb.ca.gov/sites/default/files/2023-04/2022-sp.pdf" TargetMode="External"/><Relationship Id="rId1" Type="http://schemas.openxmlformats.org/officeDocument/2006/relationships/hyperlink" Target="https://eh2.com/" TargetMode="External"/><Relationship Id="rId4" Type="http://schemas.openxmlformats.org/officeDocument/2006/relationships/hyperlink" Target="https://www.arb.ca.gov/lists/com-attach/6869-lcfs2024-AGVUPgZiAjIFd1c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Hope Fasching</cp:lastModifiedBy>
  <cp:revision>6</cp:revision>
  <dcterms:created xsi:type="dcterms:W3CDTF">2024-08-27T21:09:00Z</dcterms:created>
  <dcterms:modified xsi:type="dcterms:W3CDTF">2024-08-27T23:33:00Z</dcterms:modified>
</cp:coreProperties>
</file>