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6E4" w:rsidRPr="00C674DC" w:rsidRDefault="00C674DC" w:rsidP="00C674DC">
      <w:pPr>
        <w:jc w:val="center"/>
        <w:rPr>
          <w:rFonts w:ascii="Times New Roman" w:hAnsi="Times New Roman" w:cs="Times New Roman"/>
          <w:sz w:val="24"/>
          <w:szCs w:val="24"/>
        </w:rPr>
      </w:pPr>
      <w:bookmarkStart w:id="0" w:name="_GoBack"/>
      <w:bookmarkEnd w:id="0"/>
      <w:r w:rsidRPr="00C674DC">
        <w:rPr>
          <w:rFonts w:ascii="Times New Roman" w:hAnsi="Times New Roman" w:cs="Times New Roman"/>
          <w:sz w:val="24"/>
          <w:szCs w:val="24"/>
        </w:rPr>
        <w:t>Proposed Amendments to the Regulation for the Mandatory Reporting</w:t>
      </w:r>
    </w:p>
    <w:p w:rsidR="00C674DC" w:rsidRPr="00C674DC" w:rsidRDefault="00C674DC" w:rsidP="00C674DC">
      <w:pPr>
        <w:jc w:val="center"/>
        <w:rPr>
          <w:rFonts w:ascii="Times New Roman" w:hAnsi="Times New Roman" w:cs="Times New Roman"/>
          <w:sz w:val="24"/>
          <w:szCs w:val="24"/>
        </w:rPr>
      </w:pPr>
      <w:r w:rsidRPr="00C674DC">
        <w:rPr>
          <w:rFonts w:ascii="Times New Roman" w:hAnsi="Times New Roman" w:cs="Times New Roman"/>
          <w:sz w:val="24"/>
          <w:szCs w:val="24"/>
        </w:rPr>
        <w:t>Of Greenhouse Gas Emissions</w:t>
      </w:r>
    </w:p>
    <w:p w:rsidR="00C674DC" w:rsidRPr="00C674DC" w:rsidRDefault="00C674DC" w:rsidP="00C674DC">
      <w:pPr>
        <w:jc w:val="center"/>
        <w:rPr>
          <w:rFonts w:ascii="Times New Roman" w:hAnsi="Times New Roman" w:cs="Times New Roman"/>
          <w:sz w:val="24"/>
          <w:szCs w:val="24"/>
        </w:rPr>
      </w:pPr>
      <w:r w:rsidRPr="00C674DC">
        <w:rPr>
          <w:rFonts w:ascii="Times New Roman" w:hAnsi="Times New Roman" w:cs="Times New Roman"/>
          <w:sz w:val="24"/>
          <w:szCs w:val="24"/>
        </w:rPr>
        <w:t>Proposed 15-Day Modifications</w:t>
      </w:r>
    </w:p>
    <w:p w:rsidR="00C674DC" w:rsidRDefault="00C674DC" w:rsidP="00C674DC">
      <w:pPr>
        <w:jc w:val="center"/>
        <w:rPr>
          <w:rFonts w:ascii="Times New Roman" w:hAnsi="Times New Roman" w:cs="Times New Roman"/>
          <w:sz w:val="24"/>
          <w:szCs w:val="24"/>
        </w:rPr>
      </w:pPr>
      <w:r w:rsidRPr="00C674DC">
        <w:rPr>
          <w:rFonts w:ascii="Times New Roman" w:hAnsi="Times New Roman" w:cs="Times New Roman"/>
          <w:sz w:val="24"/>
          <w:szCs w:val="24"/>
        </w:rPr>
        <w:t>Published October 28, 2013</w:t>
      </w:r>
    </w:p>
    <w:p w:rsidR="00C674DC" w:rsidRDefault="00C674DC" w:rsidP="00C674DC">
      <w:pPr>
        <w:rPr>
          <w:rFonts w:ascii="Times New Roman" w:hAnsi="Times New Roman" w:cs="Times New Roman"/>
          <w:sz w:val="24"/>
          <w:szCs w:val="24"/>
        </w:rPr>
      </w:pPr>
    </w:p>
    <w:p w:rsidR="00C674DC" w:rsidRDefault="00C674DC" w:rsidP="00C674DC">
      <w:pPr>
        <w:rPr>
          <w:rFonts w:ascii="Times New Roman" w:hAnsi="Times New Roman" w:cs="Times New Roman"/>
          <w:sz w:val="24"/>
          <w:szCs w:val="24"/>
        </w:rPr>
      </w:pPr>
      <w:r>
        <w:rPr>
          <w:rFonts w:ascii="Times New Roman" w:hAnsi="Times New Roman" w:cs="Times New Roman"/>
          <w:sz w:val="24"/>
          <w:szCs w:val="24"/>
        </w:rPr>
        <w:tab/>
        <w:t xml:space="preserve">On October 28, 2103, the California Air Resources Board issued a set of proposed 15-day modifications to the Proposed Amendment to the GHG Mandatory Reporting Regulation. Morgan Stanley Capital Group Inc. (MSCG) appreciates the opportunity to comment on the Proposed Modifications, and offers the comments submitted below. For any follow-up discussion, please contact Steve Huhman at (914) 225-1592, or via e-mail at </w:t>
      </w:r>
      <w:hyperlink r:id="rId6" w:history="1">
        <w:r w:rsidRPr="00C636C9">
          <w:rPr>
            <w:rStyle w:val="Hyperlink"/>
            <w:rFonts w:ascii="Times New Roman" w:hAnsi="Times New Roman" w:cs="Times New Roman"/>
            <w:sz w:val="24"/>
            <w:szCs w:val="24"/>
          </w:rPr>
          <w:t>Steven.Huhman@morganstanley.com</w:t>
        </w:r>
      </w:hyperlink>
      <w:r>
        <w:rPr>
          <w:rFonts w:ascii="Times New Roman" w:hAnsi="Times New Roman" w:cs="Times New Roman"/>
          <w:sz w:val="24"/>
          <w:szCs w:val="24"/>
        </w:rPr>
        <w:t>.</w:t>
      </w:r>
    </w:p>
    <w:p w:rsidR="00C674DC" w:rsidRDefault="00C674DC" w:rsidP="00C674DC">
      <w:pPr>
        <w:rPr>
          <w:rFonts w:ascii="Times New Roman" w:hAnsi="Times New Roman" w:cs="Times New Roman"/>
          <w:sz w:val="24"/>
          <w:szCs w:val="24"/>
        </w:rPr>
      </w:pPr>
    </w:p>
    <w:p w:rsidR="00C674DC" w:rsidRDefault="00C674DC" w:rsidP="00C674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MSCG strongly supports the </w:t>
      </w:r>
      <w:r w:rsidR="007002B9">
        <w:rPr>
          <w:rFonts w:ascii="Times New Roman" w:hAnsi="Times New Roman" w:cs="Times New Roman"/>
          <w:sz w:val="24"/>
          <w:szCs w:val="24"/>
        </w:rPr>
        <w:t xml:space="preserve">proposed </w:t>
      </w:r>
      <w:r>
        <w:rPr>
          <w:rFonts w:ascii="Times New Roman" w:hAnsi="Times New Roman" w:cs="Times New Roman"/>
          <w:sz w:val="24"/>
          <w:szCs w:val="24"/>
        </w:rPr>
        <w:t>removal of the language in Section 95111(a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5)(E)</w:t>
      </w:r>
      <w:r w:rsidR="007002B9">
        <w:rPr>
          <w:rFonts w:ascii="Times New Roman" w:hAnsi="Times New Roman" w:cs="Times New Roman"/>
          <w:sz w:val="24"/>
          <w:szCs w:val="24"/>
        </w:rPr>
        <w:t xml:space="preserve"> regarding the exemption of “path outs”.  As argued in more detail in our comments to the initial Proposed Amendments, we believe the “path out” exemption is not consistent with the underlying concept of an Asset Controlling Supplier (ACS), and indeed, could facilitate resource shuffling. For those reasons, elimination of the “path out” exemption is necessary for the protection of the environmental integrity of the program.</w:t>
      </w:r>
    </w:p>
    <w:p w:rsidR="00461B03" w:rsidRPr="00461B03" w:rsidRDefault="00461B03" w:rsidP="00C674DC">
      <w:pPr>
        <w:pStyle w:val="ListParagraph"/>
        <w:numPr>
          <w:ilvl w:val="0"/>
          <w:numId w:val="1"/>
        </w:numPr>
        <w:rPr>
          <w:rFonts w:ascii="Times New Roman" w:hAnsi="Times New Roman" w:cs="Times New Roman"/>
          <w:color w:val="000000" w:themeColor="text1"/>
          <w:sz w:val="24"/>
          <w:szCs w:val="24"/>
        </w:rPr>
      </w:pPr>
      <w:r w:rsidRPr="00461B03">
        <w:rPr>
          <w:rFonts w:ascii="Times New Roman" w:hAnsi="Times New Roman" w:cs="Times New Roman"/>
          <w:color w:val="000000" w:themeColor="text1"/>
          <w:sz w:val="24"/>
          <w:szCs w:val="24"/>
        </w:rPr>
        <w:t xml:space="preserve">MSCG strongly supports the clarification ARB staff indicated is forthcoming in its October </w:t>
      </w:r>
      <w:proofErr w:type="gramStart"/>
      <w:r w:rsidRPr="00461B03">
        <w:rPr>
          <w:rFonts w:ascii="Times New Roman" w:hAnsi="Times New Roman" w:cs="Times New Roman"/>
          <w:color w:val="000000" w:themeColor="text1"/>
          <w:sz w:val="24"/>
          <w:szCs w:val="24"/>
        </w:rPr>
        <w:t>28</w:t>
      </w:r>
      <w:r w:rsidRPr="00461B03">
        <w:rPr>
          <w:rFonts w:ascii="Times New Roman" w:hAnsi="Times New Roman" w:cs="Times New Roman"/>
          <w:color w:val="000000" w:themeColor="text1"/>
          <w:sz w:val="24"/>
          <w:szCs w:val="24"/>
          <w:vertAlign w:val="superscript"/>
        </w:rPr>
        <w:t>th</w:t>
      </w:r>
      <w:r w:rsidRPr="00461B03">
        <w:rPr>
          <w:rFonts w:ascii="Times New Roman" w:hAnsi="Times New Roman" w:cs="Times New Roman"/>
          <w:color w:val="000000" w:themeColor="text1"/>
          <w:sz w:val="24"/>
          <w:szCs w:val="24"/>
        </w:rPr>
        <w:t xml:space="preserve">  “</w:t>
      </w:r>
      <w:proofErr w:type="gramEnd"/>
      <w:r w:rsidRPr="00461B03">
        <w:rPr>
          <w:rFonts w:ascii="Times New Roman" w:hAnsi="Times New Roman" w:cs="Times New Roman"/>
          <w:color w:val="000000" w:themeColor="text1"/>
          <w:sz w:val="24"/>
          <w:szCs w:val="24"/>
        </w:rPr>
        <w:t>Notice of Public Availability of Modified Text and Availability of Additional Documents”.  Specifically, MSCG is pleased to read that ARB, in response to stakeholder comments. “…</w:t>
      </w:r>
      <w:r w:rsidRPr="00461B03">
        <w:rPr>
          <w:rFonts w:ascii="Times New Roman" w:hAnsi="Times New Roman" w:cs="Times New Roman"/>
          <w:i/>
          <w:color w:val="000000" w:themeColor="text1"/>
          <w:sz w:val="24"/>
          <w:szCs w:val="24"/>
        </w:rPr>
        <w:t xml:space="preserve">intends to issue revised statements in the Final Statement of Reasons to effectively withdraw the seller control interpretation for asset controlling suppliers with section 95111(a)(5)(B). This change is needed to ensure electric power entities know how to effectively report their purchases of asset controlling supplier power”. </w:t>
      </w:r>
      <w:r w:rsidRPr="00461B03">
        <w:rPr>
          <w:rFonts w:ascii="Times New Roman" w:hAnsi="Times New Roman" w:cs="Times New Roman"/>
          <w:color w:val="000000" w:themeColor="text1"/>
          <w:sz w:val="24"/>
          <w:szCs w:val="24"/>
        </w:rPr>
        <w:t xml:space="preserve">As MSCG argued in more detail in our initial comments submitted on October [5, 2013], the mere use of the word “specified” or “unspecified” by the ACS entity should not determine the claim that can be made under the Cap &amp; Trade Program. Indeed, this “seller’s choice” is fundamentally at odds with the environmental integrity of the </w:t>
      </w:r>
      <w:r w:rsidR="003B4DAC">
        <w:rPr>
          <w:rFonts w:ascii="Times New Roman" w:hAnsi="Times New Roman" w:cs="Times New Roman"/>
          <w:color w:val="000000" w:themeColor="text1"/>
          <w:sz w:val="24"/>
          <w:szCs w:val="24"/>
        </w:rPr>
        <w:t xml:space="preserve">Cap &amp; Trade </w:t>
      </w:r>
      <w:r w:rsidRPr="00461B03">
        <w:rPr>
          <w:rFonts w:ascii="Times New Roman" w:hAnsi="Times New Roman" w:cs="Times New Roman"/>
          <w:color w:val="000000" w:themeColor="text1"/>
          <w:sz w:val="24"/>
          <w:szCs w:val="24"/>
        </w:rPr>
        <w:t>Program.  The label has nothing to do with the intrinsic nature of the underlying power. Moreover, since both of the current ACS entities import power directly into California</w:t>
      </w:r>
      <w:r w:rsidR="00031479">
        <w:rPr>
          <w:rFonts w:ascii="Times New Roman" w:hAnsi="Times New Roman" w:cs="Times New Roman"/>
          <w:color w:val="000000" w:themeColor="text1"/>
          <w:sz w:val="24"/>
          <w:szCs w:val="24"/>
        </w:rPr>
        <w:t>,</w:t>
      </w:r>
      <w:r w:rsidRPr="00461B03">
        <w:rPr>
          <w:rFonts w:ascii="Times New Roman" w:hAnsi="Times New Roman" w:cs="Times New Roman"/>
          <w:color w:val="000000" w:themeColor="text1"/>
          <w:sz w:val="24"/>
          <w:szCs w:val="24"/>
        </w:rPr>
        <w:t xml:space="preserve"> allowing these sellers to withhold the specified designation unless a purchaser pays a premium </w:t>
      </w:r>
      <w:r w:rsidRPr="00461B03">
        <w:rPr>
          <w:rFonts w:ascii="Times New Roman" w:hAnsi="Times New Roman" w:cs="Times New Roman"/>
          <w:b/>
          <w:color w:val="000000" w:themeColor="text1"/>
          <w:sz w:val="24"/>
          <w:szCs w:val="24"/>
        </w:rPr>
        <w:t>for the exact same power imported to California</w:t>
      </w:r>
      <w:r w:rsidR="00031479">
        <w:rPr>
          <w:rFonts w:ascii="Times New Roman" w:hAnsi="Times New Roman" w:cs="Times New Roman"/>
          <w:b/>
          <w:color w:val="000000" w:themeColor="text1"/>
          <w:sz w:val="24"/>
          <w:szCs w:val="24"/>
        </w:rPr>
        <w:t>,</w:t>
      </w:r>
      <w:r w:rsidRPr="00461B03">
        <w:rPr>
          <w:rFonts w:ascii="Times New Roman" w:hAnsi="Times New Roman" w:cs="Times New Roman"/>
          <w:color w:val="000000" w:themeColor="text1"/>
          <w:sz w:val="24"/>
          <w:szCs w:val="24"/>
        </w:rPr>
        <w:t xml:space="preserve"> drastically alters the competitive landscape for wholesale markets. </w:t>
      </w:r>
      <w:r w:rsidR="003B4DAC">
        <w:rPr>
          <w:rFonts w:ascii="Times New Roman" w:hAnsi="Times New Roman" w:cs="Times New Roman"/>
          <w:color w:val="000000" w:themeColor="text1"/>
          <w:sz w:val="24"/>
          <w:szCs w:val="24"/>
        </w:rPr>
        <w:t xml:space="preserve">Thus, if one extends the “seller’s choice” principle to its logical conclusion, the result will be a dramatically increased potential for unnecessary power cost increases for California consumers. Such </w:t>
      </w:r>
      <w:r w:rsidR="003B4DAC">
        <w:rPr>
          <w:rFonts w:ascii="Times New Roman" w:hAnsi="Times New Roman" w:cs="Times New Roman"/>
          <w:color w:val="000000" w:themeColor="text1"/>
          <w:sz w:val="24"/>
          <w:szCs w:val="24"/>
        </w:rPr>
        <w:lastRenderedPageBreak/>
        <w:t xml:space="preserve">an arbitrary allocation of economic value/cost in no way benefits either the Cap &amp; Trade Program or California consumers. </w:t>
      </w:r>
    </w:p>
    <w:p w:rsidR="007002B9" w:rsidRDefault="007002B9" w:rsidP="00C674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MSCG strongly believes that any changes or clarifications </w:t>
      </w:r>
      <w:r w:rsidR="00465AFD">
        <w:rPr>
          <w:rFonts w:ascii="Times New Roman" w:hAnsi="Times New Roman" w:cs="Times New Roman"/>
          <w:sz w:val="24"/>
          <w:szCs w:val="24"/>
        </w:rPr>
        <w:t xml:space="preserve">to the regulations </w:t>
      </w:r>
      <w:r>
        <w:rPr>
          <w:rFonts w:ascii="Times New Roman" w:hAnsi="Times New Roman" w:cs="Times New Roman"/>
          <w:sz w:val="24"/>
          <w:szCs w:val="24"/>
        </w:rPr>
        <w:t xml:space="preserve">should </w:t>
      </w:r>
      <w:r w:rsidR="00465AFD">
        <w:rPr>
          <w:rFonts w:ascii="Times New Roman" w:hAnsi="Times New Roman" w:cs="Times New Roman"/>
          <w:sz w:val="24"/>
          <w:szCs w:val="24"/>
        </w:rPr>
        <w:t>have</w:t>
      </w:r>
      <w:r>
        <w:rPr>
          <w:rFonts w:ascii="Times New Roman" w:hAnsi="Times New Roman" w:cs="Times New Roman"/>
          <w:sz w:val="24"/>
          <w:szCs w:val="24"/>
        </w:rPr>
        <w:t xml:space="preserve"> prospective </w:t>
      </w:r>
      <w:r w:rsidR="00465AFD">
        <w:rPr>
          <w:rFonts w:ascii="Times New Roman" w:hAnsi="Times New Roman" w:cs="Times New Roman"/>
          <w:sz w:val="24"/>
          <w:szCs w:val="24"/>
        </w:rPr>
        <w:t xml:space="preserve">application </w:t>
      </w:r>
      <w:r>
        <w:rPr>
          <w:rFonts w:ascii="Times New Roman" w:hAnsi="Times New Roman" w:cs="Times New Roman"/>
          <w:sz w:val="24"/>
          <w:szCs w:val="24"/>
        </w:rPr>
        <w:t xml:space="preserve">only. To do otherwise </w:t>
      </w:r>
      <w:r w:rsidR="00465AFD">
        <w:rPr>
          <w:rFonts w:ascii="Times New Roman" w:hAnsi="Times New Roman" w:cs="Times New Roman"/>
          <w:sz w:val="24"/>
          <w:szCs w:val="24"/>
        </w:rPr>
        <w:t>w</w:t>
      </w:r>
      <w:r>
        <w:rPr>
          <w:rFonts w:ascii="Times New Roman" w:hAnsi="Times New Roman" w:cs="Times New Roman"/>
          <w:sz w:val="24"/>
          <w:szCs w:val="24"/>
        </w:rPr>
        <w:t>ould burden existing and past transactions with unexpected costs, despite informed, good faith intentions to transact on a basis in full recognition of and compliance with the regulations applicable at the time of the transaction. For that reason, MSCG strongly supports the proposed Modification to Section 95103(h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8) that adds clarification that new rules and/or clarifications relating to reporting of specified source power will not be effective until January 1, 2014</w:t>
      </w:r>
      <w:r w:rsidR="00465AFD">
        <w:rPr>
          <w:rFonts w:ascii="Times New Roman" w:hAnsi="Times New Roman" w:cs="Times New Roman"/>
          <w:sz w:val="24"/>
          <w:szCs w:val="24"/>
        </w:rPr>
        <w:t>, and thus, transactions entered into prior to January 1, 2014 (even for delivery in 2014) shall be governed by the regulations currently in effect</w:t>
      </w:r>
      <w:r>
        <w:rPr>
          <w:rFonts w:ascii="Times New Roman" w:hAnsi="Times New Roman" w:cs="Times New Roman"/>
          <w:sz w:val="24"/>
          <w:szCs w:val="24"/>
        </w:rPr>
        <w:t>.</w:t>
      </w:r>
    </w:p>
    <w:p w:rsidR="007002B9" w:rsidRDefault="00BF10DD" w:rsidP="00C674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Regarding the portion of Section 95111(a)(5)(E) that refers to the tagging of ACS Power, we believe that ARB is fundamentally on the right track with the concept of having the ACS be the PSE on the NERC E-tag. However, there is one transaction type that we believe would be universally agreed </w:t>
      </w:r>
      <w:r>
        <w:rPr>
          <w:rFonts w:ascii="Times New Roman" w:hAnsi="Times New Roman" w:cs="Times New Roman"/>
          <w:sz w:val="24"/>
          <w:szCs w:val="24"/>
          <w:u w:val="single"/>
        </w:rPr>
        <w:t>could</w:t>
      </w:r>
      <w:r>
        <w:rPr>
          <w:rFonts w:ascii="Times New Roman" w:hAnsi="Times New Roman" w:cs="Times New Roman"/>
          <w:sz w:val="24"/>
          <w:szCs w:val="24"/>
        </w:rPr>
        <w:t xml:space="preserve"> </w:t>
      </w:r>
      <w:r w:rsidR="000C03A2">
        <w:rPr>
          <w:rFonts w:ascii="Times New Roman" w:hAnsi="Times New Roman" w:cs="Times New Roman"/>
          <w:sz w:val="24"/>
          <w:szCs w:val="24"/>
        </w:rPr>
        <w:t xml:space="preserve">be </w:t>
      </w:r>
      <w:r>
        <w:rPr>
          <w:rFonts w:ascii="Times New Roman" w:hAnsi="Times New Roman" w:cs="Times New Roman"/>
          <w:sz w:val="24"/>
          <w:szCs w:val="24"/>
        </w:rPr>
        <w:t xml:space="preserve">(not necessarily always is) eligible to be a transaction from an ACS and treatable as from a specified source, that nonetheless would be excluded under the proposed wording. When a party purchases a “slice of system” from an ACS, the PSE on the related e-Tag </w:t>
      </w:r>
      <w:r w:rsidR="00212E1D">
        <w:rPr>
          <w:rFonts w:ascii="Times New Roman" w:hAnsi="Times New Roman" w:cs="Times New Roman"/>
          <w:sz w:val="24"/>
          <w:szCs w:val="24"/>
        </w:rPr>
        <w:t xml:space="preserve">at the point of first receipt </w:t>
      </w:r>
      <w:r>
        <w:rPr>
          <w:rFonts w:ascii="Times New Roman" w:hAnsi="Times New Roman" w:cs="Times New Roman"/>
          <w:sz w:val="24"/>
          <w:szCs w:val="24"/>
        </w:rPr>
        <w:t xml:space="preserve">is </w:t>
      </w:r>
      <w:r w:rsidR="00212E1D">
        <w:rPr>
          <w:rFonts w:ascii="Times New Roman" w:hAnsi="Times New Roman" w:cs="Times New Roman"/>
          <w:sz w:val="24"/>
          <w:szCs w:val="24"/>
        </w:rPr>
        <w:t>the transmission owner that</w:t>
      </w:r>
      <w:r w:rsidR="00461B03">
        <w:rPr>
          <w:rFonts w:ascii="Times New Roman" w:hAnsi="Times New Roman" w:cs="Times New Roman"/>
          <w:sz w:val="24"/>
          <w:szCs w:val="24"/>
        </w:rPr>
        <w:t xml:space="preserve"> </w:t>
      </w:r>
      <w:r w:rsidR="00212E1D">
        <w:rPr>
          <w:rFonts w:ascii="Times New Roman" w:hAnsi="Times New Roman" w:cs="Times New Roman"/>
          <w:sz w:val="24"/>
          <w:szCs w:val="24"/>
        </w:rPr>
        <w:t xml:space="preserve">is moving energy away from the source </w:t>
      </w:r>
      <w:proofErr w:type="spellStart"/>
      <w:r w:rsidR="00212E1D">
        <w:rPr>
          <w:rFonts w:ascii="Times New Roman" w:hAnsi="Times New Roman" w:cs="Times New Roman"/>
          <w:sz w:val="24"/>
          <w:szCs w:val="24"/>
        </w:rPr>
        <w:t>busbar</w:t>
      </w:r>
      <w:proofErr w:type="spellEnd"/>
      <w:r w:rsidR="00212E1D">
        <w:rPr>
          <w:rFonts w:ascii="Times New Roman" w:hAnsi="Times New Roman" w:cs="Times New Roman"/>
          <w:sz w:val="24"/>
          <w:szCs w:val="24"/>
        </w:rPr>
        <w:t xml:space="preserve">, </w:t>
      </w:r>
      <w:r>
        <w:rPr>
          <w:rFonts w:ascii="Times New Roman" w:hAnsi="Times New Roman" w:cs="Times New Roman"/>
          <w:sz w:val="24"/>
          <w:szCs w:val="24"/>
        </w:rPr>
        <w:t xml:space="preserve">not the ACS entity. </w:t>
      </w:r>
      <w:r w:rsidR="00212E1D">
        <w:rPr>
          <w:rFonts w:ascii="Times New Roman" w:hAnsi="Times New Roman" w:cs="Times New Roman"/>
          <w:sz w:val="24"/>
          <w:szCs w:val="24"/>
        </w:rPr>
        <w:t xml:space="preserve">The ACS entity is the PSE only on the first line of the physical path of the e-Tag, which is the “Source” field, not a Point of Receipt. </w:t>
      </w:r>
      <w:r>
        <w:rPr>
          <w:rFonts w:ascii="Times New Roman" w:hAnsi="Times New Roman" w:cs="Times New Roman"/>
          <w:sz w:val="24"/>
          <w:szCs w:val="24"/>
        </w:rPr>
        <w:t>A literal interpretation of 95111(a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5)(E) would not permit this type of transaction to be eligible for “specified” treatment. We wish to make clear that we believe this issue is totally s</w:t>
      </w:r>
      <w:r w:rsidR="00B50207">
        <w:rPr>
          <w:rFonts w:ascii="Times New Roman" w:hAnsi="Times New Roman" w:cs="Times New Roman"/>
          <w:sz w:val="24"/>
          <w:szCs w:val="24"/>
        </w:rPr>
        <w:t>eparate</w:t>
      </w:r>
      <w:r>
        <w:rPr>
          <w:rFonts w:ascii="Times New Roman" w:hAnsi="Times New Roman" w:cs="Times New Roman"/>
          <w:sz w:val="24"/>
          <w:szCs w:val="24"/>
        </w:rPr>
        <w:t xml:space="preserve"> f</w:t>
      </w:r>
      <w:r w:rsidR="00B50207">
        <w:rPr>
          <w:rFonts w:ascii="Times New Roman" w:hAnsi="Times New Roman" w:cs="Times New Roman"/>
          <w:sz w:val="24"/>
          <w:szCs w:val="24"/>
        </w:rPr>
        <w:t>r</w:t>
      </w:r>
      <w:r>
        <w:rPr>
          <w:rFonts w:ascii="Times New Roman" w:hAnsi="Times New Roman" w:cs="Times New Roman"/>
          <w:sz w:val="24"/>
          <w:szCs w:val="24"/>
        </w:rPr>
        <w:t>om discus</w:t>
      </w:r>
      <w:r w:rsidR="00B50207">
        <w:rPr>
          <w:rFonts w:ascii="Times New Roman" w:hAnsi="Times New Roman" w:cs="Times New Roman"/>
          <w:sz w:val="24"/>
          <w:szCs w:val="24"/>
        </w:rPr>
        <w:t>sion</w:t>
      </w:r>
      <w:r>
        <w:rPr>
          <w:rFonts w:ascii="Times New Roman" w:hAnsi="Times New Roman" w:cs="Times New Roman"/>
          <w:sz w:val="24"/>
          <w:szCs w:val="24"/>
        </w:rPr>
        <w:t xml:space="preserve"> of wh</w:t>
      </w:r>
      <w:r w:rsidR="00B50207">
        <w:rPr>
          <w:rFonts w:ascii="Times New Roman" w:hAnsi="Times New Roman" w:cs="Times New Roman"/>
          <w:sz w:val="24"/>
          <w:szCs w:val="24"/>
        </w:rPr>
        <w:t>e</w:t>
      </w:r>
      <w:r>
        <w:rPr>
          <w:rFonts w:ascii="Times New Roman" w:hAnsi="Times New Roman" w:cs="Times New Roman"/>
          <w:sz w:val="24"/>
          <w:szCs w:val="24"/>
        </w:rPr>
        <w:t>t</w:t>
      </w:r>
      <w:r w:rsidR="00B50207">
        <w:rPr>
          <w:rFonts w:ascii="Times New Roman" w:hAnsi="Times New Roman" w:cs="Times New Roman"/>
          <w:sz w:val="24"/>
          <w:szCs w:val="24"/>
        </w:rPr>
        <w:t>h</w:t>
      </w:r>
      <w:r>
        <w:rPr>
          <w:rFonts w:ascii="Times New Roman" w:hAnsi="Times New Roman" w:cs="Times New Roman"/>
          <w:sz w:val="24"/>
          <w:szCs w:val="24"/>
        </w:rPr>
        <w:t>er or not a seller, ACS or otherwise, should be able to control whet</w:t>
      </w:r>
      <w:r w:rsidR="00B50207">
        <w:rPr>
          <w:rFonts w:ascii="Times New Roman" w:hAnsi="Times New Roman" w:cs="Times New Roman"/>
          <w:sz w:val="24"/>
          <w:szCs w:val="24"/>
        </w:rPr>
        <w:t>h</w:t>
      </w:r>
      <w:r>
        <w:rPr>
          <w:rFonts w:ascii="Times New Roman" w:hAnsi="Times New Roman" w:cs="Times New Roman"/>
          <w:sz w:val="24"/>
          <w:szCs w:val="24"/>
        </w:rPr>
        <w:t>er or not a giv</w:t>
      </w:r>
      <w:r w:rsidR="00B50207">
        <w:rPr>
          <w:rFonts w:ascii="Times New Roman" w:hAnsi="Times New Roman" w:cs="Times New Roman"/>
          <w:sz w:val="24"/>
          <w:szCs w:val="24"/>
        </w:rPr>
        <w:t>e</w:t>
      </w:r>
      <w:r>
        <w:rPr>
          <w:rFonts w:ascii="Times New Roman" w:hAnsi="Times New Roman" w:cs="Times New Roman"/>
          <w:sz w:val="24"/>
          <w:szCs w:val="24"/>
        </w:rPr>
        <w:t>n sale is “specified; the problem wil</w:t>
      </w:r>
      <w:r w:rsidR="00B50207">
        <w:rPr>
          <w:rFonts w:ascii="Times New Roman" w:hAnsi="Times New Roman" w:cs="Times New Roman"/>
          <w:sz w:val="24"/>
          <w:szCs w:val="24"/>
        </w:rPr>
        <w:t>l</w:t>
      </w:r>
      <w:r>
        <w:rPr>
          <w:rFonts w:ascii="Times New Roman" w:hAnsi="Times New Roman" w:cs="Times New Roman"/>
          <w:sz w:val="24"/>
          <w:szCs w:val="24"/>
        </w:rPr>
        <w:t xml:space="preserve"> exist even if the seller agrees that the transaction is specified. For that reason, we believe that</w:t>
      </w:r>
      <w:r w:rsidR="00B50207">
        <w:rPr>
          <w:rFonts w:ascii="Times New Roman" w:hAnsi="Times New Roman" w:cs="Times New Roman"/>
          <w:sz w:val="24"/>
          <w:szCs w:val="24"/>
        </w:rPr>
        <w:t xml:space="preserve"> support for </w:t>
      </w:r>
      <w:r w:rsidR="00212E1D">
        <w:rPr>
          <w:rFonts w:ascii="Times New Roman" w:hAnsi="Times New Roman" w:cs="Times New Roman"/>
          <w:sz w:val="24"/>
          <w:szCs w:val="24"/>
        </w:rPr>
        <w:t xml:space="preserve">addressing and </w:t>
      </w:r>
      <w:r w:rsidR="00B50207">
        <w:rPr>
          <w:rFonts w:ascii="Times New Roman" w:hAnsi="Times New Roman" w:cs="Times New Roman"/>
          <w:sz w:val="24"/>
          <w:szCs w:val="24"/>
        </w:rPr>
        <w:t xml:space="preserve">resolving the problem (if not necessarily for </w:t>
      </w:r>
      <w:r w:rsidR="00212E1D">
        <w:rPr>
          <w:rFonts w:ascii="Times New Roman" w:hAnsi="Times New Roman" w:cs="Times New Roman"/>
          <w:sz w:val="24"/>
          <w:szCs w:val="24"/>
        </w:rPr>
        <w:t>any given proposed solution</w:t>
      </w:r>
      <w:r w:rsidR="00B50207">
        <w:rPr>
          <w:rFonts w:ascii="Times New Roman" w:hAnsi="Times New Roman" w:cs="Times New Roman"/>
          <w:sz w:val="24"/>
          <w:szCs w:val="24"/>
        </w:rPr>
        <w:t>) will be universal.</w:t>
      </w:r>
    </w:p>
    <w:p w:rsidR="00B50207" w:rsidRDefault="00212E1D" w:rsidP="00B50207">
      <w:pPr>
        <w:ind w:left="720" w:firstLine="720"/>
        <w:rPr>
          <w:rFonts w:ascii="Times New Roman" w:hAnsi="Times New Roman" w:cs="Times New Roman"/>
          <w:sz w:val="24"/>
          <w:szCs w:val="24"/>
        </w:rPr>
      </w:pPr>
      <w:r>
        <w:rPr>
          <w:rFonts w:ascii="Times New Roman" w:hAnsi="Times New Roman" w:cs="Times New Roman"/>
          <w:sz w:val="24"/>
          <w:szCs w:val="24"/>
        </w:rPr>
        <w:t>One possible solution that occurred to us is:</w:t>
      </w:r>
    </w:p>
    <w:p w:rsidR="00212E1D" w:rsidRPr="00B50207" w:rsidRDefault="00212E1D" w:rsidP="00212E1D">
      <w:pPr>
        <w:rPr>
          <w:rFonts w:ascii="Times New Roman" w:hAnsi="Times New Roman" w:cs="Times New Roman"/>
          <w:color w:val="FF0000"/>
          <w:sz w:val="24"/>
          <w:szCs w:val="24"/>
        </w:rPr>
      </w:pPr>
      <w:r>
        <w:rPr>
          <w:rFonts w:ascii="Times New Roman" w:hAnsi="Times New Roman" w:cs="Times New Roman"/>
          <w:sz w:val="24"/>
          <w:szCs w:val="24"/>
        </w:rPr>
        <w:tab/>
        <w:t xml:space="preserve">(E) Tagging ACS Power. To claim power from an asset-controlling supplier, </w:t>
      </w:r>
      <w:r>
        <w:rPr>
          <w:rFonts w:ascii="Times New Roman" w:hAnsi="Times New Roman" w:cs="Times New Roman"/>
          <w:color w:val="FF0000"/>
          <w:sz w:val="24"/>
          <w:szCs w:val="24"/>
        </w:rPr>
        <w:t xml:space="preserve">either </w:t>
      </w:r>
      <w:r>
        <w:rPr>
          <w:rFonts w:ascii="Times New Roman" w:hAnsi="Times New Roman" w:cs="Times New Roman"/>
          <w:sz w:val="24"/>
          <w:szCs w:val="24"/>
        </w:rPr>
        <w:t xml:space="preserve">the asset-controlling supplier must be identified on the physical path of the NERC e-Tag as the PSE at the first point of receipt, </w:t>
      </w:r>
      <w:r>
        <w:rPr>
          <w:rFonts w:ascii="Times New Roman" w:hAnsi="Times New Roman" w:cs="Times New Roman"/>
          <w:color w:val="FF0000"/>
          <w:sz w:val="24"/>
          <w:szCs w:val="24"/>
        </w:rPr>
        <w:t>or as the PSE on the “source” line. I</w:t>
      </w:r>
      <w:r>
        <w:rPr>
          <w:rFonts w:ascii="Times New Roman" w:hAnsi="Times New Roman" w:cs="Times New Roman"/>
          <w:sz w:val="24"/>
          <w:szCs w:val="24"/>
        </w:rPr>
        <w:t xml:space="preserve">n the case of asset controlling suppliers that are exclusive marketers, </w:t>
      </w:r>
      <w:r>
        <w:rPr>
          <w:rFonts w:ascii="Times New Roman" w:hAnsi="Times New Roman" w:cs="Times New Roman"/>
          <w:color w:val="FF0000"/>
          <w:sz w:val="24"/>
          <w:szCs w:val="24"/>
        </w:rPr>
        <w:t xml:space="preserve">then the ACS must be shown </w:t>
      </w:r>
      <w:r>
        <w:rPr>
          <w:rFonts w:ascii="Times New Roman" w:hAnsi="Times New Roman" w:cs="Times New Roman"/>
          <w:sz w:val="24"/>
          <w:szCs w:val="24"/>
        </w:rPr>
        <w:t>as the PSE immediately following the associated generation owner.</w:t>
      </w:r>
    </w:p>
    <w:sectPr w:rsidR="00212E1D" w:rsidRPr="00B50207" w:rsidSect="00C674D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00D32"/>
    <w:multiLevelType w:val="hybridMultilevel"/>
    <w:tmpl w:val="BE787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DC"/>
    <w:rsid w:val="00031479"/>
    <w:rsid w:val="000C03A2"/>
    <w:rsid w:val="001F7948"/>
    <w:rsid w:val="00212E1D"/>
    <w:rsid w:val="003B4DAC"/>
    <w:rsid w:val="00461B03"/>
    <w:rsid w:val="00465AFD"/>
    <w:rsid w:val="004728C6"/>
    <w:rsid w:val="007002B9"/>
    <w:rsid w:val="008C76E4"/>
    <w:rsid w:val="00B50207"/>
    <w:rsid w:val="00BF10DD"/>
    <w:rsid w:val="00C6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4DC"/>
    <w:rPr>
      <w:color w:val="0000FF" w:themeColor="hyperlink"/>
      <w:u w:val="single"/>
    </w:rPr>
  </w:style>
  <w:style w:type="paragraph" w:styleId="ListParagraph">
    <w:name w:val="List Paragraph"/>
    <w:basedOn w:val="Normal"/>
    <w:uiPriority w:val="34"/>
    <w:qFormat/>
    <w:rsid w:val="00C674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4DC"/>
    <w:rPr>
      <w:color w:val="0000FF" w:themeColor="hyperlink"/>
      <w:u w:val="single"/>
    </w:rPr>
  </w:style>
  <w:style w:type="paragraph" w:styleId="ListParagraph">
    <w:name w:val="List Paragraph"/>
    <w:basedOn w:val="Normal"/>
    <w:uiPriority w:val="34"/>
    <w:qFormat/>
    <w:rsid w:val="00C67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n.Huhman@morganstanle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Morgan Stanley</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Huhman, Steve (COMMOD)</dc:creator>
  <cp:lastModifiedBy>Huhman, Steve (COMMOD)</cp:lastModifiedBy>
  <cp:revision>8</cp:revision>
  <dcterms:created xsi:type="dcterms:W3CDTF">2013-10-30T17:11:00Z</dcterms:created>
  <dcterms:modified xsi:type="dcterms:W3CDTF">2013-11-15T20:27:00Z</dcterms:modified>
</cp:coreProperties>
</file>