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5BE" w:rsidRDefault="00FE45BE" w:rsidP="00417FE2">
      <w:pPr>
        <w:pStyle w:val="Body1"/>
        <w:ind w:left="-90" w:right="144"/>
        <w:rPr>
          <w:rFonts w:ascii="Helvetica" w:eastAsia="Helvetica" w:hAnsi="Helvetica"/>
          <w:sz w:val="20"/>
        </w:rPr>
      </w:pPr>
    </w:p>
    <w:p w:rsidR="00E272D9" w:rsidRDefault="00E272D9" w:rsidP="00417FE2">
      <w:pPr>
        <w:pStyle w:val="Body1"/>
        <w:ind w:left="-90" w:right="144"/>
        <w:rPr>
          <w:rFonts w:ascii="Helvetica" w:eastAsia="Helvetica" w:hAnsi="Helvetica"/>
          <w:sz w:val="20"/>
        </w:rPr>
      </w:pPr>
    </w:p>
    <w:p w:rsidR="00E272D9" w:rsidRDefault="00C61BBD" w:rsidP="00417FE2">
      <w:pPr>
        <w:pStyle w:val="Body1"/>
        <w:ind w:left="-90" w:right="144"/>
        <w:rPr>
          <w:rFonts w:ascii="Helvetica" w:eastAsia="Helvetica" w:hAnsi="Helvetica"/>
          <w:sz w:val="20"/>
        </w:rPr>
      </w:pPr>
      <w:r>
        <w:rPr>
          <w:rFonts w:ascii="Helvetica" w:eastAsia="Helvetica" w:hAnsi="Helvetica"/>
          <w:sz w:val="20"/>
        </w:rPr>
        <w:t>December 15, 2014</w:t>
      </w:r>
    </w:p>
    <w:p w:rsidR="00E272D9" w:rsidRDefault="00E272D9" w:rsidP="00417FE2">
      <w:pPr>
        <w:pStyle w:val="Body1"/>
        <w:ind w:left="-90" w:right="144"/>
        <w:rPr>
          <w:rFonts w:ascii="Helvetica" w:eastAsia="Helvetica" w:hAnsi="Helvetica"/>
          <w:sz w:val="20"/>
        </w:rPr>
      </w:pPr>
    </w:p>
    <w:p w:rsidR="00C61BBD" w:rsidRDefault="00C61BBD" w:rsidP="00C61BBD">
      <w:pPr>
        <w:pStyle w:val="Body1"/>
        <w:ind w:left="-90" w:right="144"/>
        <w:rPr>
          <w:rFonts w:ascii="Helvetica" w:eastAsia="Helvetica" w:hAnsi="Helvetica"/>
          <w:sz w:val="20"/>
        </w:rPr>
      </w:pPr>
    </w:p>
    <w:p w:rsidR="00C61BBD" w:rsidRPr="00C61BBD" w:rsidRDefault="00C61BBD" w:rsidP="00C61BBD">
      <w:pPr>
        <w:pStyle w:val="Body1"/>
        <w:ind w:left="-90" w:right="144"/>
        <w:rPr>
          <w:rFonts w:ascii="Helvetica" w:eastAsia="Helvetica" w:hAnsi="Helvetica"/>
          <w:sz w:val="20"/>
        </w:rPr>
      </w:pPr>
      <w:r w:rsidRPr="00C61BBD">
        <w:rPr>
          <w:rFonts w:ascii="Helvetica" w:eastAsia="Helvetica" w:hAnsi="Helvetica"/>
          <w:sz w:val="20"/>
        </w:rPr>
        <w:t>Chairman Mary Nichols and ARB Staff</w:t>
      </w:r>
    </w:p>
    <w:p w:rsidR="00C61BBD" w:rsidRPr="00C61BBD" w:rsidRDefault="00C61BBD" w:rsidP="00C61BBD">
      <w:pPr>
        <w:pStyle w:val="Body1"/>
        <w:ind w:left="-90" w:right="144"/>
        <w:rPr>
          <w:rFonts w:ascii="Helvetica" w:eastAsia="Helvetica" w:hAnsi="Helvetica"/>
          <w:sz w:val="20"/>
        </w:rPr>
      </w:pPr>
      <w:r w:rsidRPr="00C61BBD">
        <w:rPr>
          <w:rFonts w:ascii="Helvetica" w:eastAsia="Helvetica" w:hAnsi="Helvetica"/>
          <w:sz w:val="20"/>
        </w:rPr>
        <w:t>Air Resources Board, California Environmental Protection Agency</w:t>
      </w:r>
    </w:p>
    <w:p w:rsidR="00C61BBD" w:rsidRPr="00C61BBD" w:rsidRDefault="00C61BBD" w:rsidP="00C61BBD">
      <w:pPr>
        <w:pStyle w:val="Body1"/>
        <w:ind w:left="-90" w:right="144"/>
        <w:rPr>
          <w:rFonts w:ascii="Helvetica" w:eastAsia="Helvetica" w:hAnsi="Helvetica"/>
          <w:sz w:val="20"/>
        </w:rPr>
      </w:pPr>
      <w:r w:rsidRPr="00C61BBD">
        <w:rPr>
          <w:rFonts w:ascii="Helvetica" w:eastAsia="Helvetica" w:hAnsi="Helvetica"/>
          <w:sz w:val="20"/>
        </w:rPr>
        <w:t>1001 I Street</w:t>
      </w:r>
    </w:p>
    <w:p w:rsidR="00C61BBD" w:rsidRPr="00C61BBD" w:rsidRDefault="00C61BBD" w:rsidP="00C61BBD">
      <w:pPr>
        <w:pStyle w:val="Body1"/>
        <w:ind w:left="-90" w:right="144"/>
        <w:rPr>
          <w:rFonts w:ascii="Helvetica" w:eastAsia="Helvetica" w:hAnsi="Helvetica"/>
          <w:sz w:val="20"/>
        </w:rPr>
      </w:pPr>
      <w:r w:rsidRPr="00C61BBD">
        <w:rPr>
          <w:rFonts w:ascii="Helvetica" w:eastAsia="Helvetica" w:hAnsi="Helvetica"/>
          <w:sz w:val="20"/>
        </w:rPr>
        <w:t>Sacramento, CA 95812</w:t>
      </w:r>
    </w:p>
    <w:p w:rsidR="00C61BBD" w:rsidRPr="00C61BBD" w:rsidRDefault="00C61BBD" w:rsidP="00C61BBD">
      <w:pPr>
        <w:pStyle w:val="Body1"/>
        <w:ind w:left="-90" w:right="144"/>
        <w:rPr>
          <w:rFonts w:ascii="Helvetica" w:eastAsia="Helvetica" w:hAnsi="Helvetica"/>
          <w:sz w:val="20"/>
        </w:rPr>
      </w:pPr>
    </w:p>
    <w:p w:rsidR="00C61BBD" w:rsidRPr="00C61BBD" w:rsidRDefault="00C61BBD" w:rsidP="00C61BBD">
      <w:pPr>
        <w:pStyle w:val="Body1"/>
        <w:ind w:left="-90" w:right="144"/>
        <w:rPr>
          <w:rFonts w:ascii="Helvetica" w:eastAsia="Helvetica" w:hAnsi="Helvetica"/>
          <w:b/>
          <w:sz w:val="20"/>
        </w:rPr>
      </w:pPr>
      <w:r w:rsidRPr="00C61BBD">
        <w:rPr>
          <w:rFonts w:ascii="Helvetica" w:eastAsia="Helvetica" w:hAnsi="Helvetica"/>
          <w:b/>
          <w:sz w:val="20"/>
        </w:rPr>
        <w:t>RE: Comments on Proposed Revisions to Compliance Offset Protocol for U.S. Forest Projects and Cap and Trade Regulation</w:t>
      </w:r>
    </w:p>
    <w:p w:rsidR="00C61BBD" w:rsidRPr="00C61BBD" w:rsidRDefault="00C61BBD" w:rsidP="00C61BBD">
      <w:pPr>
        <w:pStyle w:val="Body1"/>
        <w:ind w:left="-90" w:right="144"/>
        <w:rPr>
          <w:rFonts w:ascii="Helvetica" w:eastAsia="Helvetica" w:hAnsi="Helvetica"/>
          <w:sz w:val="20"/>
        </w:rPr>
      </w:pPr>
    </w:p>
    <w:p w:rsidR="00C61BBD" w:rsidRPr="00C61BBD" w:rsidRDefault="00C61BBD" w:rsidP="00C61BBD">
      <w:pPr>
        <w:pStyle w:val="Body1"/>
        <w:ind w:left="-90" w:right="144"/>
        <w:rPr>
          <w:rFonts w:ascii="Helvetica" w:eastAsia="Helvetica" w:hAnsi="Helvetica"/>
          <w:sz w:val="20"/>
        </w:rPr>
      </w:pPr>
      <w:r w:rsidRPr="00C61BBD">
        <w:rPr>
          <w:rFonts w:ascii="Helvetica" w:eastAsia="Helvetica" w:hAnsi="Helvetica"/>
          <w:sz w:val="20"/>
        </w:rPr>
        <w:t>Dear Chairman Nichols:</w:t>
      </w:r>
    </w:p>
    <w:p w:rsidR="00C61BBD" w:rsidRPr="00C61BBD" w:rsidRDefault="00C61BBD" w:rsidP="00C61BBD">
      <w:pPr>
        <w:pStyle w:val="Body1"/>
        <w:ind w:left="-90" w:right="144"/>
        <w:rPr>
          <w:rFonts w:ascii="Helvetica" w:eastAsia="Helvetica" w:hAnsi="Helvetica"/>
          <w:sz w:val="20"/>
        </w:rPr>
      </w:pPr>
    </w:p>
    <w:p w:rsidR="00C61BBD" w:rsidRDefault="00C61BBD" w:rsidP="00C61BBD">
      <w:pPr>
        <w:pStyle w:val="Body1"/>
        <w:ind w:left="-90" w:right="144"/>
        <w:rPr>
          <w:rFonts w:ascii="Helvetica" w:eastAsia="Helvetica" w:hAnsi="Helvetica"/>
          <w:sz w:val="20"/>
        </w:rPr>
      </w:pPr>
      <w:r>
        <w:rPr>
          <w:rFonts w:ascii="Helvetica" w:eastAsia="Helvetica" w:hAnsi="Helvetica"/>
          <w:sz w:val="20"/>
        </w:rPr>
        <w:t>Thank you for the opportunity to comment.</w:t>
      </w:r>
    </w:p>
    <w:p w:rsidR="00C61BBD" w:rsidRDefault="00C61BBD" w:rsidP="00C61BBD">
      <w:pPr>
        <w:pStyle w:val="Body1"/>
        <w:ind w:left="-90" w:right="144"/>
        <w:rPr>
          <w:rFonts w:ascii="Helvetica" w:eastAsia="Helvetica" w:hAnsi="Helvetica"/>
          <w:sz w:val="20"/>
        </w:rPr>
      </w:pPr>
    </w:p>
    <w:p w:rsidR="00E272D9" w:rsidRDefault="00C61BBD" w:rsidP="00C61BBD">
      <w:pPr>
        <w:pStyle w:val="Body1"/>
        <w:ind w:left="-90" w:right="144"/>
        <w:rPr>
          <w:rFonts w:ascii="Helvetica" w:eastAsia="Helvetica" w:hAnsi="Helvetica"/>
          <w:sz w:val="20"/>
        </w:rPr>
      </w:pPr>
      <w:r>
        <w:rPr>
          <w:rFonts w:ascii="Helvetica" w:eastAsia="Helvetica" w:hAnsi="Helvetica"/>
          <w:sz w:val="20"/>
        </w:rPr>
        <w:t>Plum Creek Timber Company owns 6.8 million acres in 19 US states and is the largest private landowner in the US. Our land is primarily forest land which we manage sustainably in trust for our shareholders. We were the first forest owner to receive third party certification for fore</w:t>
      </w:r>
      <w:r w:rsidR="00227410">
        <w:rPr>
          <w:rFonts w:ascii="Helvetica" w:eastAsia="Helvetica" w:hAnsi="Helvetica"/>
          <w:sz w:val="20"/>
        </w:rPr>
        <w:t>st sustainability</w:t>
      </w:r>
      <w:r>
        <w:rPr>
          <w:rFonts w:ascii="Helvetica" w:eastAsia="Helvetica" w:hAnsi="Helvetica"/>
          <w:sz w:val="20"/>
        </w:rPr>
        <w:t xml:space="preserve"> across our full ownership and have been continuously certified for over 15 years. We have grown more timber than we have harvested on a company-wide basis </w:t>
      </w:r>
      <w:r w:rsidR="00227410">
        <w:rPr>
          <w:rFonts w:ascii="Helvetica" w:eastAsia="Helvetica" w:hAnsi="Helvetica"/>
          <w:sz w:val="20"/>
        </w:rPr>
        <w:t>for 1</w:t>
      </w:r>
      <w:r w:rsidR="00697BC4">
        <w:rPr>
          <w:rFonts w:ascii="Helvetica" w:eastAsia="Helvetica" w:hAnsi="Helvetica"/>
          <w:sz w:val="20"/>
        </w:rPr>
        <w:t>2</w:t>
      </w:r>
      <w:r w:rsidR="00227410">
        <w:rPr>
          <w:rFonts w:ascii="Helvetica" w:eastAsia="Helvetica" w:hAnsi="Helvetica"/>
          <w:sz w:val="20"/>
        </w:rPr>
        <w:t xml:space="preserve"> of the past 1</w:t>
      </w:r>
      <w:r w:rsidR="00697BC4">
        <w:rPr>
          <w:rFonts w:ascii="Helvetica" w:eastAsia="Helvetica" w:hAnsi="Helvetica"/>
          <w:sz w:val="20"/>
        </w:rPr>
        <w:t>3</w:t>
      </w:r>
      <w:r w:rsidR="00227410">
        <w:rPr>
          <w:rFonts w:ascii="Helvetica" w:eastAsia="Helvetica" w:hAnsi="Helvetica"/>
          <w:sz w:val="20"/>
        </w:rPr>
        <w:t xml:space="preserve"> years, the full period of time that we have combined this data on a company wide basis.</w:t>
      </w:r>
    </w:p>
    <w:p w:rsidR="00227410" w:rsidRDefault="00227410" w:rsidP="00C61BBD">
      <w:pPr>
        <w:pStyle w:val="Body1"/>
        <w:ind w:left="-90" w:right="144"/>
        <w:rPr>
          <w:rFonts w:ascii="Helvetica" w:eastAsia="Helvetica" w:hAnsi="Helvetica"/>
          <w:sz w:val="20"/>
        </w:rPr>
      </w:pPr>
    </w:p>
    <w:p w:rsidR="00227410" w:rsidRDefault="00227410" w:rsidP="00C61BBD">
      <w:pPr>
        <w:pStyle w:val="Body1"/>
        <w:ind w:left="-90" w:right="144"/>
        <w:rPr>
          <w:rFonts w:ascii="Helvetica" w:eastAsia="Helvetica" w:hAnsi="Helvetica"/>
          <w:sz w:val="20"/>
        </w:rPr>
      </w:pPr>
      <w:r>
        <w:rPr>
          <w:rFonts w:ascii="Helvetica" w:eastAsia="Helvetica" w:hAnsi="Helvetica"/>
          <w:sz w:val="20"/>
        </w:rPr>
        <w:t xml:space="preserve">In general, we believe that the Protocol </w:t>
      </w:r>
      <w:r w:rsidR="00697BC4">
        <w:rPr>
          <w:rFonts w:ascii="Helvetica" w:eastAsia="Helvetica" w:hAnsi="Helvetica"/>
          <w:sz w:val="20"/>
        </w:rPr>
        <w:t xml:space="preserve">already </w:t>
      </w:r>
      <w:bookmarkStart w:id="0" w:name="_GoBack"/>
      <w:bookmarkEnd w:id="0"/>
      <w:r>
        <w:rPr>
          <w:rFonts w:ascii="Helvetica" w:eastAsia="Helvetica" w:hAnsi="Helvetica"/>
          <w:sz w:val="20"/>
        </w:rPr>
        <w:t xml:space="preserve">makes it very difficult to qualify for offset projects in operational working forests in almost all cases. The proposed revisions will make the program even further out of reach. </w:t>
      </w:r>
    </w:p>
    <w:p w:rsidR="00C61BBD" w:rsidRDefault="00C61BBD" w:rsidP="00C61BBD">
      <w:pPr>
        <w:pStyle w:val="Body1"/>
        <w:ind w:left="-90" w:right="144"/>
        <w:rPr>
          <w:rFonts w:ascii="Helvetica" w:eastAsia="Helvetica" w:hAnsi="Helvetica"/>
          <w:sz w:val="20"/>
        </w:rPr>
      </w:pPr>
    </w:p>
    <w:p w:rsidR="00C61BBD" w:rsidRDefault="00C61BBD" w:rsidP="00C61BBD">
      <w:pPr>
        <w:pStyle w:val="Body1"/>
        <w:ind w:left="-90" w:right="144"/>
        <w:rPr>
          <w:rFonts w:ascii="Helvetica" w:eastAsia="Helvetica" w:hAnsi="Helvetica"/>
          <w:sz w:val="20"/>
        </w:rPr>
      </w:pPr>
      <w:r>
        <w:rPr>
          <w:rFonts w:ascii="Helvetica" w:eastAsia="Helvetica" w:hAnsi="Helvetica"/>
          <w:sz w:val="20"/>
        </w:rPr>
        <w:t>We would like to provide comments in two areas:</w:t>
      </w:r>
    </w:p>
    <w:p w:rsidR="00C61BBD" w:rsidRDefault="00C61BBD" w:rsidP="00C61BBD">
      <w:pPr>
        <w:pStyle w:val="Body1"/>
        <w:ind w:left="-90" w:right="144"/>
        <w:rPr>
          <w:rFonts w:ascii="Helvetica" w:eastAsia="Helvetica" w:hAnsi="Helvetica"/>
          <w:sz w:val="20"/>
        </w:rPr>
      </w:pPr>
    </w:p>
    <w:p w:rsidR="00C61BBD" w:rsidRDefault="00227410" w:rsidP="00C61BBD">
      <w:pPr>
        <w:pStyle w:val="Body1"/>
        <w:numPr>
          <w:ilvl w:val="0"/>
          <w:numId w:val="12"/>
        </w:numPr>
        <w:ind w:right="144"/>
        <w:rPr>
          <w:rFonts w:ascii="Helvetica" w:eastAsia="Helvetica" w:hAnsi="Helvetica"/>
          <w:sz w:val="20"/>
        </w:rPr>
      </w:pPr>
      <w:r w:rsidRPr="00B526EE">
        <w:rPr>
          <w:rFonts w:ascii="Helvetica" w:eastAsia="Helvetica" w:hAnsi="Helvetica"/>
          <w:b/>
          <w:sz w:val="20"/>
        </w:rPr>
        <w:t>The proposed revisions to harvest unit requirements</w:t>
      </w:r>
      <w:r>
        <w:rPr>
          <w:rFonts w:ascii="Helvetica" w:eastAsia="Helvetica" w:hAnsi="Helvetica"/>
          <w:sz w:val="20"/>
        </w:rPr>
        <w:t>.</w:t>
      </w:r>
    </w:p>
    <w:p w:rsidR="00227410" w:rsidRDefault="00227410" w:rsidP="00227410">
      <w:pPr>
        <w:pStyle w:val="Body1"/>
        <w:ind w:right="144"/>
        <w:rPr>
          <w:rFonts w:ascii="Helvetica" w:eastAsia="Helvetica" w:hAnsi="Helvetica"/>
          <w:sz w:val="20"/>
        </w:rPr>
      </w:pPr>
    </w:p>
    <w:p w:rsidR="00697BC4" w:rsidRDefault="00227410" w:rsidP="00227410">
      <w:pPr>
        <w:pStyle w:val="Body1"/>
        <w:ind w:right="144"/>
        <w:rPr>
          <w:rFonts w:ascii="Helvetica" w:eastAsia="Helvetica" w:hAnsi="Helvetica"/>
          <w:sz w:val="20"/>
        </w:rPr>
      </w:pPr>
      <w:r>
        <w:rPr>
          <w:rFonts w:ascii="Helvetica" w:eastAsia="Helvetica" w:hAnsi="Helvetica"/>
          <w:sz w:val="20"/>
        </w:rPr>
        <w:t xml:space="preserve">The new 50 ft2 basal area retention limit in combination with </w:t>
      </w:r>
      <w:r w:rsidR="00B526EE">
        <w:rPr>
          <w:rFonts w:ascii="Helvetica" w:eastAsia="Helvetica" w:hAnsi="Helvetica"/>
          <w:sz w:val="20"/>
        </w:rPr>
        <w:t>the buffer requirements are impractical and make offset projects inconsistent with a wide range of forestry treatments that improve the climate resilience, long term productivity, and carbon storage capacity of forests. The various states in which we operate and the sustainability certification that we maintain all specify various harvest unit best practices</w:t>
      </w:r>
      <w:r w:rsidR="00697BC4">
        <w:rPr>
          <w:rFonts w:ascii="Helvetica" w:eastAsia="Helvetica" w:hAnsi="Helvetica"/>
          <w:sz w:val="20"/>
        </w:rPr>
        <w:t xml:space="preserve">, including complex adjacency requirements, </w:t>
      </w:r>
      <w:r w:rsidR="00B526EE">
        <w:rPr>
          <w:rFonts w:ascii="Helvetica" w:eastAsia="Helvetica" w:hAnsi="Helvetica"/>
          <w:sz w:val="20"/>
        </w:rPr>
        <w:t>for the purpose of protection of a wide range of environmental values</w:t>
      </w:r>
      <w:r w:rsidR="00697BC4">
        <w:rPr>
          <w:rFonts w:ascii="Helvetica" w:eastAsia="Helvetica" w:hAnsi="Helvetica"/>
          <w:sz w:val="20"/>
        </w:rPr>
        <w:t xml:space="preserve"> other than carbon</w:t>
      </w:r>
      <w:r w:rsidR="00B526EE">
        <w:rPr>
          <w:rFonts w:ascii="Helvetica" w:eastAsia="Helvetica" w:hAnsi="Helvetica"/>
          <w:sz w:val="20"/>
        </w:rPr>
        <w:t xml:space="preserve">. </w:t>
      </w:r>
    </w:p>
    <w:p w:rsidR="00697BC4" w:rsidRDefault="00697BC4" w:rsidP="00227410">
      <w:pPr>
        <w:pStyle w:val="Body1"/>
        <w:ind w:right="144"/>
        <w:rPr>
          <w:rFonts w:ascii="Helvetica" w:eastAsia="Helvetica" w:hAnsi="Helvetica"/>
          <w:sz w:val="20"/>
        </w:rPr>
      </w:pPr>
    </w:p>
    <w:p w:rsidR="00227410" w:rsidRDefault="00B526EE" w:rsidP="00227410">
      <w:pPr>
        <w:pStyle w:val="Body1"/>
        <w:ind w:right="144"/>
        <w:rPr>
          <w:rFonts w:ascii="Helvetica" w:eastAsia="Helvetica" w:hAnsi="Helvetica"/>
          <w:sz w:val="20"/>
        </w:rPr>
      </w:pPr>
      <w:r>
        <w:rPr>
          <w:rFonts w:ascii="Helvetica" w:eastAsia="Helvetica" w:hAnsi="Helvetica"/>
          <w:sz w:val="20"/>
        </w:rPr>
        <w:t>Since these requirements are for protecting values already covered by other measures and which are not related to carbon capture or storage, they should not be included in the protocol.</w:t>
      </w:r>
    </w:p>
    <w:p w:rsidR="00227410" w:rsidRDefault="00227410" w:rsidP="00227410">
      <w:pPr>
        <w:pStyle w:val="Body1"/>
        <w:ind w:right="144"/>
        <w:rPr>
          <w:rFonts w:ascii="Helvetica" w:eastAsia="Helvetica" w:hAnsi="Helvetica"/>
          <w:sz w:val="20"/>
        </w:rPr>
      </w:pPr>
    </w:p>
    <w:p w:rsidR="00227410" w:rsidRPr="00B526EE" w:rsidRDefault="00227410" w:rsidP="00227410">
      <w:pPr>
        <w:pStyle w:val="Body1"/>
        <w:numPr>
          <w:ilvl w:val="0"/>
          <w:numId w:val="12"/>
        </w:numPr>
        <w:ind w:right="144"/>
        <w:rPr>
          <w:rFonts w:ascii="Helvetica" w:eastAsia="Helvetica" w:hAnsi="Helvetica"/>
          <w:b/>
          <w:sz w:val="20"/>
        </w:rPr>
      </w:pPr>
      <w:r w:rsidRPr="00B526EE">
        <w:rPr>
          <w:rFonts w:ascii="Helvetica" w:eastAsia="Helvetica" w:hAnsi="Helvetica"/>
          <w:b/>
          <w:sz w:val="20"/>
        </w:rPr>
        <w:t>The proposed increase to Common Practice values</w:t>
      </w:r>
    </w:p>
    <w:p w:rsidR="00B526EE" w:rsidRDefault="00B526EE" w:rsidP="00B526EE">
      <w:pPr>
        <w:pStyle w:val="Body1"/>
        <w:ind w:right="144"/>
        <w:rPr>
          <w:rFonts w:ascii="Helvetica" w:eastAsia="Helvetica" w:hAnsi="Helvetica"/>
          <w:sz w:val="20"/>
        </w:rPr>
      </w:pPr>
    </w:p>
    <w:p w:rsidR="00B526EE" w:rsidRDefault="00B526EE" w:rsidP="00B526EE">
      <w:pPr>
        <w:pStyle w:val="Body1"/>
        <w:ind w:right="144"/>
        <w:rPr>
          <w:rFonts w:ascii="Helvetica" w:eastAsia="Helvetica" w:hAnsi="Helvetica"/>
          <w:sz w:val="20"/>
        </w:rPr>
      </w:pPr>
      <w:r>
        <w:rPr>
          <w:rFonts w:ascii="Helvetica" w:eastAsia="Helvetica" w:hAnsi="Helvetica"/>
          <w:sz w:val="20"/>
        </w:rPr>
        <w:t>The update to common practice values are based upon new data collected in years 2007 to 2012. During these years, the economy went through a serious recession</w:t>
      </w:r>
      <w:r w:rsidR="00CF3A7F">
        <w:rPr>
          <w:rFonts w:ascii="Helvetica" w:eastAsia="Helvetica" w:hAnsi="Helvetica"/>
          <w:sz w:val="20"/>
        </w:rPr>
        <w:t xml:space="preserve">, and the housing industry and markets for wood suffered much worse than the economy in general. This resulted in timber prices that were the worst in the modern history of the timber industry and have still not fully recovered. Consequently, many forest owners deferred ordinary harvest to wait for markets to recover. This created an accumulation </w:t>
      </w:r>
      <w:r w:rsidR="00697BC4">
        <w:rPr>
          <w:rFonts w:ascii="Helvetica" w:eastAsia="Helvetica" w:hAnsi="Helvetica"/>
          <w:sz w:val="20"/>
        </w:rPr>
        <w:t>of forest inventory</w:t>
      </w:r>
      <w:r w:rsidR="00CF3A7F">
        <w:rPr>
          <w:rFonts w:ascii="Helvetica" w:eastAsia="Helvetica" w:hAnsi="Helvetica"/>
          <w:sz w:val="20"/>
        </w:rPr>
        <w:t xml:space="preserve"> that is not common practice but an artifact of </w:t>
      </w:r>
      <w:r w:rsidR="00697BC4">
        <w:rPr>
          <w:rFonts w:ascii="Helvetica" w:eastAsia="Helvetica" w:hAnsi="Helvetica"/>
          <w:sz w:val="20"/>
        </w:rPr>
        <w:t>exceptionally poor market conditions.</w:t>
      </w:r>
    </w:p>
    <w:p w:rsidR="00697BC4" w:rsidRDefault="00697BC4" w:rsidP="00B526EE">
      <w:pPr>
        <w:pStyle w:val="Body1"/>
        <w:ind w:right="144"/>
        <w:rPr>
          <w:rFonts w:ascii="Helvetica" w:eastAsia="Helvetica" w:hAnsi="Helvetica"/>
          <w:sz w:val="20"/>
        </w:rPr>
      </w:pPr>
    </w:p>
    <w:p w:rsidR="00697BC4" w:rsidRDefault="00697BC4" w:rsidP="00B526EE">
      <w:pPr>
        <w:pStyle w:val="Body1"/>
        <w:ind w:right="144"/>
        <w:rPr>
          <w:rFonts w:ascii="Helvetica" w:eastAsia="Helvetica" w:hAnsi="Helvetica"/>
          <w:sz w:val="20"/>
        </w:rPr>
      </w:pPr>
      <w:r>
        <w:rPr>
          <w:rFonts w:ascii="Helvetica" w:eastAsia="Helvetica" w:hAnsi="Helvetica"/>
          <w:sz w:val="20"/>
        </w:rPr>
        <w:t>Since these inventory increase were not related to common practice, they should not be used for a common practice baseline. Even short term deferral of harvest is a climate benefit and forest owners should not be penalized for doing so.</w:t>
      </w:r>
    </w:p>
    <w:p w:rsidR="00E272D9" w:rsidRDefault="00E272D9" w:rsidP="00417FE2">
      <w:pPr>
        <w:pStyle w:val="Body1"/>
        <w:ind w:left="-90" w:right="144"/>
        <w:rPr>
          <w:rFonts w:ascii="Helvetica" w:eastAsia="Helvetica" w:hAnsi="Helvetica"/>
          <w:sz w:val="20"/>
        </w:rPr>
      </w:pPr>
    </w:p>
    <w:p w:rsidR="00FE45BE" w:rsidRDefault="00697BC4" w:rsidP="00FE45BE">
      <w:pPr>
        <w:pStyle w:val="Body1"/>
        <w:ind w:right="144"/>
        <w:rPr>
          <w:rFonts w:ascii="Helvetica" w:eastAsia="Helvetica" w:hAnsi="Helvetica"/>
          <w:sz w:val="20"/>
        </w:rPr>
      </w:pPr>
      <w:r>
        <w:rPr>
          <w:rFonts w:ascii="Helvetica" w:eastAsia="Helvetica" w:hAnsi="Helvetica"/>
          <w:sz w:val="20"/>
        </w:rPr>
        <w:t>Thank you for the opportunity to comment. If you should have additional questions or desire clarification, please do not hesitate to contact me.</w:t>
      </w:r>
    </w:p>
    <w:p w:rsidR="00697BC4" w:rsidRDefault="00697BC4" w:rsidP="00FE45BE">
      <w:pPr>
        <w:pStyle w:val="Body1"/>
        <w:ind w:right="144"/>
        <w:rPr>
          <w:rFonts w:ascii="Helvetica" w:eastAsia="Helvetica" w:hAnsi="Helvetica"/>
          <w:sz w:val="20"/>
        </w:rPr>
      </w:pPr>
    </w:p>
    <w:p w:rsidR="00697BC4" w:rsidRDefault="00697BC4" w:rsidP="00FE45BE">
      <w:pPr>
        <w:pStyle w:val="Body1"/>
        <w:ind w:right="144"/>
        <w:rPr>
          <w:rFonts w:ascii="Helvetica" w:eastAsia="Helvetica" w:hAnsi="Helvetica"/>
          <w:sz w:val="20"/>
        </w:rPr>
      </w:pPr>
    </w:p>
    <w:p w:rsidR="00697BC4" w:rsidRDefault="00697BC4" w:rsidP="00FE45BE">
      <w:pPr>
        <w:pStyle w:val="Body1"/>
        <w:ind w:right="144"/>
        <w:rPr>
          <w:rFonts w:ascii="Helvetica" w:eastAsia="Helvetica" w:hAnsi="Helvetica"/>
          <w:sz w:val="20"/>
        </w:rPr>
      </w:pPr>
    </w:p>
    <w:p w:rsidR="00697BC4" w:rsidRDefault="00697BC4" w:rsidP="00FE45BE">
      <w:pPr>
        <w:pStyle w:val="Body1"/>
        <w:ind w:right="144"/>
        <w:rPr>
          <w:rFonts w:ascii="Helvetica" w:eastAsia="Helvetica" w:hAnsi="Helvetica"/>
          <w:sz w:val="20"/>
        </w:rPr>
      </w:pPr>
      <w:r>
        <w:rPr>
          <w:rFonts w:ascii="Helvetica" w:eastAsia="Helvetica" w:hAnsi="Helvetica"/>
          <w:sz w:val="20"/>
        </w:rPr>
        <w:t>Sincerely,</w:t>
      </w:r>
    </w:p>
    <w:p w:rsidR="00697BC4" w:rsidRDefault="00697BC4" w:rsidP="00FE45BE">
      <w:pPr>
        <w:pStyle w:val="Body1"/>
        <w:ind w:right="144"/>
        <w:rPr>
          <w:rFonts w:ascii="Helvetica" w:eastAsia="Helvetica" w:hAnsi="Helvetica"/>
          <w:sz w:val="20"/>
        </w:rPr>
      </w:pPr>
      <w:r>
        <w:rPr>
          <w:rFonts w:ascii="Helvetica" w:eastAsia="Helvetica" w:hAnsi="Helvetica"/>
          <w:sz w:val="20"/>
        </w:rPr>
        <w:t>Mike Jostrom</w:t>
      </w:r>
    </w:p>
    <w:p w:rsidR="00697BC4" w:rsidRDefault="00697BC4" w:rsidP="00FE45BE">
      <w:pPr>
        <w:pStyle w:val="Body1"/>
        <w:ind w:right="144"/>
        <w:rPr>
          <w:rFonts w:ascii="Helvetica" w:eastAsia="Helvetica" w:hAnsi="Helvetica"/>
          <w:sz w:val="20"/>
        </w:rPr>
      </w:pPr>
      <w:r>
        <w:rPr>
          <w:rFonts w:ascii="Helvetica" w:eastAsia="Helvetica" w:hAnsi="Helvetica"/>
          <w:sz w:val="20"/>
        </w:rPr>
        <w:t>Director Renewable Resources</w:t>
      </w:r>
    </w:p>
    <w:p w:rsidR="00FE45BE" w:rsidRDefault="00FE45BE" w:rsidP="00FE45BE">
      <w:pPr>
        <w:pStyle w:val="Body1"/>
        <w:ind w:right="144"/>
        <w:rPr>
          <w:rFonts w:ascii="Helvetica" w:eastAsia="Helvetica" w:hAnsi="Helvetica"/>
          <w:sz w:val="20"/>
        </w:rPr>
      </w:pPr>
    </w:p>
    <w:p w:rsidR="00FE45BE" w:rsidRDefault="00FE45BE" w:rsidP="00FE45BE">
      <w:pPr>
        <w:pStyle w:val="Body1"/>
        <w:ind w:right="144"/>
        <w:rPr>
          <w:rFonts w:ascii="Helvetica" w:eastAsia="Helvetica" w:hAnsi="Helvetica"/>
          <w:sz w:val="20"/>
        </w:rPr>
      </w:pPr>
    </w:p>
    <w:p w:rsidR="00FE45BE" w:rsidRDefault="00FE45BE" w:rsidP="00FE45BE">
      <w:pPr>
        <w:rPr>
          <w:szCs w:val="20"/>
        </w:rPr>
      </w:pPr>
    </w:p>
    <w:p w:rsidR="00FE45BE" w:rsidRDefault="00FE45BE" w:rsidP="00FE45BE">
      <w:pPr>
        <w:jc w:val="both"/>
        <w:rPr>
          <w:szCs w:val="20"/>
        </w:rPr>
      </w:pPr>
    </w:p>
    <w:p w:rsidR="00FE45BE" w:rsidRDefault="00FE45BE" w:rsidP="00FE45BE">
      <w:pPr>
        <w:jc w:val="both"/>
        <w:rPr>
          <w:szCs w:val="20"/>
        </w:rPr>
      </w:pPr>
    </w:p>
    <w:p w:rsidR="00FE45BE" w:rsidRDefault="00FE45BE" w:rsidP="00FE45BE">
      <w:pPr>
        <w:jc w:val="both"/>
        <w:rPr>
          <w:szCs w:val="20"/>
        </w:rPr>
      </w:pPr>
    </w:p>
    <w:p w:rsidR="00FE45BE" w:rsidRDefault="00FE45BE" w:rsidP="00FE45BE">
      <w:pPr>
        <w:tabs>
          <w:tab w:val="center" w:pos="4320"/>
          <w:tab w:val="right" w:pos="7180"/>
          <w:tab w:val="right" w:pos="8640"/>
        </w:tabs>
        <w:ind w:right="144"/>
        <w:outlineLvl w:val="0"/>
        <w:rPr>
          <w:rFonts w:ascii="Helvetica" w:eastAsia="ヒラギノ角ゴ Pro W3" w:hAnsi="Helvetica"/>
          <w:color w:val="000000"/>
          <w:sz w:val="22"/>
          <w:szCs w:val="22"/>
        </w:rPr>
      </w:pPr>
    </w:p>
    <w:p w:rsidR="00FE45BE" w:rsidRDefault="00FE45BE" w:rsidP="00FE45BE">
      <w:pPr>
        <w:rPr>
          <w:rFonts w:eastAsia="ヒラギノ角ゴ Pro W3"/>
        </w:rPr>
      </w:pPr>
    </w:p>
    <w:p w:rsidR="00581B58" w:rsidRPr="00FE45BE" w:rsidRDefault="00581B58" w:rsidP="00FE45BE">
      <w:pPr>
        <w:rPr>
          <w:rFonts w:eastAsia="ヒラギノ角ゴ Pro W3"/>
        </w:rPr>
      </w:pPr>
    </w:p>
    <w:sectPr w:rsidR="00581B58" w:rsidRPr="00FE45BE" w:rsidSect="00974C71">
      <w:headerReference w:type="first" r:id="rId10"/>
      <w:pgSz w:w="12240" w:h="15840"/>
      <w:pgMar w:top="1440" w:right="1800" w:bottom="1440" w:left="1620" w:header="27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BCB" w:rsidRDefault="009A0BCB" w:rsidP="001F69D2">
      <w:r>
        <w:separator/>
      </w:r>
    </w:p>
  </w:endnote>
  <w:endnote w:type="continuationSeparator" w:id="0">
    <w:p w:rsidR="009A0BCB" w:rsidRDefault="009A0BCB" w:rsidP="001F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BCB" w:rsidRDefault="009A0BCB" w:rsidP="001F69D2">
      <w:r>
        <w:separator/>
      </w:r>
    </w:p>
  </w:footnote>
  <w:footnote w:type="continuationSeparator" w:id="0">
    <w:p w:rsidR="009A0BCB" w:rsidRDefault="009A0BCB" w:rsidP="001F6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B58" w:rsidRDefault="00581B58" w:rsidP="00417FE2">
    <w:pPr>
      <w:pStyle w:val="Body1"/>
      <w:ind w:left="-90" w:right="144"/>
      <w:rPr>
        <w:b/>
        <w:noProof/>
      </w:rPr>
    </w:pPr>
  </w:p>
  <w:p w:rsidR="001F69D2" w:rsidRPr="00417FE2" w:rsidRDefault="00C61BBD" w:rsidP="00974C71">
    <w:pPr>
      <w:pStyle w:val="Body1"/>
      <w:ind w:left="-90" w:right="144"/>
      <w:rPr>
        <w:rFonts w:ascii="Minion Pro" w:eastAsia="Helvetica" w:hAnsi="Minion Pro"/>
        <w:b/>
        <w:color w:val="660033"/>
        <w:sz w:val="17"/>
        <w:szCs w:val="17"/>
      </w:rPr>
    </w:pPr>
    <w:r>
      <w:rPr>
        <w:rFonts w:ascii="Minion Pro" w:eastAsia="Helvetica" w:hAnsi="Minion Pro"/>
        <w:b/>
        <w:color w:val="660033"/>
        <w:sz w:val="17"/>
        <w:szCs w:val="17"/>
      </w:rPr>
      <w:t>Michael Jostrom</w:t>
    </w:r>
  </w:p>
  <w:p w:rsidR="00AF7A3D" w:rsidRPr="00754F5C" w:rsidRDefault="00C61BBD" w:rsidP="00974C71">
    <w:pPr>
      <w:pStyle w:val="Body1"/>
      <w:ind w:left="-90" w:right="144"/>
      <w:rPr>
        <w:rFonts w:ascii="Minion Pro" w:eastAsia="Helvetica" w:hAnsi="Minion Pro"/>
        <w:i/>
        <w:color w:val="660033"/>
        <w:sz w:val="14"/>
        <w:szCs w:val="14"/>
      </w:rPr>
    </w:pPr>
    <w:r>
      <w:rPr>
        <w:rFonts w:ascii="Minion Pro" w:eastAsia="Helvetica" w:hAnsi="Minion Pro"/>
        <w:i/>
        <w:color w:val="660033"/>
        <w:sz w:val="14"/>
        <w:szCs w:val="14"/>
      </w:rPr>
      <w:t>Director Renewable Resources</w:t>
    </w:r>
  </w:p>
  <w:p w:rsidR="00581B58" w:rsidRPr="00417FE2" w:rsidRDefault="00581B58" w:rsidP="00974C71">
    <w:pPr>
      <w:pStyle w:val="Body1"/>
      <w:ind w:left="-90" w:right="144"/>
      <w:rPr>
        <w:rFonts w:ascii="Minion Pro" w:eastAsia="Helvetica" w:hAnsi="Minion Pro"/>
        <w:color w:val="660033"/>
        <w:sz w:val="16"/>
        <w:szCs w:val="16"/>
      </w:rPr>
    </w:pPr>
  </w:p>
  <w:p w:rsidR="00FE45BE" w:rsidRPr="00754F5C" w:rsidRDefault="00974C71" w:rsidP="00974C71">
    <w:pPr>
      <w:pStyle w:val="Body1"/>
      <w:ind w:left="-90" w:right="144"/>
      <w:rPr>
        <w:rFonts w:ascii="Minion Pro" w:eastAsia="Helvetica" w:hAnsi="Minion Pro"/>
        <w:color w:val="660033"/>
        <w:sz w:val="17"/>
        <w:szCs w:val="17"/>
      </w:rPr>
    </w:pPr>
    <w:r w:rsidRPr="00417FE2">
      <w:rPr>
        <w:rFonts w:ascii="Minion Pro" w:hAnsi="Minion Pro"/>
        <w:b/>
        <w:i/>
        <w:noProof/>
        <w:color w:val="660033"/>
        <w:sz w:val="16"/>
        <w:szCs w:val="16"/>
      </w:rPr>
      <w:drawing>
        <wp:anchor distT="57150" distB="57150" distL="57150" distR="57150" simplePos="0" relativeHeight="251659264" behindDoc="0" locked="0" layoutInCell="1" allowOverlap="1" wp14:anchorId="5122DE39" wp14:editId="41B41A82">
          <wp:simplePos x="0" y="0"/>
          <wp:positionH relativeFrom="page">
            <wp:posOffset>5684520</wp:posOffset>
          </wp:positionH>
          <wp:positionV relativeFrom="page">
            <wp:posOffset>845820</wp:posOffset>
          </wp:positionV>
          <wp:extent cx="1356360" cy="754380"/>
          <wp:effectExtent l="0" t="0" r="0" b="7620"/>
          <wp:wrapTight wrapText="bothSides">
            <wp:wrapPolygon edited="0">
              <wp:start x="0" y="0"/>
              <wp:lineTo x="0" y="21273"/>
              <wp:lineTo x="21236" y="21273"/>
              <wp:lineTo x="21236" y="0"/>
              <wp:lineTo x="0" y="0"/>
            </wp:wrapPolygon>
          </wp:wrapTight>
          <wp:docPr id="8" name="Picture 8"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pic:cNvPicPr>
                </pic:nvPicPr>
                <pic:blipFill>
                  <a:blip r:embed="rId1" cstate="print"/>
                  <a:srcRect/>
                  <a:stretch>
                    <a:fillRect/>
                  </a:stretch>
                </pic:blipFill>
                <pic:spPr bwMode="auto">
                  <a:xfrm>
                    <a:off x="0" y="0"/>
                    <a:ext cx="1356360" cy="754380"/>
                  </a:xfrm>
                  <a:prstGeom prst="rect">
                    <a:avLst/>
                  </a:prstGeom>
                  <a:noFill/>
                  <a:ln w="12700">
                    <a:noFill/>
                    <a:miter lim="0"/>
                    <a:headEnd/>
                    <a:tailEnd/>
                  </a:ln>
                  <a:effectLst/>
                </pic:spPr>
              </pic:pic>
            </a:graphicData>
          </a:graphic>
          <wp14:sizeRelH relativeFrom="margin">
            <wp14:pctWidth>0</wp14:pctWidth>
          </wp14:sizeRelH>
          <wp14:sizeRelV relativeFrom="margin">
            <wp14:pctHeight>0</wp14:pctHeight>
          </wp14:sizeRelV>
        </wp:anchor>
      </w:drawing>
    </w:r>
    <w:r w:rsidR="00FE45BE" w:rsidRPr="00754F5C">
      <w:rPr>
        <w:rFonts w:ascii="Minion Pro" w:eastAsia="Helvetica" w:hAnsi="Minion Pro"/>
        <w:color w:val="660033"/>
        <w:sz w:val="17"/>
        <w:szCs w:val="17"/>
      </w:rPr>
      <w:t>Plum Creek Timber Company, Inc.</w:t>
    </w:r>
  </w:p>
  <w:p w:rsidR="00EF6E40" w:rsidRPr="00417FE2" w:rsidRDefault="00EF6E40" w:rsidP="00974C71">
    <w:pPr>
      <w:pStyle w:val="Body1"/>
      <w:ind w:left="-90" w:right="144"/>
      <w:rPr>
        <w:rFonts w:ascii="Minion Pro" w:eastAsia="Helvetica" w:hAnsi="Minion Pro"/>
        <w:color w:val="660033"/>
        <w:sz w:val="15"/>
        <w:szCs w:val="15"/>
      </w:rPr>
    </w:pPr>
    <w:r w:rsidRPr="00417FE2">
      <w:rPr>
        <w:rFonts w:ascii="Minion Pro" w:eastAsia="Helvetica" w:hAnsi="Minion Pro"/>
        <w:color w:val="660033"/>
        <w:sz w:val="15"/>
        <w:szCs w:val="15"/>
      </w:rPr>
      <w:t>601 Union Street, Suite 3100</w:t>
    </w:r>
  </w:p>
  <w:p w:rsidR="00EF6E40" w:rsidRPr="00417FE2" w:rsidRDefault="00EF6E40" w:rsidP="00974C71">
    <w:pPr>
      <w:tabs>
        <w:tab w:val="center" w:pos="4320"/>
        <w:tab w:val="right" w:pos="7180"/>
        <w:tab w:val="right" w:pos="8640"/>
      </w:tabs>
      <w:ind w:left="-90" w:right="144"/>
      <w:outlineLvl w:val="0"/>
      <w:rPr>
        <w:rFonts w:ascii="Minion Pro" w:eastAsia="ヒラギノ角ゴ Pro W3" w:hAnsi="Minion Pro"/>
        <w:color w:val="660033"/>
        <w:sz w:val="15"/>
        <w:szCs w:val="15"/>
      </w:rPr>
    </w:pPr>
    <w:r w:rsidRPr="00417FE2">
      <w:rPr>
        <w:rFonts w:ascii="Minion Pro" w:eastAsia="Helvetica" w:hAnsi="Minion Pro"/>
        <w:color w:val="660033"/>
        <w:sz w:val="15"/>
        <w:szCs w:val="15"/>
      </w:rPr>
      <w:t>Seattle, W</w:t>
    </w:r>
    <w:r w:rsidR="00974C71">
      <w:rPr>
        <w:rFonts w:ascii="Minion Pro" w:eastAsia="Helvetica" w:hAnsi="Minion Pro"/>
        <w:color w:val="660033"/>
        <w:sz w:val="15"/>
        <w:szCs w:val="15"/>
      </w:rPr>
      <w:t>ashington</w:t>
    </w:r>
    <w:r w:rsidRPr="00417FE2">
      <w:rPr>
        <w:rFonts w:ascii="Minion Pro" w:eastAsia="Helvetica" w:hAnsi="Minion Pro"/>
        <w:color w:val="660033"/>
        <w:sz w:val="15"/>
        <w:szCs w:val="15"/>
      </w:rPr>
      <w:t xml:space="preserve">  98101</w:t>
    </w:r>
  </w:p>
  <w:p w:rsidR="00581B58" w:rsidRDefault="000552DC" w:rsidP="00974C71">
    <w:pPr>
      <w:tabs>
        <w:tab w:val="center" w:pos="4320"/>
        <w:tab w:val="center" w:pos="4320"/>
        <w:tab w:val="right" w:pos="7180"/>
        <w:tab w:val="right" w:pos="8640"/>
      </w:tabs>
      <w:ind w:right="144" w:hanging="90"/>
      <w:outlineLvl w:val="0"/>
      <w:rPr>
        <w:rFonts w:ascii="Minion Pro" w:eastAsia="Helvetica" w:hAnsi="Minion Pro"/>
        <w:color w:val="660033"/>
        <w:sz w:val="15"/>
        <w:szCs w:val="15"/>
      </w:rPr>
    </w:pPr>
    <w:r>
      <w:rPr>
        <w:rFonts w:ascii="Minion Pro" w:eastAsia="Helvetica" w:hAnsi="Minion Pro"/>
        <w:color w:val="660033"/>
        <w:sz w:val="15"/>
        <w:szCs w:val="15"/>
      </w:rPr>
      <w:t>206-467-36</w:t>
    </w:r>
    <w:r w:rsidR="00697BC4">
      <w:rPr>
        <w:rFonts w:ascii="Minion Pro" w:eastAsia="Helvetica" w:hAnsi="Minion Pro"/>
        <w:color w:val="660033"/>
        <w:sz w:val="15"/>
        <w:szCs w:val="15"/>
      </w:rPr>
      <w:t>39</w:t>
    </w:r>
  </w:p>
  <w:p w:rsidR="00697BC4" w:rsidRDefault="00697BC4" w:rsidP="00974C71">
    <w:pPr>
      <w:tabs>
        <w:tab w:val="center" w:pos="4320"/>
        <w:tab w:val="center" w:pos="4320"/>
        <w:tab w:val="right" w:pos="7180"/>
        <w:tab w:val="right" w:pos="8640"/>
      </w:tabs>
      <w:ind w:right="144" w:hanging="90"/>
      <w:outlineLvl w:val="0"/>
      <w:rPr>
        <w:rFonts w:ascii="Minion Pro" w:eastAsia="Helvetica" w:hAnsi="Minion Pro"/>
        <w:color w:val="660033"/>
        <w:sz w:val="15"/>
        <w:szCs w:val="15"/>
      </w:rPr>
    </w:pPr>
  </w:p>
  <w:p w:rsidR="00697BC4" w:rsidRPr="00417FE2" w:rsidRDefault="00697BC4" w:rsidP="00974C71">
    <w:pPr>
      <w:tabs>
        <w:tab w:val="center" w:pos="4320"/>
        <w:tab w:val="center" w:pos="4320"/>
        <w:tab w:val="right" w:pos="7180"/>
        <w:tab w:val="right" w:pos="8640"/>
      </w:tabs>
      <w:ind w:right="144" w:hanging="90"/>
      <w:outlineLvl w:val="0"/>
      <w:rPr>
        <w:rFonts w:ascii="Minion Pro" w:eastAsia="Helvetica" w:hAnsi="Minion Pro"/>
        <w:color w:val="660033"/>
        <w:sz w:val="15"/>
        <w:szCs w:val="15"/>
      </w:rPr>
    </w:pPr>
    <w:r>
      <w:rPr>
        <w:rFonts w:ascii="Minion Pro" w:eastAsia="Helvetica" w:hAnsi="Minion Pro"/>
        <w:color w:val="660033"/>
        <w:sz w:val="15"/>
        <w:szCs w:val="15"/>
      </w:rPr>
      <w:t>Mike.jostrom@plumcreek.com</w:t>
    </w:r>
  </w:p>
  <w:p w:rsidR="00581B58" w:rsidRPr="00581B58" w:rsidRDefault="00581B58" w:rsidP="001F69D2">
    <w:pPr>
      <w:pStyle w:val="Body1"/>
      <w:ind w:right="144"/>
      <w:rPr>
        <w:rFonts w:ascii="Helvetica" w:eastAsia="Helvetica" w:hAnsi="Helvetica"/>
        <w:sz w:val="20"/>
      </w:rPr>
    </w:pPr>
  </w:p>
  <w:p w:rsidR="001F69D2" w:rsidRDefault="001F69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bullet"/>
      <w:pStyle w:val="List0"/>
      <w:lvlText w:val="•"/>
      <w:lvlJc w:val="left"/>
      <w:pPr>
        <w:tabs>
          <w:tab w:val="num" w:pos="393"/>
        </w:tabs>
        <w:ind w:left="393"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1">
    <w:nsid w:val="00000002"/>
    <w:multiLevelType w:val="multilevel"/>
    <w:tmpl w:val="894EE874"/>
    <w:lvl w:ilvl="0">
      <w:start w:val="1"/>
      <w:numFmt w:val="bullet"/>
      <w:pStyle w:val="ImportWordListStyleDefinition2"/>
      <w:lvlText w:val="•"/>
      <w:lvlJc w:val="left"/>
      <w:pPr>
        <w:tabs>
          <w:tab w:val="num" w:pos="360"/>
        </w:tabs>
        <w:ind w:left="360" w:firstLine="0"/>
      </w:pPr>
      <w:rPr>
        <w:rFonts w:ascii="Helvetica" w:eastAsia="ヒラギノ角ゴ Pro W3" w:hAnsi="Helvetica" w:hint="default"/>
        <w:b w:val="0"/>
        <w:i w:val="0"/>
        <w:caps w:val="0"/>
        <w:smallCaps w:val="0"/>
        <w:strike w:val="0"/>
        <w:dstrike w:val="0"/>
        <w:color w:val="000000"/>
        <w:kern w:val="0"/>
        <w:position w:val="0"/>
        <w:sz w:val="22"/>
        <w:shd w:val="clear" w:color="auto" w:fill="auto"/>
        <w:vertAlign w:val="baseline"/>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Helvetica" w:eastAsia="ヒラギノ角ゴ Pro W3" w:hAnsi="Helvetica" w:hint="default"/>
        <w:b w:val="0"/>
        <w:i w:val="0"/>
        <w:caps w:val="0"/>
        <w:smallCaps w:val="0"/>
        <w:strike w:val="0"/>
        <w:dstrike w:val="0"/>
        <w:color w:val="000000"/>
        <w:kern w:val="0"/>
        <w:position w:val="0"/>
        <w:sz w:val="22"/>
        <w:shd w:val="clear" w:color="auto" w:fill="auto"/>
        <w:vertAlign w:val="baseline"/>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Helvetica" w:eastAsia="ヒラギノ角ゴ Pro W3" w:hAnsi="Helvetica" w:hint="default"/>
        <w:b w:val="0"/>
        <w:i w:val="0"/>
        <w:caps w:val="0"/>
        <w:smallCaps w:val="0"/>
        <w:strike w:val="0"/>
        <w:dstrike w:val="0"/>
        <w:color w:val="000000"/>
        <w:kern w:val="0"/>
        <w:position w:val="0"/>
        <w:sz w:val="22"/>
        <w:shd w:val="clear" w:color="auto" w:fill="auto"/>
        <w:vertAlign w:val="baseline"/>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Helvetica" w:eastAsia="ヒラギノ角ゴ Pro W3" w:hAnsi="Helvetica" w:hint="default"/>
        <w:b w:val="0"/>
        <w:i w:val="0"/>
        <w:caps w:val="0"/>
        <w:smallCaps w:val="0"/>
        <w:strike w:val="0"/>
        <w:dstrike w:val="0"/>
        <w:color w:val="000000"/>
        <w:kern w:val="0"/>
        <w:position w:val="0"/>
        <w:sz w:val="22"/>
        <w:shd w:val="clear" w:color="auto" w:fill="auto"/>
        <w:vertAlign w:val="baseline"/>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Helvetica" w:eastAsia="ヒラギノ角ゴ Pro W3" w:hAnsi="Helvetica" w:hint="default"/>
        <w:b w:val="0"/>
        <w:i w:val="0"/>
        <w:caps w:val="0"/>
        <w:smallCaps w:val="0"/>
        <w:strike w:val="0"/>
        <w:dstrike w:val="0"/>
        <w:color w:val="000000"/>
        <w:kern w:val="0"/>
        <w:position w:val="0"/>
        <w:sz w:val="22"/>
        <w:shd w:val="clear" w:color="auto" w:fill="auto"/>
        <w:vertAlign w:val="baseline"/>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Helvetica" w:eastAsia="ヒラギノ角ゴ Pro W3" w:hAnsi="Helvetica" w:hint="default"/>
        <w:b w:val="0"/>
        <w:i w:val="0"/>
        <w:caps w:val="0"/>
        <w:smallCaps w:val="0"/>
        <w:strike w:val="0"/>
        <w:dstrike w:val="0"/>
        <w:color w:val="000000"/>
        <w:kern w:val="0"/>
        <w:position w:val="0"/>
        <w:sz w:val="22"/>
        <w:shd w:val="clear" w:color="auto" w:fill="auto"/>
        <w:vertAlign w:val="baseline"/>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Helvetica" w:eastAsia="ヒラギノ角ゴ Pro W3" w:hAnsi="Helvetica" w:hint="default"/>
        <w:b w:val="0"/>
        <w:i w:val="0"/>
        <w:caps w:val="0"/>
        <w:smallCaps w:val="0"/>
        <w:strike w:val="0"/>
        <w:dstrike w:val="0"/>
        <w:color w:val="000000"/>
        <w:kern w:val="0"/>
        <w:position w:val="0"/>
        <w:sz w:val="22"/>
        <w:shd w:val="clear" w:color="auto" w:fill="auto"/>
        <w:vertAlign w:val="baseline"/>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Helvetica" w:eastAsia="ヒラギノ角ゴ Pro W3" w:hAnsi="Helvetica" w:hint="default"/>
        <w:b w:val="0"/>
        <w:i w:val="0"/>
        <w:caps w:val="0"/>
        <w:smallCaps w:val="0"/>
        <w:strike w:val="0"/>
        <w:dstrike w:val="0"/>
        <w:color w:val="000000"/>
        <w:kern w:val="0"/>
        <w:position w:val="0"/>
        <w:sz w:val="22"/>
        <w:shd w:val="clear" w:color="auto" w:fill="auto"/>
        <w:vertAlign w:val="baseline"/>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Helvetica" w:eastAsia="ヒラギノ角ゴ Pro W3" w:hAnsi="Helvetica" w:hint="default"/>
        <w:b w:val="0"/>
        <w:i w:val="0"/>
        <w:caps w:val="0"/>
        <w:smallCaps w:val="0"/>
        <w:strike w:val="0"/>
        <w:dstrike w:val="0"/>
        <w:color w:val="000000"/>
        <w:kern w:val="0"/>
        <w:position w:val="0"/>
        <w:sz w:val="22"/>
        <w:shd w:val="clear" w:color="auto" w:fill="auto"/>
        <w:vertAlign w:val="baseline"/>
        <w14:textOutline w14:w="0" w14:cap="rnd" w14:cmpd="sng" w14:algn="ctr">
          <w14:noFill/>
          <w14:prstDash w14:val="solid"/>
          <w14:bevel/>
        </w14:textOutline>
      </w:rPr>
    </w:lvl>
  </w:abstractNum>
  <w:abstractNum w:abstractNumId="2">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4"/>
    <w:multiLevelType w:val="multilevel"/>
    <w:tmpl w:val="894EE876"/>
    <w:lvl w:ilvl="0">
      <w:start w:val="1"/>
      <w:numFmt w:val="decimal"/>
      <w:pStyle w:val="List1"/>
      <w:lvlText w:val="%1."/>
      <w:lvlJc w:val="left"/>
      <w:pPr>
        <w:tabs>
          <w:tab w:val="num" w:pos="393"/>
        </w:tabs>
        <w:ind w:left="393"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nsid w:val="00000005"/>
    <w:multiLevelType w:val="multilevel"/>
    <w:tmpl w:val="894EE877"/>
    <w:lvl w:ilvl="0">
      <w:start w:val="1"/>
      <w:numFmt w:val="decimal"/>
      <w:pStyle w:val="ImportWordListStyleDefinition12"/>
      <w:lvlText w:val="%1."/>
      <w:lvlJc w:val="left"/>
      <w:pPr>
        <w:tabs>
          <w:tab w:val="num" w:pos="360"/>
        </w:tabs>
        <w:ind w:left="360" w:firstLine="360"/>
      </w:pPr>
      <w:rPr>
        <w:rFonts w:ascii="Helvetica" w:eastAsia="ヒラギノ角ゴ Pro W3" w:hAnsi="Helvetica" w:hint="default"/>
        <w:b w:val="0"/>
        <w:i w:val="0"/>
        <w:caps w:val="0"/>
        <w:smallCaps w:val="0"/>
        <w:strike w:val="0"/>
        <w:dstrike w:val="0"/>
        <w:color w:val="000000"/>
        <w:kern w:val="0"/>
        <w:position w:val="0"/>
        <w:sz w:val="22"/>
        <w:shd w:val="clear" w:color="auto" w:fill="auto"/>
        <w:vertAlign w:val="baseline"/>
        <w14:textOutline w14:w="0" w14:cap="rnd" w14:cmpd="sng" w14:algn="ctr">
          <w14:noFill/>
          <w14:prstDash w14:val="solid"/>
          <w14:bevel/>
        </w14:textOutline>
      </w:rPr>
    </w:lvl>
    <w:lvl w:ilvl="1">
      <w:start w:val="1"/>
      <w:numFmt w:val="lowerLetter"/>
      <w:lvlText w:val="%2."/>
      <w:lvlJc w:val="left"/>
      <w:pPr>
        <w:tabs>
          <w:tab w:val="num" w:pos="360"/>
        </w:tabs>
        <w:ind w:left="360" w:firstLine="1080"/>
      </w:pPr>
      <w:rPr>
        <w:rFonts w:ascii="Helvetica" w:eastAsia="ヒラギノ角ゴ Pro W3" w:hAnsi="Helvetica" w:hint="default"/>
        <w:b w:val="0"/>
        <w:i w:val="0"/>
        <w:caps w:val="0"/>
        <w:smallCaps w:val="0"/>
        <w:strike w:val="0"/>
        <w:dstrike w:val="0"/>
        <w:color w:val="000000"/>
        <w:kern w:val="0"/>
        <w:position w:val="0"/>
        <w:sz w:val="22"/>
        <w:shd w:val="clear" w:color="auto" w:fill="auto"/>
        <w:vertAlign w:val="baseline"/>
        <w14:textOutline w14:w="0" w14:cap="rnd" w14:cmpd="sng" w14:algn="ctr">
          <w14:noFill/>
          <w14:prstDash w14:val="solid"/>
          <w14:bevel/>
        </w14:textOutline>
      </w:rPr>
    </w:lvl>
    <w:lvl w:ilvl="2">
      <w:start w:val="1"/>
      <w:numFmt w:val="lowerRoman"/>
      <w:lvlText w:val="%3."/>
      <w:lvlJc w:val="left"/>
      <w:pPr>
        <w:tabs>
          <w:tab w:val="num" w:pos="296"/>
        </w:tabs>
        <w:ind w:left="296" w:firstLine="1864"/>
      </w:pPr>
      <w:rPr>
        <w:rFonts w:ascii="Helvetica" w:eastAsia="ヒラギノ角ゴ Pro W3" w:hAnsi="Helvetica" w:hint="default"/>
        <w:b w:val="0"/>
        <w:i w:val="0"/>
        <w:caps w:val="0"/>
        <w:smallCaps w:val="0"/>
        <w:strike w:val="0"/>
        <w:dstrike w:val="0"/>
        <w:color w:val="000000"/>
        <w:kern w:val="0"/>
        <w:position w:val="0"/>
        <w:sz w:val="22"/>
        <w:shd w:val="clear" w:color="auto" w:fill="auto"/>
        <w:vertAlign w:val="baseline"/>
        <w14:textOutline w14:w="0" w14:cap="rnd" w14:cmpd="sng" w14:algn="ctr">
          <w14:noFill/>
          <w14:prstDash w14:val="solid"/>
          <w14:bevel/>
        </w14:textOutline>
      </w:rPr>
    </w:lvl>
    <w:lvl w:ilvl="3">
      <w:start w:val="1"/>
      <w:numFmt w:val="decimal"/>
      <w:lvlText w:val="%4."/>
      <w:lvlJc w:val="left"/>
      <w:pPr>
        <w:tabs>
          <w:tab w:val="num" w:pos="360"/>
        </w:tabs>
        <w:ind w:left="360" w:firstLine="2520"/>
      </w:pPr>
      <w:rPr>
        <w:rFonts w:ascii="Helvetica" w:eastAsia="ヒラギノ角ゴ Pro W3" w:hAnsi="Helvetica" w:hint="default"/>
        <w:b w:val="0"/>
        <w:i w:val="0"/>
        <w:caps w:val="0"/>
        <w:smallCaps w:val="0"/>
        <w:strike w:val="0"/>
        <w:dstrike w:val="0"/>
        <w:color w:val="000000"/>
        <w:kern w:val="0"/>
        <w:position w:val="0"/>
        <w:sz w:val="22"/>
        <w:shd w:val="clear" w:color="auto" w:fill="auto"/>
        <w:vertAlign w:val="baseline"/>
        <w14:textOutline w14:w="0" w14:cap="rnd" w14:cmpd="sng" w14:algn="ctr">
          <w14:noFill/>
          <w14:prstDash w14:val="solid"/>
          <w14:bevel/>
        </w14:textOutline>
      </w:rPr>
    </w:lvl>
    <w:lvl w:ilvl="4">
      <w:start w:val="1"/>
      <w:numFmt w:val="lowerLetter"/>
      <w:lvlText w:val="%5."/>
      <w:lvlJc w:val="left"/>
      <w:pPr>
        <w:tabs>
          <w:tab w:val="num" w:pos="360"/>
        </w:tabs>
        <w:ind w:left="360" w:firstLine="3240"/>
      </w:pPr>
      <w:rPr>
        <w:rFonts w:ascii="Helvetica" w:eastAsia="ヒラギノ角ゴ Pro W3" w:hAnsi="Helvetica" w:hint="default"/>
        <w:b w:val="0"/>
        <w:i w:val="0"/>
        <w:caps w:val="0"/>
        <w:smallCaps w:val="0"/>
        <w:strike w:val="0"/>
        <w:dstrike w:val="0"/>
        <w:color w:val="000000"/>
        <w:kern w:val="0"/>
        <w:position w:val="0"/>
        <w:sz w:val="22"/>
        <w:shd w:val="clear" w:color="auto" w:fill="auto"/>
        <w:vertAlign w:val="baseline"/>
        <w14:textOutline w14:w="0" w14:cap="rnd" w14:cmpd="sng" w14:algn="ctr">
          <w14:noFill/>
          <w14:prstDash w14:val="solid"/>
          <w14:bevel/>
        </w14:textOutline>
      </w:rPr>
    </w:lvl>
    <w:lvl w:ilvl="5">
      <w:start w:val="1"/>
      <w:numFmt w:val="lowerRoman"/>
      <w:lvlText w:val="%6."/>
      <w:lvlJc w:val="left"/>
      <w:pPr>
        <w:tabs>
          <w:tab w:val="num" w:pos="296"/>
        </w:tabs>
        <w:ind w:left="296" w:firstLine="4024"/>
      </w:pPr>
      <w:rPr>
        <w:rFonts w:ascii="Helvetica" w:eastAsia="ヒラギノ角ゴ Pro W3" w:hAnsi="Helvetica" w:hint="default"/>
        <w:b w:val="0"/>
        <w:i w:val="0"/>
        <w:caps w:val="0"/>
        <w:smallCaps w:val="0"/>
        <w:strike w:val="0"/>
        <w:dstrike w:val="0"/>
        <w:color w:val="000000"/>
        <w:kern w:val="0"/>
        <w:position w:val="0"/>
        <w:sz w:val="22"/>
        <w:shd w:val="clear" w:color="auto" w:fill="auto"/>
        <w:vertAlign w:val="baseline"/>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Helvetica" w:eastAsia="ヒラギノ角ゴ Pro W3" w:hAnsi="Helvetica" w:hint="default"/>
        <w:b w:val="0"/>
        <w:i w:val="0"/>
        <w:caps w:val="0"/>
        <w:smallCaps w:val="0"/>
        <w:strike w:val="0"/>
        <w:dstrike w:val="0"/>
        <w:color w:val="000000"/>
        <w:kern w:val="0"/>
        <w:position w:val="0"/>
        <w:sz w:val="22"/>
        <w:shd w:val="clear" w:color="auto" w:fill="auto"/>
        <w:vertAlign w:val="baseline"/>
        <w14:textOutline w14:w="0" w14:cap="rnd" w14:cmpd="sng" w14:algn="ctr">
          <w14:noFill/>
          <w14:prstDash w14:val="solid"/>
          <w14:bevel/>
        </w14:textOutline>
      </w:rPr>
    </w:lvl>
    <w:lvl w:ilvl="7">
      <w:start w:val="1"/>
      <w:numFmt w:val="lowerLetter"/>
      <w:lvlText w:val="%8."/>
      <w:lvlJc w:val="left"/>
      <w:pPr>
        <w:tabs>
          <w:tab w:val="num" w:pos="360"/>
        </w:tabs>
        <w:ind w:left="360" w:firstLine="5400"/>
      </w:pPr>
      <w:rPr>
        <w:rFonts w:ascii="Helvetica" w:eastAsia="ヒラギノ角ゴ Pro W3" w:hAnsi="Helvetica" w:hint="default"/>
        <w:b w:val="0"/>
        <w:i w:val="0"/>
        <w:caps w:val="0"/>
        <w:smallCaps w:val="0"/>
        <w:strike w:val="0"/>
        <w:dstrike w:val="0"/>
        <w:color w:val="000000"/>
        <w:kern w:val="0"/>
        <w:position w:val="0"/>
        <w:sz w:val="22"/>
        <w:shd w:val="clear" w:color="auto" w:fill="auto"/>
        <w:vertAlign w:val="baseline"/>
        <w14:textOutline w14:w="0" w14:cap="rnd" w14:cmpd="sng" w14:algn="ctr">
          <w14:noFill/>
          <w14:prstDash w14:val="solid"/>
          <w14:bevel/>
        </w14:textOutline>
      </w:rPr>
    </w:lvl>
    <w:lvl w:ilvl="8">
      <w:start w:val="1"/>
      <w:numFmt w:val="lowerRoman"/>
      <w:lvlText w:val="%9."/>
      <w:lvlJc w:val="left"/>
      <w:pPr>
        <w:tabs>
          <w:tab w:val="num" w:pos="296"/>
        </w:tabs>
        <w:ind w:left="296" w:firstLine="6184"/>
      </w:pPr>
      <w:rPr>
        <w:rFonts w:ascii="Helvetica" w:eastAsia="ヒラギノ角ゴ Pro W3" w:hAnsi="Helvetica" w:hint="default"/>
        <w:b w:val="0"/>
        <w:i w:val="0"/>
        <w:caps w:val="0"/>
        <w:smallCaps w:val="0"/>
        <w:strike w:val="0"/>
        <w:dstrike w:val="0"/>
        <w:color w:val="000000"/>
        <w:kern w:val="0"/>
        <w:position w:val="0"/>
        <w:sz w:val="22"/>
        <w:shd w:val="clear" w:color="auto" w:fill="auto"/>
        <w:vertAlign w:val="baseline"/>
        <w14:textOutline w14:w="0" w14:cap="rnd" w14:cmpd="sng" w14:algn="ctr">
          <w14:noFill/>
          <w14:prstDash w14:val="solid"/>
          <w14:bevel/>
        </w14:textOutline>
      </w:rPr>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7"/>
    <w:multiLevelType w:val="multilevel"/>
    <w:tmpl w:val="894EE879"/>
    <w:lvl w:ilvl="0">
      <w:start w:val="1"/>
      <w:numFmt w:val="decimal"/>
      <w:pStyle w:val="List21"/>
      <w:lvlText w:val="%1."/>
      <w:lvlJc w:val="left"/>
      <w:pPr>
        <w:tabs>
          <w:tab w:val="num" w:pos="360"/>
        </w:tabs>
        <w:ind w:left="360" w:firstLine="360"/>
      </w:pPr>
      <w:rPr>
        <w:rFonts w:hint="default"/>
        <w:position w:val="0"/>
      </w:rPr>
    </w:lvl>
    <w:lvl w:ilvl="1">
      <w:start w:val="1"/>
      <w:numFmt w:val="lowerLetter"/>
      <w:lvlText w:val="%2."/>
      <w:lvlJc w:val="left"/>
      <w:pPr>
        <w:tabs>
          <w:tab w:val="num" w:pos="393"/>
        </w:tabs>
        <w:ind w:left="393"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7">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9"/>
    <w:multiLevelType w:val="multilevel"/>
    <w:tmpl w:val="894EE87B"/>
    <w:lvl w:ilvl="0">
      <w:start w:val="1"/>
      <w:numFmt w:val="decimal"/>
      <w:pStyle w:val="ImportWordListStyleDefinition8"/>
      <w:lvlText w:val="%1."/>
      <w:lvlJc w:val="left"/>
      <w:pPr>
        <w:tabs>
          <w:tab w:val="num" w:pos="360"/>
        </w:tabs>
        <w:ind w:left="360" w:firstLine="0"/>
      </w:pPr>
      <w:rPr>
        <w:rFonts w:hint="default"/>
        <w:position w:val="0"/>
      </w:rPr>
    </w:lvl>
    <w:lvl w:ilvl="1">
      <w:start w:val="1"/>
      <w:numFmt w:val="decimal"/>
      <w:lvlText w:val="%2."/>
      <w:lvlJc w:val="left"/>
      <w:pPr>
        <w:tabs>
          <w:tab w:val="num" w:pos="360"/>
        </w:tabs>
        <w:ind w:left="360" w:firstLine="720"/>
      </w:pPr>
      <w:rPr>
        <w:rFonts w:hint="default"/>
        <w:position w:val="0"/>
      </w:rPr>
    </w:lvl>
    <w:lvl w:ilvl="2">
      <w:start w:val="1"/>
      <w:numFmt w:val="decimal"/>
      <w:lvlText w:val="%3."/>
      <w:lvlJc w:val="left"/>
      <w:pPr>
        <w:tabs>
          <w:tab w:val="num" w:pos="360"/>
        </w:tabs>
        <w:ind w:left="360" w:firstLine="1440"/>
      </w:pPr>
      <w:rPr>
        <w:rFonts w:hint="default"/>
        <w:position w:val="0"/>
      </w:rPr>
    </w:lvl>
    <w:lvl w:ilvl="3">
      <w:start w:val="1"/>
      <w:numFmt w:val="decimal"/>
      <w:lvlText w:val="%4."/>
      <w:lvlJc w:val="left"/>
      <w:pPr>
        <w:tabs>
          <w:tab w:val="num" w:pos="360"/>
        </w:tabs>
        <w:ind w:left="360" w:firstLine="2160"/>
      </w:pPr>
      <w:rPr>
        <w:rFonts w:hint="default"/>
        <w:position w:val="0"/>
      </w:rPr>
    </w:lvl>
    <w:lvl w:ilvl="4">
      <w:start w:val="1"/>
      <w:numFmt w:val="decimal"/>
      <w:lvlText w:val="%5."/>
      <w:lvlJc w:val="left"/>
      <w:pPr>
        <w:tabs>
          <w:tab w:val="num" w:pos="360"/>
        </w:tabs>
        <w:ind w:left="360" w:firstLine="2880"/>
      </w:pPr>
      <w:rPr>
        <w:rFonts w:hint="default"/>
        <w:position w:val="0"/>
      </w:rPr>
    </w:lvl>
    <w:lvl w:ilvl="5">
      <w:start w:val="1"/>
      <w:numFmt w:val="decimal"/>
      <w:lvlText w:val="%6."/>
      <w:lvlJc w:val="left"/>
      <w:pPr>
        <w:tabs>
          <w:tab w:val="num" w:pos="360"/>
        </w:tabs>
        <w:ind w:left="360" w:firstLine="3600"/>
      </w:pPr>
      <w:rPr>
        <w:rFonts w:hint="default"/>
        <w:position w:val="0"/>
      </w:rPr>
    </w:lvl>
    <w:lvl w:ilvl="6">
      <w:start w:val="1"/>
      <w:numFmt w:val="decimal"/>
      <w:lvlText w:val="%7."/>
      <w:lvlJc w:val="left"/>
      <w:pPr>
        <w:tabs>
          <w:tab w:val="num" w:pos="360"/>
        </w:tabs>
        <w:ind w:left="360" w:firstLine="4320"/>
      </w:pPr>
      <w:rPr>
        <w:rFonts w:hint="default"/>
        <w:position w:val="0"/>
      </w:rPr>
    </w:lvl>
    <w:lvl w:ilvl="7">
      <w:start w:val="1"/>
      <w:numFmt w:val="decimal"/>
      <w:lvlText w:val="%8."/>
      <w:lvlJc w:val="left"/>
      <w:pPr>
        <w:tabs>
          <w:tab w:val="num" w:pos="360"/>
        </w:tabs>
        <w:ind w:left="360" w:firstLine="5040"/>
      </w:pPr>
      <w:rPr>
        <w:rFonts w:hint="default"/>
        <w:position w:val="0"/>
      </w:rPr>
    </w:lvl>
    <w:lvl w:ilvl="8">
      <w:start w:val="1"/>
      <w:numFmt w:val="decimal"/>
      <w:lvlText w:val="%9."/>
      <w:lvlJc w:val="left"/>
      <w:pPr>
        <w:tabs>
          <w:tab w:val="num" w:pos="360"/>
        </w:tabs>
        <w:ind w:left="360" w:firstLine="5760"/>
      </w:pPr>
      <w:rPr>
        <w:rFonts w:hint="default"/>
        <w:position w:val="0"/>
      </w:rPr>
    </w:lvl>
  </w:abstractNum>
  <w:abstractNum w:abstractNumId="9">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4FF67A0"/>
    <w:multiLevelType w:val="hybridMultilevel"/>
    <w:tmpl w:val="A0346CC2"/>
    <w:lvl w:ilvl="0" w:tplc="5C3CED9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nsid w:val="3A951BC2"/>
    <w:multiLevelType w:val="multilevel"/>
    <w:tmpl w:val="3EF498F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4097">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9B7"/>
    <w:rsid w:val="00005E18"/>
    <w:rsid w:val="00022ABD"/>
    <w:rsid w:val="000346D0"/>
    <w:rsid w:val="00043898"/>
    <w:rsid w:val="000552DC"/>
    <w:rsid w:val="00081761"/>
    <w:rsid w:val="000E3B0C"/>
    <w:rsid w:val="000F59E0"/>
    <w:rsid w:val="00103957"/>
    <w:rsid w:val="00161BDE"/>
    <w:rsid w:val="001F69D2"/>
    <w:rsid w:val="00227410"/>
    <w:rsid w:val="00266ACA"/>
    <w:rsid w:val="00285D71"/>
    <w:rsid w:val="00286983"/>
    <w:rsid w:val="00293D9A"/>
    <w:rsid w:val="002C476C"/>
    <w:rsid w:val="003A2F7F"/>
    <w:rsid w:val="003E582B"/>
    <w:rsid w:val="004059D1"/>
    <w:rsid w:val="0041785D"/>
    <w:rsid w:val="00417FE2"/>
    <w:rsid w:val="00471801"/>
    <w:rsid w:val="00485222"/>
    <w:rsid w:val="00561DA2"/>
    <w:rsid w:val="00581B58"/>
    <w:rsid w:val="005932C6"/>
    <w:rsid w:val="005B53B8"/>
    <w:rsid w:val="005E0C29"/>
    <w:rsid w:val="00614AD4"/>
    <w:rsid w:val="006271BD"/>
    <w:rsid w:val="00697BC4"/>
    <w:rsid w:val="007247F6"/>
    <w:rsid w:val="007375F6"/>
    <w:rsid w:val="00754E20"/>
    <w:rsid w:val="00754F5C"/>
    <w:rsid w:val="00762A6D"/>
    <w:rsid w:val="007715AE"/>
    <w:rsid w:val="00776039"/>
    <w:rsid w:val="00782556"/>
    <w:rsid w:val="00795D0C"/>
    <w:rsid w:val="007F23AD"/>
    <w:rsid w:val="0085106E"/>
    <w:rsid w:val="008A2784"/>
    <w:rsid w:val="008E539A"/>
    <w:rsid w:val="00931D37"/>
    <w:rsid w:val="009436BF"/>
    <w:rsid w:val="00974C71"/>
    <w:rsid w:val="009A0BCB"/>
    <w:rsid w:val="009D1732"/>
    <w:rsid w:val="00A47B1B"/>
    <w:rsid w:val="00AE66DE"/>
    <w:rsid w:val="00AF7A3D"/>
    <w:rsid w:val="00B10BD2"/>
    <w:rsid w:val="00B1554E"/>
    <w:rsid w:val="00B27B63"/>
    <w:rsid w:val="00B42251"/>
    <w:rsid w:val="00B526EE"/>
    <w:rsid w:val="00B624B4"/>
    <w:rsid w:val="00B6782A"/>
    <w:rsid w:val="00B75FB8"/>
    <w:rsid w:val="00BB67C4"/>
    <w:rsid w:val="00C02A74"/>
    <w:rsid w:val="00C0726C"/>
    <w:rsid w:val="00C51F3F"/>
    <w:rsid w:val="00C61BBD"/>
    <w:rsid w:val="00C86D58"/>
    <w:rsid w:val="00C92E33"/>
    <w:rsid w:val="00CA2B0B"/>
    <w:rsid w:val="00CF3A7F"/>
    <w:rsid w:val="00D379B7"/>
    <w:rsid w:val="00D50973"/>
    <w:rsid w:val="00DF4757"/>
    <w:rsid w:val="00E272D9"/>
    <w:rsid w:val="00E73A6C"/>
    <w:rsid w:val="00E73F2C"/>
    <w:rsid w:val="00EB70F9"/>
    <w:rsid w:val="00EE26D8"/>
    <w:rsid w:val="00EE7CCA"/>
    <w:rsid w:val="00EF6E40"/>
    <w:rsid w:val="00F8695F"/>
    <w:rsid w:val="00FB1B27"/>
    <w:rsid w:val="00FD76BB"/>
    <w:rsid w:val="00FE4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weight="0" endcap="round"/>
    </o:shapedefaults>
    <o:shapelayout v:ext="edit">
      <o:idmap v:ext="edit" data="1"/>
    </o:shapelayout>
  </w:shapeDefaults>
  <w:doNotEmbedSmartTags/>
  <w:decimalSymbol w:val="."/>
  <w:listSeparator w:val=","/>
  <w15:docId w15:val="{B122C963-55E4-48A2-91A1-38EC0219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0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776039"/>
    <w:pPr>
      <w:outlineLvl w:val="0"/>
    </w:pPr>
    <w:rPr>
      <w:rFonts w:eastAsia="ヒラギノ角ゴ Pro W3"/>
      <w:color w:val="000000"/>
      <w:sz w:val="24"/>
    </w:rPr>
  </w:style>
  <w:style w:type="paragraph" w:customStyle="1" w:styleId="List0">
    <w:name w:val="List 0"/>
    <w:basedOn w:val="ImportWordListStyleDefinition2"/>
    <w:semiHidden/>
    <w:rsid w:val="00776039"/>
    <w:pPr>
      <w:numPr>
        <w:numId w:val="1"/>
      </w:numPr>
    </w:pPr>
  </w:style>
  <w:style w:type="paragraph" w:customStyle="1" w:styleId="ImportWordListStyleDefinition2">
    <w:name w:val="Import Word List Style Definition 2"/>
    <w:rsid w:val="00776039"/>
    <w:pPr>
      <w:numPr>
        <w:numId w:val="2"/>
      </w:numPr>
    </w:pPr>
  </w:style>
  <w:style w:type="paragraph" w:customStyle="1" w:styleId="List1">
    <w:name w:val="List 1"/>
    <w:basedOn w:val="ImportWordListStyleDefinition12"/>
    <w:semiHidden/>
    <w:rsid w:val="00776039"/>
    <w:pPr>
      <w:numPr>
        <w:numId w:val="4"/>
      </w:numPr>
    </w:pPr>
  </w:style>
  <w:style w:type="paragraph" w:customStyle="1" w:styleId="ImportWordListStyleDefinition12">
    <w:name w:val="Import Word List Style Definition 12"/>
    <w:rsid w:val="00776039"/>
    <w:pPr>
      <w:numPr>
        <w:numId w:val="5"/>
      </w:numPr>
    </w:pPr>
  </w:style>
  <w:style w:type="paragraph" w:customStyle="1" w:styleId="List21">
    <w:name w:val="List 21"/>
    <w:basedOn w:val="ImportWordListStyleDefinition12"/>
    <w:semiHidden/>
    <w:rsid w:val="00776039"/>
    <w:pPr>
      <w:numPr>
        <w:numId w:val="7"/>
      </w:numPr>
    </w:pPr>
  </w:style>
  <w:style w:type="paragraph" w:customStyle="1" w:styleId="ImportWordListStyleDefinition8">
    <w:name w:val="Import Word List Style Definition 8"/>
    <w:rsid w:val="00776039"/>
    <w:pPr>
      <w:numPr>
        <w:numId w:val="9"/>
      </w:numPr>
    </w:pPr>
  </w:style>
  <w:style w:type="paragraph" w:styleId="BalloonText">
    <w:name w:val="Balloon Text"/>
    <w:basedOn w:val="Normal"/>
    <w:link w:val="BalloonTextChar"/>
    <w:locked/>
    <w:rsid w:val="00D379B7"/>
    <w:rPr>
      <w:rFonts w:ascii="Tahoma" w:hAnsi="Tahoma" w:cs="Tahoma"/>
      <w:sz w:val="16"/>
      <w:szCs w:val="16"/>
    </w:rPr>
  </w:style>
  <w:style w:type="character" w:customStyle="1" w:styleId="BalloonTextChar">
    <w:name w:val="Balloon Text Char"/>
    <w:basedOn w:val="DefaultParagraphFont"/>
    <w:link w:val="BalloonText"/>
    <w:rsid w:val="00D379B7"/>
    <w:rPr>
      <w:rFonts w:ascii="Tahoma" w:hAnsi="Tahoma" w:cs="Tahoma"/>
      <w:sz w:val="16"/>
      <w:szCs w:val="16"/>
    </w:rPr>
  </w:style>
  <w:style w:type="paragraph" w:styleId="Header">
    <w:name w:val="header"/>
    <w:basedOn w:val="Normal"/>
    <w:link w:val="HeaderChar"/>
    <w:locked/>
    <w:rsid w:val="001F69D2"/>
    <w:pPr>
      <w:tabs>
        <w:tab w:val="center" w:pos="4680"/>
        <w:tab w:val="right" w:pos="9360"/>
      </w:tabs>
    </w:pPr>
  </w:style>
  <w:style w:type="character" w:customStyle="1" w:styleId="HeaderChar">
    <w:name w:val="Header Char"/>
    <w:basedOn w:val="DefaultParagraphFont"/>
    <w:link w:val="Header"/>
    <w:rsid w:val="001F69D2"/>
    <w:rPr>
      <w:sz w:val="24"/>
      <w:szCs w:val="24"/>
    </w:rPr>
  </w:style>
  <w:style w:type="paragraph" w:styleId="Footer">
    <w:name w:val="footer"/>
    <w:basedOn w:val="Normal"/>
    <w:link w:val="FooterChar"/>
    <w:locked/>
    <w:rsid w:val="001F69D2"/>
    <w:pPr>
      <w:tabs>
        <w:tab w:val="center" w:pos="4680"/>
        <w:tab w:val="right" w:pos="9360"/>
      </w:tabs>
    </w:pPr>
  </w:style>
  <w:style w:type="character" w:customStyle="1" w:styleId="FooterChar">
    <w:name w:val="Footer Char"/>
    <w:basedOn w:val="DefaultParagraphFont"/>
    <w:link w:val="Footer"/>
    <w:rsid w:val="001F69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78383">
      <w:bodyDiv w:val="1"/>
      <w:marLeft w:val="0"/>
      <w:marRight w:val="0"/>
      <w:marTop w:val="0"/>
      <w:marBottom w:val="0"/>
      <w:divBdr>
        <w:top w:val="none" w:sz="0" w:space="0" w:color="auto"/>
        <w:left w:val="none" w:sz="0" w:space="0" w:color="auto"/>
        <w:bottom w:val="none" w:sz="0" w:space="0" w:color="auto"/>
        <w:right w:val="none" w:sz="0" w:space="0" w:color="auto"/>
      </w:divBdr>
    </w:div>
    <w:div w:id="1966621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4F363017E26940A8A28DEADCD6AEE4" ma:contentTypeVersion="1" ma:contentTypeDescription="Create a new document." ma:contentTypeScope="" ma:versionID="d9ee1cd8028ac5798a2c524e17126b5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9E33AF-5731-4326-994D-821C12FC4564}">
  <ds:schemaRefs>
    <ds:schemaRef ds:uri="http://schemas.microsoft.com/sharepoint/v3/contenttype/forms"/>
  </ds:schemaRefs>
</ds:datastoreItem>
</file>

<file path=customXml/itemProps2.xml><?xml version="1.0" encoding="utf-8"?>
<ds:datastoreItem xmlns:ds="http://schemas.openxmlformats.org/officeDocument/2006/customXml" ds:itemID="{83D3EBF9-57B6-4350-B9ED-96490CCA4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972BE8-8BCE-4880-831B-C081E906B510}">
  <ds:schemaRefs>
    <ds:schemaRef ds:uri="http://schemas.openxmlformats.org/package/2006/metadata/core-properties"/>
    <ds:schemaRef ds:uri="http://purl.org/dc/elements/1.1/"/>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Plum Creek</Company>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Mickey Sagdahl</dc:creator>
  <cp:lastModifiedBy>Mike Jostrom</cp:lastModifiedBy>
  <cp:revision>2</cp:revision>
  <cp:lastPrinted>2013-09-25T22:52:00Z</cp:lastPrinted>
  <dcterms:created xsi:type="dcterms:W3CDTF">2014-12-16T00:30:00Z</dcterms:created>
  <dcterms:modified xsi:type="dcterms:W3CDTF">2014-12-16T00:30:00Z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0x010100534F363017E26940A8A28DEADCD6AEE4</vt:lpwstr>
  </property>
  <property fmtid="{D5CDD505-2E9C-101B-9397-08002B2CF9AE}" pid="3" name="fdcd0fd3c29e48288d569f73448b7b4c">
    <vt:lpwstr>Working Document|acdc6032-8f22-4fc0-ac54-adc93ac39689</vt:lpwstr>
  </property>
  <property fmtid="{D5CDD505-2E9C-101B-9397-08002B2CF9AE}" pid="4" name="TaxCatchAll">
    <vt:lpwstr>37;#Working Document</vt:lpwstr>
  </property>
</Properties>
</file>