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F655" w14:textId="259E1605" w:rsidR="002B7F09" w:rsidRPr="002B7F09" w:rsidRDefault="002B7F09" w:rsidP="002B7F09">
      <w:pPr>
        <w:pStyle w:val="v1msoplaintext"/>
        <w:shd w:val="clear" w:color="auto" w:fill="FFFFFF"/>
        <w:spacing w:before="0" w:beforeAutospacing="0" w:after="0" w:afterAutospacing="0"/>
        <w:jc w:val="center"/>
        <w:rPr>
          <w:rFonts w:ascii="Calibri" w:hAnsi="Calibri" w:cs="Calibri"/>
          <w:sz w:val="28"/>
          <w:szCs w:val="28"/>
        </w:rPr>
      </w:pPr>
      <w:r w:rsidRPr="002B7F09">
        <w:rPr>
          <w:rFonts w:ascii="Calibri" w:hAnsi="Calibri" w:cs="Calibri"/>
          <w:sz w:val="28"/>
          <w:szCs w:val="28"/>
        </w:rPr>
        <w:t>CONSTRUCTION INDUSTRY AIR QUALITY COALITION</w:t>
      </w:r>
    </w:p>
    <w:p w14:paraId="2E191927" w14:textId="77777777" w:rsidR="002B7F09" w:rsidRPr="002B7F09" w:rsidRDefault="002B7F09" w:rsidP="00FA5266">
      <w:pPr>
        <w:pStyle w:val="v1msoplaintext"/>
        <w:shd w:val="clear" w:color="auto" w:fill="FFFFFF"/>
        <w:spacing w:before="0" w:beforeAutospacing="0" w:after="0" w:afterAutospacing="0"/>
        <w:rPr>
          <w:rFonts w:ascii="Calibri" w:hAnsi="Calibri" w:cs="Calibri"/>
          <w:sz w:val="22"/>
          <w:szCs w:val="22"/>
        </w:rPr>
      </w:pPr>
    </w:p>
    <w:p w14:paraId="71E4F2FF" w14:textId="650AF0AF" w:rsidR="006B74EA" w:rsidRPr="002B7F09" w:rsidRDefault="006B74EA"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Office of Administrative Law</w:t>
      </w:r>
      <w:r w:rsidR="002B7F09" w:rsidRPr="002B7F09">
        <w:rPr>
          <w:rFonts w:ascii="Calibri" w:hAnsi="Calibri" w:cs="Calibri"/>
          <w:sz w:val="22"/>
          <w:szCs w:val="22"/>
        </w:rPr>
        <w:tab/>
      </w:r>
      <w:r w:rsidR="002B7F09" w:rsidRPr="002B7F09">
        <w:rPr>
          <w:rFonts w:ascii="Calibri" w:hAnsi="Calibri" w:cs="Calibri"/>
          <w:sz w:val="22"/>
          <w:szCs w:val="22"/>
        </w:rPr>
        <w:tab/>
      </w:r>
      <w:r w:rsidR="002B7F09" w:rsidRPr="002B7F09">
        <w:rPr>
          <w:rFonts w:ascii="Calibri" w:hAnsi="Calibri" w:cs="Calibri"/>
          <w:sz w:val="22"/>
          <w:szCs w:val="22"/>
        </w:rPr>
        <w:tab/>
      </w:r>
      <w:r w:rsidR="002B7F09" w:rsidRPr="002B7F09">
        <w:rPr>
          <w:rFonts w:ascii="Calibri" w:hAnsi="Calibri" w:cs="Calibri"/>
          <w:sz w:val="22"/>
          <w:szCs w:val="22"/>
        </w:rPr>
        <w:tab/>
      </w:r>
      <w:r w:rsidR="002B7F09" w:rsidRPr="002B7F09">
        <w:rPr>
          <w:rFonts w:ascii="Calibri" w:hAnsi="Calibri" w:cs="Calibri"/>
          <w:sz w:val="22"/>
          <w:szCs w:val="22"/>
        </w:rPr>
        <w:tab/>
      </w:r>
      <w:r w:rsidR="002B7F09" w:rsidRPr="002B7F09">
        <w:rPr>
          <w:rFonts w:ascii="Calibri" w:hAnsi="Calibri" w:cs="Calibri"/>
          <w:sz w:val="22"/>
          <w:szCs w:val="22"/>
        </w:rPr>
        <w:tab/>
      </w:r>
      <w:r w:rsidR="002B7F09" w:rsidRPr="002B7F09">
        <w:rPr>
          <w:rFonts w:ascii="Calibri" w:hAnsi="Calibri" w:cs="Calibri"/>
          <w:sz w:val="22"/>
          <w:szCs w:val="22"/>
        </w:rPr>
        <w:tab/>
        <w:t xml:space="preserve">July 25, 2023 </w:t>
      </w:r>
    </w:p>
    <w:p w14:paraId="634E744F" w14:textId="27CF940C" w:rsidR="002B7F09" w:rsidRPr="002B7F09" w:rsidRDefault="002B7F09" w:rsidP="00FA5266">
      <w:pPr>
        <w:pStyle w:val="v1msoplaintext"/>
        <w:shd w:val="clear" w:color="auto" w:fill="FFFFFF"/>
        <w:spacing w:before="0" w:beforeAutospacing="0" w:after="0" w:afterAutospacing="0"/>
        <w:rPr>
          <w:rFonts w:asciiTheme="minorHAnsi" w:hAnsiTheme="minorHAnsi" w:cstheme="minorHAnsi"/>
          <w:sz w:val="22"/>
          <w:szCs w:val="22"/>
        </w:rPr>
      </w:pPr>
      <w:r w:rsidRPr="002B7F09">
        <w:rPr>
          <w:rFonts w:asciiTheme="minorHAnsi" w:hAnsiTheme="minorHAnsi" w:cstheme="minorHAnsi"/>
          <w:sz w:val="22"/>
          <w:szCs w:val="22"/>
          <w:bdr w:val="none" w:sz="0" w:space="0" w:color="auto" w:frame="1"/>
          <w:shd w:val="clear" w:color="auto" w:fill="FFFFFF"/>
        </w:rPr>
        <w:t>300 Capitol Mall, Suite 1250</w:t>
      </w:r>
      <w:r w:rsidRPr="002B7F09">
        <w:rPr>
          <w:rFonts w:asciiTheme="minorHAnsi" w:hAnsiTheme="minorHAnsi" w:cstheme="minorHAnsi"/>
          <w:sz w:val="22"/>
          <w:szCs w:val="22"/>
        </w:rPr>
        <w:br/>
      </w:r>
      <w:r w:rsidRPr="002B7F09">
        <w:rPr>
          <w:rFonts w:asciiTheme="minorHAnsi" w:hAnsiTheme="minorHAnsi" w:cstheme="minorHAnsi"/>
          <w:sz w:val="22"/>
          <w:szCs w:val="22"/>
          <w:bdr w:val="none" w:sz="0" w:space="0" w:color="auto" w:frame="1"/>
          <w:shd w:val="clear" w:color="auto" w:fill="FFFFFF"/>
        </w:rPr>
        <w:t>Sacramento, CA 95814-4339</w:t>
      </w:r>
    </w:p>
    <w:p w14:paraId="5BEC15DC" w14:textId="7E947E22" w:rsidR="005F3198" w:rsidRPr="002B7F09" w:rsidRDefault="005F3198" w:rsidP="00FA5266">
      <w:pPr>
        <w:pStyle w:val="v1msoplaintext"/>
        <w:shd w:val="clear" w:color="auto" w:fill="FFFFFF"/>
        <w:spacing w:before="0" w:beforeAutospacing="0" w:after="0" w:afterAutospacing="0"/>
        <w:rPr>
          <w:rFonts w:ascii="Calibri" w:hAnsi="Calibri" w:cs="Calibri"/>
          <w:sz w:val="22"/>
          <w:szCs w:val="22"/>
        </w:rPr>
      </w:pPr>
      <w:r w:rsidRPr="002B7F09">
        <w:rPr>
          <w:rFonts w:ascii="Source Sans Pro" w:eastAsiaTheme="minorHAnsi" w:hAnsi="Source Sans Pro" w:cstheme="minorBidi"/>
          <w:kern w:val="2"/>
          <w:sz w:val="22"/>
          <w:szCs w:val="22"/>
          <w:shd w:val="clear" w:color="auto" w:fill="FFFFFF"/>
          <w14:ligatures w14:val="standardContextual"/>
        </w:rPr>
        <w:t>Email: </w:t>
      </w:r>
      <w:hyperlink r:id="rId4" w:history="1">
        <w:r w:rsidRPr="002B7F09">
          <w:rPr>
            <w:rFonts w:asciiTheme="minorHAnsi" w:eastAsiaTheme="minorHAnsi" w:hAnsiTheme="minorHAnsi" w:cstheme="minorHAnsi"/>
            <w:kern w:val="2"/>
            <w:sz w:val="22"/>
            <w:szCs w:val="22"/>
            <w:u w:val="single"/>
            <w:bdr w:val="none" w:sz="0" w:space="0" w:color="auto" w:frame="1"/>
            <w:shd w:val="clear" w:color="auto" w:fill="FFFFFF"/>
            <w14:ligatures w14:val="standardContextual"/>
          </w:rPr>
          <w:t>staff</w:t>
        </w:r>
        <w:r w:rsidRPr="002B7F09">
          <w:rPr>
            <w:rFonts w:ascii="Source Sans Pro" w:eastAsiaTheme="minorHAnsi" w:hAnsi="Source Sans Pro" w:cstheme="minorBidi"/>
            <w:kern w:val="2"/>
            <w:sz w:val="22"/>
            <w:szCs w:val="22"/>
            <w:u w:val="single"/>
            <w:bdr w:val="none" w:sz="0" w:space="0" w:color="auto" w:frame="1"/>
            <w:shd w:val="clear" w:color="auto" w:fill="FFFFFF"/>
            <w14:ligatures w14:val="standardContextual"/>
          </w:rPr>
          <w:t>@oal.ca.gov</w:t>
        </w:r>
      </w:hyperlink>
    </w:p>
    <w:p w14:paraId="3434C6F7" w14:textId="77777777" w:rsidR="006B74EA" w:rsidRPr="002B7F09" w:rsidRDefault="006B74EA" w:rsidP="00FA5266">
      <w:pPr>
        <w:pStyle w:val="v1msoplaintext"/>
        <w:shd w:val="clear" w:color="auto" w:fill="FFFFFF"/>
        <w:spacing w:before="0" w:beforeAutospacing="0" w:after="0" w:afterAutospacing="0"/>
        <w:rPr>
          <w:rFonts w:ascii="Calibri" w:hAnsi="Calibri" w:cs="Calibri"/>
          <w:sz w:val="22"/>
          <w:szCs w:val="22"/>
        </w:rPr>
      </w:pPr>
    </w:p>
    <w:p w14:paraId="0D97D526" w14:textId="72B9DBCF" w:rsidR="006B74EA" w:rsidRPr="002B7F09" w:rsidRDefault="002B7F09"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xml:space="preserve">                        </w:t>
      </w:r>
      <w:r w:rsidR="006B74EA" w:rsidRPr="002B7F09">
        <w:rPr>
          <w:rFonts w:ascii="Calibri" w:hAnsi="Calibri" w:cs="Calibri"/>
          <w:sz w:val="22"/>
          <w:szCs w:val="22"/>
        </w:rPr>
        <w:t>RE: 2023-0613-02 AIR RESOURCES BOARD – Advanced Clean Fleets rule</w:t>
      </w:r>
    </w:p>
    <w:p w14:paraId="19ED96F3" w14:textId="77777777" w:rsidR="002B7F09" w:rsidRPr="002B7F09" w:rsidRDefault="002B7F09" w:rsidP="00FA5266">
      <w:pPr>
        <w:pStyle w:val="v1msoplaintext"/>
        <w:shd w:val="clear" w:color="auto" w:fill="FFFFFF"/>
        <w:spacing w:before="0" w:beforeAutospacing="0" w:after="0" w:afterAutospacing="0"/>
        <w:rPr>
          <w:rFonts w:ascii="Calibri" w:hAnsi="Calibri" w:cs="Calibri"/>
          <w:sz w:val="22"/>
          <w:szCs w:val="22"/>
        </w:rPr>
      </w:pPr>
    </w:p>
    <w:p w14:paraId="791D6947" w14:textId="598D24C3" w:rsidR="006B74EA" w:rsidRPr="002B7F09" w:rsidRDefault="002B7F09"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Dear Reference Attorney,</w:t>
      </w:r>
    </w:p>
    <w:p w14:paraId="1C01E017" w14:textId="77777777" w:rsidR="006B74EA" w:rsidRPr="002B7F09" w:rsidRDefault="006B74EA" w:rsidP="00FA5266">
      <w:pPr>
        <w:pStyle w:val="v1msoplaintext"/>
        <w:shd w:val="clear" w:color="auto" w:fill="FFFFFF"/>
        <w:spacing w:before="0" w:beforeAutospacing="0" w:after="0" w:afterAutospacing="0"/>
        <w:rPr>
          <w:rFonts w:ascii="Calibri" w:hAnsi="Calibri" w:cs="Calibri"/>
          <w:sz w:val="22"/>
          <w:szCs w:val="22"/>
        </w:rPr>
      </w:pPr>
    </w:p>
    <w:p w14:paraId="777162DC" w14:textId="654AD1B7" w:rsidR="006B74EA" w:rsidRPr="002B7F09" w:rsidRDefault="006B74EA" w:rsidP="006B74EA">
      <w:pPr>
        <w:pStyle w:val="v1msonormal"/>
        <w:shd w:val="clear" w:color="auto" w:fill="FFFFFF"/>
        <w:spacing w:before="0" w:beforeAutospacing="0" w:after="0" w:afterAutospacing="0"/>
      </w:pPr>
      <w:r w:rsidRPr="002B7F09">
        <w:rPr>
          <w:rFonts w:ascii="Calibri" w:hAnsi="Calibri" w:cs="Calibri"/>
          <w:sz w:val="22"/>
          <w:szCs w:val="22"/>
        </w:rPr>
        <w:t>The intent of the regulation was originally, and I believe the way “vehicle” was defined in </w:t>
      </w:r>
      <w:r w:rsidRPr="002B7F09">
        <w:rPr>
          <w:rFonts w:ascii="Calibri" w:hAnsi="Calibri" w:cs="Calibri"/>
          <w:sz w:val="22"/>
          <w:szCs w:val="22"/>
          <w:u w:val="single"/>
        </w:rPr>
        <w:t>all versions</w:t>
      </w:r>
      <w:r w:rsidRPr="002B7F09">
        <w:rPr>
          <w:rFonts w:ascii="Calibri" w:hAnsi="Calibri" w:cs="Calibri"/>
          <w:sz w:val="22"/>
          <w:szCs w:val="22"/>
        </w:rPr>
        <w:t xml:space="preserve"> of the rule prior to the  Proposed 15-day Changes to the Proposed Regulation Order for the High Priority and Federal Fleets Requirements made this the case, but when they changed the definition of vehicle and didn’t add the </w:t>
      </w:r>
      <w:r w:rsidRPr="002B7F09">
        <w:rPr>
          <w:rFonts w:ascii="Calibri" w:hAnsi="Calibri" w:cs="Calibri"/>
          <w:sz w:val="22"/>
          <w:szCs w:val="22"/>
          <w:u w:val="single"/>
        </w:rPr>
        <w:t>"vehicles specified in section 2015(a)(2)"</w:t>
      </w:r>
      <w:r w:rsidRPr="002B7F09">
        <w:rPr>
          <w:rFonts w:ascii="Calibri" w:hAnsi="Calibri" w:cs="Calibri"/>
          <w:sz w:val="22"/>
          <w:szCs w:val="22"/>
        </w:rPr>
        <w:t xml:space="preserve"> to 2015(a)(1)(B) it changed the entity applicability, intentionally or not</w:t>
      </w:r>
    </w:p>
    <w:p w14:paraId="53EA8709" w14:textId="77777777" w:rsidR="006B74EA" w:rsidRPr="002B7F09" w:rsidRDefault="006B74EA" w:rsidP="006B74EA">
      <w:pPr>
        <w:pStyle w:val="v1msonormal"/>
        <w:shd w:val="clear" w:color="auto" w:fill="FFFFFF"/>
        <w:spacing w:before="0" w:beforeAutospacing="0" w:after="0" w:afterAutospacing="0"/>
      </w:pPr>
      <w:r w:rsidRPr="002B7F09">
        <w:rPr>
          <w:rFonts w:ascii="Calibri" w:hAnsi="Calibri" w:cs="Calibri"/>
          <w:sz w:val="22"/>
          <w:szCs w:val="22"/>
        </w:rPr>
        <w:t> </w:t>
      </w:r>
    </w:p>
    <w:p w14:paraId="674B3A83" w14:textId="43BFF69D" w:rsidR="006B74EA" w:rsidRPr="002B7F09" w:rsidRDefault="006B74EA" w:rsidP="006B74EA">
      <w:pPr>
        <w:pStyle w:val="v1msonormal"/>
        <w:shd w:val="clear" w:color="auto" w:fill="FFFFFF"/>
        <w:spacing w:before="0" w:beforeAutospacing="0" w:after="0" w:afterAutospacing="0"/>
      </w:pPr>
      <w:r w:rsidRPr="002B7F09">
        <w:rPr>
          <w:rFonts w:ascii="Calibri" w:hAnsi="Calibri" w:cs="Calibri"/>
          <w:sz w:val="22"/>
          <w:szCs w:val="22"/>
        </w:rPr>
        <w:t>ARB set entity applicability criteria outside of the “vehicle scope” in 2015(a)(1)(A) ($50million in revenue) and (D) (federal agency) so it’s not a stretch to interpret 2015(a)(1)(B) and (C) outside the vehicle scope as well.</w:t>
      </w:r>
    </w:p>
    <w:p w14:paraId="18CA4356" w14:textId="77777777" w:rsidR="006B74EA" w:rsidRPr="002B7F09" w:rsidRDefault="006B74EA" w:rsidP="00FA5266">
      <w:pPr>
        <w:pStyle w:val="v1msoplaintext"/>
        <w:shd w:val="clear" w:color="auto" w:fill="FFFFFF"/>
        <w:spacing w:before="0" w:beforeAutospacing="0" w:after="0" w:afterAutospacing="0"/>
        <w:rPr>
          <w:rFonts w:ascii="Calibri" w:hAnsi="Calibri" w:cs="Calibri"/>
          <w:sz w:val="22"/>
          <w:szCs w:val="22"/>
        </w:rPr>
      </w:pPr>
    </w:p>
    <w:p w14:paraId="79F5256E" w14:textId="77777777" w:rsidR="006B74EA" w:rsidRPr="002B7F09" w:rsidRDefault="006B74EA" w:rsidP="006B74EA">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The </w:t>
      </w:r>
      <w:hyperlink r:id="rId5" w:tgtFrame="_blank" w:history="1">
        <w:r w:rsidRPr="002B7F09">
          <w:rPr>
            <w:rStyle w:val="Hyperlink"/>
            <w:rFonts w:ascii="Calibri" w:hAnsi="Calibri" w:cs="Calibri"/>
            <w:color w:val="auto"/>
            <w:sz w:val="22"/>
            <w:szCs w:val="22"/>
          </w:rPr>
          <w:t>Appendix A-2: Proposed 15-day Changes to the Proposed Regulation Order for the High Priority and Federal Fleets Requirements</w:t>
        </w:r>
      </w:hyperlink>
      <w:r w:rsidRPr="002B7F09">
        <w:rPr>
          <w:rFonts w:ascii="Calibri" w:hAnsi="Calibri" w:cs="Calibri"/>
          <w:sz w:val="22"/>
          <w:szCs w:val="22"/>
        </w:rPr>
        <w:t> includes the following change to the definition of vehicle which made this huge change in applicability.</w:t>
      </w:r>
    </w:p>
    <w:p w14:paraId="4CA9EB5D" w14:textId="77777777" w:rsidR="006B74EA" w:rsidRPr="002B7F09" w:rsidRDefault="006B74EA" w:rsidP="006B74EA">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2DB7391C" w14:textId="77777777" w:rsidR="006B74EA" w:rsidRPr="002B7F09" w:rsidRDefault="006B74EA" w:rsidP="006B74EA">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"Vehicle" </w:t>
      </w:r>
      <w:r w:rsidRPr="002B7F09">
        <w:rPr>
          <w:rFonts w:ascii="Calibri" w:hAnsi="Calibri" w:cs="Calibri"/>
          <w:strike/>
          <w:sz w:val="22"/>
          <w:szCs w:val="22"/>
        </w:rPr>
        <w:t>or "motor vehicle"</w:t>
      </w:r>
      <w:r w:rsidRPr="002B7F09">
        <w:rPr>
          <w:rFonts w:ascii="Calibri" w:hAnsi="Calibri" w:cs="Calibri"/>
          <w:sz w:val="22"/>
          <w:szCs w:val="22"/>
        </w:rPr>
        <w:t> means </w:t>
      </w:r>
      <w:proofErr w:type="spellStart"/>
      <w:r w:rsidRPr="002B7F09">
        <w:rPr>
          <w:rFonts w:ascii="Calibri" w:hAnsi="Calibri" w:cs="Calibri"/>
          <w:strike/>
          <w:sz w:val="22"/>
          <w:szCs w:val="22"/>
        </w:rPr>
        <w:t>self propelled</w:t>
      </w:r>
      <w:proofErr w:type="spellEnd"/>
      <w:r w:rsidRPr="002B7F09">
        <w:rPr>
          <w:rFonts w:ascii="Calibri" w:hAnsi="Calibri" w:cs="Calibri"/>
          <w:strike/>
          <w:sz w:val="22"/>
          <w:szCs w:val="22"/>
        </w:rPr>
        <w:t xml:space="preserve"> equipment that meets one of the following criteria:</w:t>
      </w:r>
    </w:p>
    <w:p w14:paraId="6916B758" w14:textId="77777777" w:rsidR="006B74EA" w:rsidRPr="002B7F09" w:rsidRDefault="006B74EA" w:rsidP="006B74EA">
      <w:pPr>
        <w:pStyle w:val="v1msoplaintext"/>
        <w:shd w:val="clear" w:color="auto" w:fill="FFFFFF"/>
        <w:spacing w:before="0" w:beforeAutospacing="0" w:after="0" w:afterAutospacing="0"/>
        <w:ind w:firstLine="720"/>
        <w:rPr>
          <w:rFonts w:ascii="Calibri" w:hAnsi="Calibri" w:cs="Calibri"/>
          <w:sz w:val="22"/>
          <w:szCs w:val="22"/>
        </w:rPr>
      </w:pPr>
      <w:r w:rsidRPr="002B7F09">
        <w:rPr>
          <w:rFonts w:ascii="Calibri" w:hAnsi="Calibri" w:cs="Calibri"/>
          <w:strike/>
          <w:sz w:val="22"/>
          <w:szCs w:val="22"/>
        </w:rPr>
        <w:t>(C) Equipment that has </w:t>
      </w:r>
      <w:r w:rsidRPr="002B7F09">
        <w:rPr>
          <w:rFonts w:ascii="Calibri" w:hAnsi="Calibri" w:cs="Calibri"/>
          <w:sz w:val="22"/>
          <w:szCs w:val="22"/>
          <w:u w:val="single"/>
        </w:rPr>
        <w:t>either</w:t>
      </w:r>
      <w:r w:rsidRPr="002B7F09">
        <w:rPr>
          <w:rFonts w:ascii="Calibri" w:hAnsi="Calibri" w:cs="Calibri"/>
          <w:sz w:val="22"/>
          <w:szCs w:val="22"/>
        </w:rPr>
        <w:t> </w:t>
      </w:r>
      <w:r w:rsidRPr="002B7F09">
        <w:rPr>
          <w:rFonts w:ascii="Calibri" w:hAnsi="Calibri" w:cs="Calibri"/>
          <w:strike/>
          <w:sz w:val="22"/>
          <w:szCs w:val="22"/>
        </w:rPr>
        <w:t>a GVWR that is greater than 8,500 lbs. that is intended for use on highways, and meets the definition set forth in title 17, CCR section 95662(a)(26);</w:t>
      </w:r>
    </w:p>
    <w:p w14:paraId="064585CC" w14:textId="3360331F" w:rsidR="006B74EA" w:rsidRPr="002B7F09" w:rsidRDefault="006B74EA" w:rsidP="006B74EA">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trike/>
          <w:sz w:val="22"/>
          <w:szCs w:val="22"/>
        </w:rPr>
        <w:t>(D) Equipment that has a GVWR equal to or less than 8,500 lbs. and meets the definition of "light duty package delivery vehicle"</w:t>
      </w:r>
      <w:r w:rsidRPr="002B7F09">
        <w:rPr>
          <w:rFonts w:ascii="Calibri" w:hAnsi="Calibri" w:cs="Calibri"/>
          <w:sz w:val="22"/>
          <w:szCs w:val="22"/>
        </w:rPr>
        <w:t> </w:t>
      </w:r>
      <w:r w:rsidRPr="002B7F09">
        <w:rPr>
          <w:rFonts w:ascii="Calibri" w:hAnsi="Calibri" w:cs="Calibri"/>
          <w:sz w:val="22"/>
          <w:szCs w:val="22"/>
          <w:u w:val="single"/>
        </w:rPr>
        <w:t>device</w:t>
      </w:r>
      <w:r w:rsidRPr="002B7F09">
        <w:rPr>
          <w:rFonts w:ascii="Calibri" w:hAnsi="Calibri" w:cs="Calibri"/>
          <w:sz w:val="22"/>
          <w:szCs w:val="22"/>
        </w:rPr>
        <w:t> as defined </w:t>
      </w:r>
      <w:r w:rsidRPr="002B7F09">
        <w:rPr>
          <w:rFonts w:ascii="Calibri" w:hAnsi="Calibri" w:cs="Calibri"/>
          <w:strike/>
          <w:sz w:val="22"/>
          <w:szCs w:val="22"/>
        </w:rPr>
        <w:t>by</w:t>
      </w:r>
      <w:r w:rsidR="002B7F09">
        <w:rPr>
          <w:rFonts w:ascii="Calibri" w:hAnsi="Calibri" w:cs="Calibri"/>
          <w:strike/>
          <w:sz w:val="22"/>
          <w:szCs w:val="22"/>
        </w:rPr>
        <w:t xml:space="preserve"> </w:t>
      </w:r>
      <w:r w:rsidRPr="002B7F09">
        <w:rPr>
          <w:rFonts w:ascii="Calibri" w:hAnsi="Calibri" w:cs="Calibri"/>
          <w:sz w:val="22"/>
          <w:szCs w:val="22"/>
        </w:rPr>
        <w:t>in CVC section </w:t>
      </w:r>
      <w:r w:rsidRPr="002B7F09">
        <w:rPr>
          <w:rFonts w:ascii="Calibri" w:hAnsi="Calibri" w:cs="Calibri"/>
          <w:strike/>
          <w:sz w:val="22"/>
          <w:szCs w:val="22"/>
        </w:rPr>
        <w:t>201 S(b) and is intended for use on highways;</w:t>
      </w:r>
      <w:r w:rsidRPr="002B7F09">
        <w:rPr>
          <w:rFonts w:ascii="Calibri" w:hAnsi="Calibri" w:cs="Calibri"/>
          <w:sz w:val="22"/>
          <w:szCs w:val="22"/>
        </w:rPr>
        <w:t xml:space="preserve">670, or </w:t>
      </w:r>
      <w:r w:rsidRPr="002B7F09">
        <w:rPr>
          <w:rFonts w:ascii="Calibri" w:hAnsi="Calibri" w:cs="Calibri"/>
          <w:strike/>
          <w:sz w:val="22"/>
          <w:szCs w:val="22"/>
        </w:rPr>
        <w:t>Is</w:t>
      </w:r>
      <w:r w:rsidRPr="002B7F09">
        <w:rPr>
          <w:rFonts w:ascii="Calibri" w:hAnsi="Calibri" w:cs="Calibri"/>
          <w:sz w:val="22"/>
          <w:szCs w:val="22"/>
        </w:rPr>
        <w:t> a yard tractor that is not intended for use on highways</w:t>
      </w:r>
    </w:p>
    <w:p w14:paraId="3A6DEE81" w14:textId="77777777" w:rsidR="006B74EA" w:rsidRPr="002B7F09" w:rsidRDefault="006B74EA" w:rsidP="006B74EA">
      <w:pPr>
        <w:pStyle w:val="v1msoplaintext"/>
        <w:shd w:val="clear" w:color="auto" w:fill="FFFFFF"/>
        <w:spacing w:before="0" w:beforeAutospacing="0" w:after="0" w:afterAutospacing="0"/>
        <w:rPr>
          <w:rFonts w:ascii="Calibri" w:hAnsi="Calibri" w:cs="Calibri"/>
          <w:sz w:val="22"/>
          <w:szCs w:val="22"/>
        </w:rPr>
      </w:pPr>
    </w:p>
    <w:p w14:paraId="303378AF" w14:textId="01C60027" w:rsidR="00FA5266" w:rsidRPr="002B7F09" w:rsidRDefault="006B74EA"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I</w:t>
      </w:r>
      <w:r w:rsidR="00FA5266" w:rsidRPr="002B7F09">
        <w:rPr>
          <w:rFonts w:ascii="Calibri" w:hAnsi="Calibri" w:cs="Calibri"/>
          <w:sz w:val="22"/>
          <w:szCs w:val="22"/>
        </w:rPr>
        <w:t xml:space="preserve">t </w:t>
      </w:r>
      <w:r w:rsidRPr="002B7F09">
        <w:rPr>
          <w:rFonts w:ascii="Calibri" w:hAnsi="Calibri" w:cs="Calibri"/>
          <w:sz w:val="22"/>
          <w:szCs w:val="22"/>
        </w:rPr>
        <w:t xml:space="preserve">is </w:t>
      </w:r>
      <w:r w:rsidR="00FA5266" w:rsidRPr="002B7F09">
        <w:rPr>
          <w:rFonts w:ascii="Calibri" w:hAnsi="Calibri" w:cs="Calibri"/>
          <w:sz w:val="22"/>
          <w:szCs w:val="22"/>
        </w:rPr>
        <w:t xml:space="preserve">a very alarming change (or what </w:t>
      </w:r>
      <w:r w:rsidR="00D37027" w:rsidRPr="002B7F09">
        <w:rPr>
          <w:rFonts w:ascii="Calibri" w:hAnsi="Calibri" w:cs="Calibri"/>
          <w:sz w:val="22"/>
          <w:szCs w:val="22"/>
        </w:rPr>
        <w:t xml:space="preserve">appears </w:t>
      </w:r>
      <w:r w:rsidR="00FA5266" w:rsidRPr="002B7F09">
        <w:rPr>
          <w:rFonts w:ascii="Calibri" w:hAnsi="Calibri" w:cs="Calibri"/>
          <w:sz w:val="22"/>
          <w:szCs w:val="22"/>
        </w:rPr>
        <w:t>as a change) in the “intended” regulation language, that the "vehicles specified in section 2015(a)(2)" phrase is in 2015(a)(1) but not repeated in 2015(a)(1(B) or the definition of vehicle.</w:t>
      </w:r>
    </w:p>
    <w:p w14:paraId="41A9ABA3"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252A72CB"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Since the scope for 2015(a)(1) is one or more "vehicles specified in section 2015(a)(2)" it only takes 1 of these vehicles to be subject to this section of the rule </w:t>
      </w:r>
      <w:r w:rsidRPr="002B7F09">
        <w:rPr>
          <w:rFonts w:ascii="Calibri" w:hAnsi="Calibri" w:cs="Calibri"/>
          <w:sz w:val="22"/>
          <w:szCs w:val="22"/>
          <w:u w:val="single"/>
        </w:rPr>
        <w:t>as an entity</w:t>
      </w:r>
      <w:r w:rsidRPr="002B7F09">
        <w:rPr>
          <w:rFonts w:ascii="Calibri" w:hAnsi="Calibri" w:cs="Calibri"/>
          <w:sz w:val="22"/>
          <w:szCs w:val="22"/>
        </w:rPr>
        <w:t> but 2015(a)(1(B) then adds "50 or more </w:t>
      </w:r>
      <w:r w:rsidRPr="002B7F09">
        <w:rPr>
          <w:rFonts w:ascii="Calibri" w:hAnsi="Calibri" w:cs="Calibri"/>
          <w:sz w:val="22"/>
          <w:szCs w:val="22"/>
          <w:u w:val="single"/>
        </w:rPr>
        <w:t>vehicles</w:t>
      </w:r>
      <w:r w:rsidRPr="002B7F09">
        <w:rPr>
          <w:rFonts w:ascii="Calibri" w:hAnsi="Calibri" w:cs="Calibri"/>
          <w:sz w:val="22"/>
          <w:szCs w:val="22"/>
        </w:rPr>
        <w:t> in the total fleet" without those vehicles being "vehicles specified in section 2015(a)(2)".</w:t>
      </w:r>
    </w:p>
    <w:p w14:paraId="6882A2C5"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76AB5547"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This could mean if a company owns passenger vehicles, these too are counted in the 2015(a)1(B) vehicle threshold.</w:t>
      </w:r>
    </w:p>
    <w:p w14:paraId="25F36C59"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06904703"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Example: Company XYZ owns:</w:t>
      </w:r>
    </w:p>
    <w:p w14:paraId="6800E5CD"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057CCDA8"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1 vehicle with GVWR greater than 8,500 lbs. (a “vehicle specified in section 2015(a)(2)") and</w:t>
      </w:r>
    </w:p>
    <w:p w14:paraId="1FEA53E4"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49 passenger vehicles with GVWR less than 8,500 lbs.</w:t>
      </w:r>
    </w:p>
    <w:p w14:paraId="7BA10B98"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lastRenderedPageBreak/>
        <w:t> </w:t>
      </w:r>
    </w:p>
    <w:p w14:paraId="6C46C824"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Applicability</w:t>
      </w:r>
    </w:p>
    <w:p w14:paraId="72790C14"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2015(a)(1) - Yes, the entity is subject since they own at least one vehicle with GVWR greater than 8,500 lbs.</w:t>
      </w:r>
    </w:p>
    <w:p w14:paraId="28D156F9"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2015(a)(1)(B) - Yes, the entity is </w:t>
      </w:r>
      <w:r w:rsidRPr="002B7F09">
        <w:rPr>
          <w:rFonts w:ascii="Calibri" w:hAnsi="Calibri" w:cs="Calibri"/>
          <w:sz w:val="22"/>
          <w:szCs w:val="22"/>
          <w:u w:val="single"/>
        </w:rPr>
        <w:t>still</w:t>
      </w:r>
      <w:r w:rsidRPr="002B7F09">
        <w:rPr>
          <w:rFonts w:ascii="Calibri" w:hAnsi="Calibri" w:cs="Calibri"/>
          <w:sz w:val="22"/>
          <w:szCs w:val="22"/>
        </w:rPr>
        <w:t> subject since there are 50 or more vehicles in the total fleet.</w:t>
      </w:r>
    </w:p>
    <w:p w14:paraId="0202641B"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30C70486"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The only exemption for entities in the ACF is for entities subject to other sections of the ACF.</w:t>
      </w:r>
    </w:p>
    <w:p w14:paraId="0FA730BC" w14:textId="5B3F6479"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In this case, only the 1 vehicle with GVWR greater than 8,500 lbs. is subject to the regulation as provided in section 2015(a)(2).</w:t>
      </w:r>
    </w:p>
    <w:p w14:paraId="1C056461"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15E8AD0A"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Additional considerations that support this conclusion</w:t>
      </w:r>
    </w:p>
    <w:p w14:paraId="1A431D45"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1BC6A23B"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The regulation has a definition of vehicle.</w:t>
      </w:r>
    </w:p>
    <w:p w14:paraId="2E4A73D2"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794A1694"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“Vehicle” means either a device as defined in CVC section 670, or a yard tractor that is not intended for use on highways.</w:t>
      </w:r>
    </w:p>
    <w:p w14:paraId="2A511D0F"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04D49481"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CVC section 670. A “vehicle” is a device by which any person or property may be propelled, moved, or drawn upon a highway, excepting a device moved exclusively by human power or used exclusively upon stationary rails or tracks.</w:t>
      </w:r>
    </w:p>
    <w:p w14:paraId="6A51DA59"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470AE290" w14:textId="59EF5B8A" w:rsidR="006B74EA" w:rsidRPr="002B7F09" w:rsidRDefault="006B74EA" w:rsidP="006B74EA">
      <w:pPr>
        <w:pStyle w:val="v1msonormal"/>
        <w:shd w:val="clear" w:color="auto" w:fill="FFFFFF"/>
        <w:spacing w:before="0" w:beforeAutospacing="0" w:after="0" w:afterAutospacing="0"/>
      </w:pPr>
      <w:r w:rsidRPr="002B7F09">
        <w:rPr>
          <w:rFonts w:ascii="Calibri" w:hAnsi="Calibri" w:cs="Calibri"/>
          <w:sz w:val="22"/>
          <w:szCs w:val="22"/>
        </w:rPr>
        <w:t xml:space="preserve">We aren’t talking about vehicle applicability here; we are talking about the entity applicability. In </w:t>
      </w:r>
      <w:r w:rsidR="002B7F09">
        <w:rPr>
          <w:rFonts w:ascii="Calibri" w:hAnsi="Calibri" w:cs="Calibri"/>
          <w:sz w:val="22"/>
          <w:szCs w:val="22"/>
        </w:rPr>
        <w:t xml:space="preserve">our </w:t>
      </w:r>
      <w:r w:rsidRPr="002B7F09">
        <w:rPr>
          <w:rFonts w:ascii="Calibri" w:hAnsi="Calibri" w:cs="Calibri"/>
          <w:sz w:val="22"/>
          <w:szCs w:val="22"/>
        </w:rPr>
        <w:t>example the entity is subject to the rule and the vehicle scope still applies to the one vehicle within the scope.</w:t>
      </w:r>
    </w:p>
    <w:p w14:paraId="3FA81A2A" w14:textId="77777777"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w:t>
      </w:r>
    </w:p>
    <w:p w14:paraId="2F008B56" w14:textId="5CCFA824" w:rsidR="00FA5266" w:rsidRPr="002B7F09" w:rsidRDefault="00FA5266"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xml:space="preserve">With regulation language like this, why would </w:t>
      </w:r>
      <w:r w:rsidR="002B7F09">
        <w:rPr>
          <w:rFonts w:ascii="Calibri" w:hAnsi="Calibri" w:cs="Calibri"/>
          <w:sz w:val="22"/>
          <w:szCs w:val="22"/>
        </w:rPr>
        <w:t>CARB</w:t>
      </w:r>
      <w:r w:rsidRPr="002B7F09">
        <w:rPr>
          <w:rFonts w:ascii="Calibri" w:hAnsi="Calibri" w:cs="Calibri"/>
          <w:sz w:val="22"/>
          <w:szCs w:val="22"/>
        </w:rPr>
        <w:t xml:space="preserve"> consider lowering the number of vehicles in the total fleet to 10 when they are already drawing in lot of entities that have fewer than 10 vehicles with GVWR greater than 8,500 into the rule?</w:t>
      </w:r>
      <w:r w:rsidR="006B74EA" w:rsidRPr="002B7F09">
        <w:rPr>
          <w:rFonts w:ascii="Calibri" w:hAnsi="Calibri" w:cs="Calibri"/>
          <w:sz w:val="22"/>
          <w:szCs w:val="22"/>
        </w:rPr>
        <w:t xml:space="preserve"> The Board clearly rejected the idea of lowering the eligible fleet size from 50 to 10. </w:t>
      </w:r>
    </w:p>
    <w:p w14:paraId="404C8E3C" w14:textId="77777777" w:rsidR="006B74EA" w:rsidRPr="002B7F09" w:rsidRDefault="006B74EA" w:rsidP="00FA5266">
      <w:pPr>
        <w:pStyle w:val="v1msoplaintext"/>
        <w:shd w:val="clear" w:color="auto" w:fill="FFFFFF"/>
        <w:spacing w:before="0" w:beforeAutospacing="0" w:after="0" w:afterAutospacing="0"/>
        <w:rPr>
          <w:rFonts w:ascii="Calibri" w:hAnsi="Calibri" w:cs="Calibri"/>
          <w:sz w:val="22"/>
          <w:szCs w:val="22"/>
        </w:rPr>
      </w:pPr>
    </w:p>
    <w:p w14:paraId="0814EE89" w14:textId="56DEFDEB" w:rsidR="006B74EA" w:rsidRPr="002B7F09" w:rsidRDefault="006B74EA"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This change in definition clearly contradicts the language in the ISOR and the FSOR</w:t>
      </w:r>
      <w:r w:rsidR="005F3198" w:rsidRPr="002B7F09">
        <w:rPr>
          <w:rFonts w:ascii="Calibri" w:hAnsi="Calibri" w:cs="Calibri"/>
          <w:sz w:val="22"/>
          <w:szCs w:val="22"/>
        </w:rPr>
        <w:t>, and public notices, which</w:t>
      </w:r>
      <w:r w:rsidRPr="002B7F09">
        <w:rPr>
          <w:rFonts w:ascii="Calibri" w:hAnsi="Calibri" w:cs="Calibri"/>
          <w:sz w:val="22"/>
          <w:szCs w:val="22"/>
        </w:rPr>
        <w:t xml:space="preserve"> clearly intended fleets in excess of 50 vehicles to be subject to the rule. Further CARB has already stated their intent to prepare a second rule that would be adopted in 2027 that would bring all other fleets</w:t>
      </w:r>
      <w:r w:rsidR="005F3198" w:rsidRPr="002B7F09">
        <w:rPr>
          <w:rFonts w:ascii="Calibri" w:hAnsi="Calibri" w:cs="Calibri"/>
          <w:sz w:val="22"/>
          <w:szCs w:val="22"/>
        </w:rPr>
        <w:t xml:space="preserve"> with fewer than 50 vehicles. </w:t>
      </w:r>
    </w:p>
    <w:p w14:paraId="4A1E2FFE" w14:textId="77777777" w:rsidR="005F3198" w:rsidRPr="002B7F09" w:rsidRDefault="005F3198" w:rsidP="00FA5266">
      <w:pPr>
        <w:pStyle w:val="v1msoplaintext"/>
        <w:shd w:val="clear" w:color="auto" w:fill="FFFFFF"/>
        <w:spacing w:before="0" w:beforeAutospacing="0" w:after="0" w:afterAutospacing="0"/>
        <w:rPr>
          <w:rFonts w:ascii="Calibri" w:hAnsi="Calibri" w:cs="Calibri"/>
          <w:sz w:val="22"/>
          <w:szCs w:val="22"/>
        </w:rPr>
      </w:pPr>
    </w:p>
    <w:p w14:paraId="155362FD" w14:textId="3AFF2B01" w:rsidR="005F3198" w:rsidRPr="002B7F09" w:rsidRDefault="005F3198"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xml:space="preserve">As currently worded, the inconsistencies in the definitions of eligible fleets could </w:t>
      </w:r>
      <w:r w:rsidR="008D3BFD" w:rsidRPr="002B7F09">
        <w:rPr>
          <w:rFonts w:ascii="Calibri" w:hAnsi="Calibri" w:cs="Calibri"/>
          <w:sz w:val="22"/>
          <w:szCs w:val="22"/>
        </w:rPr>
        <w:t>lead</w:t>
      </w:r>
      <w:r w:rsidRPr="002B7F09">
        <w:rPr>
          <w:rFonts w:ascii="Calibri" w:hAnsi="Calibri" w:cs="Calibri"/>
          <w:sz w:val="22"/>
          <w:szCs w:val="22"/>
        </w:rPr>
        <w:t xml:space="preserve"> to confusion for the regulated community and litigation that could extend the rule to fleets that were never intended to be a part of the initial rule.  </w:t>
      </w:r>
    </w:p>
    <w:p w14:paraId="7ADF22A6" w14:textId="77777777" w:rsidR="005F3198" w:rsidRPr="002B7F09" w:rsidRDefault="005F3198" w:rsidP="00FA5266">
      <w:pPr>
        <w:pStyle w:val="v1msoplaintext"/>
        <w:shd w:val="clear" w:color="auto" w:fill="FFFFFF"/>
        <w:spacing w:before="0" w:beforeAutospacing="0" w:after="0" w:afterAutospacing="0"/>
        <w:rPr>
          <w:rFonts w:ascii="Calibri" w:hAnsi="Calibri" w:cs="Calibri"/>
          <w:sz w:val="22"/>
          <w:szCs w:val="22"/>
        </w:rPr>
      </w:pPr>
    </w:p>
    <w:p w14:paraId="29E18563" w14:textId="4F68A1A0" w:rsidR="005F3198" w:rsidRPr="002B7F09" w:rsidRDefault="005F3198"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 xml:space="preserve">CARB should be directed to clarify the language.  </w:t>
      </w:r>
    </w:p>
    <w:p w14:paraId="45C73043" w14:textId="77777777" w:rsidR="006B74EA" w:rsidRPr="002B7F09" w:rsidRDefault="006B74EA" w:rsidP="00FA5266">
      <w:pPr>
        <w:pStyle w:val="v1msoplaintext"/>
        <w:shd w:val="clear" w:color="auto" w:fill="FFFFFF"/>
        <w:spacing w:before="0" w:beforeAutospacing="0" w:after="0" w:afterAutospacing="0"/>
        <w:rPr>
          <w:rFonts w:ascii="Calibri" w:hAnsi="Calibri" w:cs="Calibri"/>
          <w:sz w:val="22"/>
          <w:szCs w:val="22"/>
        </w:rPr>
      </w:pPr>
    </w:p>
    <w:p w14:paraId="4FD72ECF" w14:textId="77777777" w:rsidR="005F3198" w:rsidRPr="002B7F09" w:rsidRDefault="005F3198"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Michael Lewis</w:t>
      </w:r>
    </w:p>
    <w:p w14:paraId="55DA82FB" w14:textId="77777777" w:rsidR="005F3198" w:rsidRPr="002B7F09" w:rsidRDefault="005F3198"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Senior Vice President</w:t>
      </w:r>
    </w:p>
    <w:p w14:paraId="57D1130A" w14:textId="77777777" w:rsidR="005F3198" w:rsidRPr="002B7F09" w:rsidRDefault="005F3198"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Construction Industry Air Quality Coalition</w:t>
      </w:r>
    </w:p>
    <w:p w14:paraId="6B6545D4" w14:textId="16C5DC81" w:rsidR="005F3198" w:rsidRPr="002B7F09" w:rsidRDefault="00000000" w:rsidP="00FA5266">
      <w:pPr>
        <w:pStyle w:val="v1msoplaintext"/>
        <w:shd w:val="clear" w:color="auto" w:fill="FFFFFF"/>
        <w:spacing w:before="0" w:beforeAutospacing="0" w:after="0" w:afterAutospacing="0"/>
        <w:rPr>
          <w:rFonts w:ascii="Calibri" w:hAnsi="Calibri" w:cs="Calibri"/>
          <w:sz w:val="22"/>
          <w:szCs w:val="22"/>
        </w:rPr>
      </w:pPr>
      <w:hyperlink r:id="rId6" w:history="1">
        <w:r w:rsidR="005F3198" w:rsidRPr="002B7F09">
          <w:rPr>
            <w:rStyle w:val="Hyperlink"/>
            <w:rFonts w:ascii="Calibri" w:hAnsi="Calibri" w:cs="Calibri"/>
            <w:color w:val="auto"/>
            <w:sz w:val="22"/>
            <w:szCs w:val="22"/>
          </w:rPr>
          <w:t>mike@lewisandco.net</w:t>
        </w:r>
      </w:hyperlink>
    </w:p>
    <w:p w14:paraId="23B90ED6" w14:textId="659CF7DB" w:rsidR="006B74EA" w:rsidRPr="002B7F09" w:rsidRDefault="005F3198" w:rsidP="00FA5266">
      <w:pPr>
        <w:pStyle w:val="v1msoplaintext"/>
        <w:shd w:val="clear" w:color="auto" w:fill="FFFFFF"/>
        <w:spacing w:before="0" w:beforeAutospacing="0" w:after="0" w:afterAutospacing="0"/>
        <w:rPr>
          <w:rFonts w:ascii="Calibri" w:hAnsi="Calibri" w:cs="Calibri"/>
          <w:sz w:val="22"/>
          <w:szCs w:val="22"/>
        </w:rPr>
      </w:pPr>
      <w:r w:rsidRPr="002B7F09">
        <w:rPr>
          <w:rFonts w:ascii="Calibri" w:hAnsi="Calibri" w:cs="Calibri"/>
          <w:sz w:val="22"/>
          <w:szCs w:val="22"/>
        </w:rPr>
        <w:t>951-206-4420</w:t>
      </w:r>
      <w:r w:rsidR="006B74EA" w:rsidRPr="002B7F09">
        <w:rPr>
          <w:rFonts w:ascii="Calibri" w:hAnsi="Calibri" w:cs="Calibri"/>
          <w:sz w:val="22"/>
          <w:szCs w:val="22"/>
        </w:rPr>
        <w:t xml:space="preserve">  </w:t>
      </w:r>
    </w:p>
    <w:p w14:paraId="42EE200F" w14:textId="77777777" w:rsidR="00FA5266" w:rsidRDefault="00FA5266" w:rsidP="00FA5266">
      <w:pPr>
        <w:pStyle w:val="v1msoplaintext"/>
        <w:shd w:val="clear" w:color="auto" w:fill="FFFFFF"/>
        <w:spacing w:before="0" w:beforeAutospacing="0" w:after="0" w:afterAutospacing="0"/>
        <w:rPr>
          <w:rFonts w:ascii="Calibri" w:hAnsi="Calibri" w:cs="Calibri"/>
          <w:color w:val="2F5496"/>
          <w:sz w:val="22"/>
          <w:szCs w:val="22"/>
        </w:rPr>
      </w:pPr>
      <w:r>
        <w:rPr>
          <w:rFonts w:ascii="Calibri" w:hAnsi="Calibri" w:cs="Calibri"/>
          <w:color w:val="2F5496"/>
          <w:sz w:val="22"/>
          <w:szCs w:val="22"/>
        </w:rPr>
        <w:t> </w:t>
      </w:r>
    </w:p>
    <w:p w14:paraId="4450B3AB" w14:textId="22731102" w:rsidR="00F66A99" w:rsidRDefault="00144838" w:rsidP="002B7F09">
      <w:pPr>
        <w:pStyle w:val="v1msonormal"/>
        <w:shd w:val="clear" w:color="auto" w:fill="FFFFFF"/>
        <w:spacing w:before="0" w:beforeAutospacing="0" w:after="0" w:afterAutospacing="0"/>
      </w:pPr>
      <w:r>
        <w:rPr>
          <w:rFonts w:ascii="Calibri" w:hAnsi="Calibri" w:cs="Calibri"/>
          <w:color w:val="2F5496"/>
          <w:sz w:val="22"/>
          <w:szCs w:val="22"/>
        </w:rPr>
        <w:t> </w:t>
      </w:r>
    </w:p>
    <w:sectPr w:rsidR="00F66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66"/>
    <w:rsid w:val="00144838"/>
    <w:rsid w:val="002B7F09"/>
    <w:rsid w:val="005F3198"/>
    <w:rsid w:val="006B74EA"/>
    <w:rsid w:val="008D3BFD"/>
    <w:rsid w:val="009753F7"/>
    <w:rsid w:val="009B647D"/>
    <w:rsid w:val="00D37027"/>
    <w:rsid w:val="00F66A99"/>
    <w:rsid w:val="00FA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C0D8"/>
  <w15:chartTrackingRefBased/>
  <w15:docId w15:val="{5F5E8AEB-032B-4908-B55F-E0F828EC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msoplaintext">
    <w:name w:val="v1msoplaintext"/>
    <w:basedOn w:val="Normal"/>
    <w:rsid w:val="00FA52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A5266"/>
    <w:rPr>
      <w:color w:val="0000FF"/>
      <w:u w:val="single"/>
    </w:rPr>
  </w:style>
  <w:style w:type="paragraph" w:customStyle="1" w:styleId="v1msonormal">
    <w:name w:val="v1msonormal"/>
    <w:basedOn w:val="Normal"/>
    <w:rsid w:val="001448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5F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5320">
      <w:bodyDiv w:val="1"/>
      <w:marLeft w:val="0"/>
      <w:marRight w:val="0"/>
      <w:marTop w:val="0"/>
      <w:marBottom w:val="0"/>
      <w:divBdr>
        <w:top w:val="none" w:sz="0" w:space="0" w:color="auto"/>
        <w:left w:val="none" w:sz="0" w:space="0" w:color="auto"/>
        <w:bottom w:val="none" w:sz="0" w:space="0" w:color="auto"/>
        <w:right w:val="none" w:sz="0" w:space="0" w:color="auto"/>
      </w:divBdr>
    </w:div>
    <w:div w:id="1579826412">
      <w:bodyDiv w:val="1"/>
      <w:marLeft w:val="0"/>
      <w:marRight w:val="0"/>
      <w:marTop w:val="0"/>
      <w:marBottom w:val="0"/>
      <w:divBdr>
        <w:top w:val="none" w:sz="0" w:space="0" w:color="auto"/>
        <w:left w:val="none" w:sz="0" w:space="0" w:color="auto"/>
        <w:bottom w:val="none" w:sz="0" w:space="0" w:color="auto"/>
        <w:right w:val="none" w:sz="0" w:space="0" w:color="auto"/>
      </w:divBdr>
    </w:div>
    <w:div w:id="17216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ke@lewisandco.net" TargetMode="External"/><Relationship Id="rId5" Type="http://schemas.openxmlformats.org/officeDocument/2006/relationships/hyperlink" Target="https://ww2.arb.ca.gov/sites/default/files/barcu/regact/2022/acf22/acf15da2.pdf" TargetMode="External"/><Relationship Id="rId4" Type="http://schemas.openxmlformats.org/officeDocument/2006/relationships/hyperlink" Target="mailto:staff@oal.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Lewis</dc:creator>
  <cp:keywords/>
  <dc:description/>
  <cp:lastModifiedBy>Michael Lewis</cp:lastModifiedBy>
  <cp:revision>7</cp:revision>
  <dcterms:created xsi:type="dcterms:W3CDTF">2023-07-25T18:06:00Z</dcterms:created>
  <dcterms:modified xsi:type="dcterms:W3CDTF">2023-07-25T21:25:00Z</dcterms:modified>
</cp:coreProperties>
</file>