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211"/>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627"/>
        <w:gridCol w:w="1784"/>
        <w:gridCol w:w="6692"/>
        <w:gridCol w:w="3801"/>
      </w:tblGrid>
      <w:tr w:rsidR="00925D75" w:rsidRPr="000307EF" w14:paraId="02E28433" w14:textId="77777777" w:rsidTr="00925D75">
        <w:trPr>
          <w:cantSplit/>
          <w:trHeight w:val="890"/>
          <w:tblHeader/>
        </w:trPr>
        <w:tc>
          <w:tcPr>
            <w:tcW w:w="5000" w:type="pct"/>
            <w:gridSpan w:val="5"/>
            <w:tcBorders>
              <w:top w:val="single" w:sz="4" w:space="0" w:color="auto"/>
              <w:left w:val="single" w:sz="4" w:space="0" w:color="auto"/>
              <w:bottom w:val="single" w:sz="4" w:space="0" w:color="auto"/>
              <w:right w:val="single" w:sz="4" w:space="0" w:color="auto"/>
            </w:tcBorders>
          </w:tcPr>
          <w:p w14:paraId="69A1215D" w14:textId="77777777" w:rsidR="004A61DE" w:rsidRDefault="004A61DE" w:rsidP="00925D75">
            <w:pPr>
              <w:pStyle w:val="Heading1"/>
              <w:rPr>
                <w:sz w:val="20"/>
              </w:rPr>
            </w:pPr>
            <w:bookmarkStart w:id="0" w:name="_GoBack"/>
            <w:bookmarkEnd w:id="0"/>
          </w:p>
          <w:p w14:paraId="6589E8A4" w14:textId="77777777" w:rsidR="00925D75" w:rsidRDefault="00925D75" w:rsidP="00925D75">
            <w:pPr>
              <w:pStyle w:val="Heading1"/>
              <w:rPr>
                <w:sz w:val="20"/>
              </w:rPr>
            </w:pPr>
            <w:r>
              <w:rPr>
                <w:sz w:val="20"/>
              </w:rPr>
              <w:t xml:space="preserve">Department of Defense </w:t>
            </w:r>
            <w:r w:rsidRPr="00DF4687">
              <w:rPr>
                <w:sz w:val="20"/>
              </w:rPr>
              <w:t>Comment Matrix</w:t>
            </w:r>
          </w:p>
          <w:p w14:paraId="76AEBF14" w14:textId="77777777" w:rsidR="00925D75" w:rsidRPr="00DF4687" w:rsidRDefault="00925D75" w:rsidP="00925D75">
            <w:pPr>
              <w:jc w:val="center"/>
            </w:pPr>
            <w:r>
              <w:t xml:space="preserve">Submitted: </w:t>
            </w:r>
            <w:r w:rsidR="00170963">
              <w:t>25</w:t>
            </w:r>
            <w:r w:rsidRPr="00EE1927">
              <w:t xml:space="preserve"> </w:t>
            </w:r>
            <w:r>
              <w:t>October</w:t>
            </w:r>
            <w:r w:rsidRPr="00AE6190">
              <w:t xml:space="preserve"> </w:t>
            </w:r>
            <w:r w:rsidR="00C21E4B">
              <w:t>2022</w:t>
            </w:r>
          </w:p>
          <w:p w14:paraId="28E56ADD" w14:textId="77777777" w:rsidR="00925D75" w:rsidRDefault="00925D75" w:rsidP="00925D75">
            <w:pPr>
              <w:pStyle w:val="Heading1"/>
              <w:rPr>
                <w:sz w:val="20"/>
              </w:rPr>
            </w:pPr>
          </w:p>
          <w:p w14:paraId="044158DC" w14:textId="77777777" w:rsidR="00925D75" w:rsidRDefault="00925D75" w:rsidP="00925D75">
            <w:pPr>
              <w:pStyle w:val="Heading1"/>
              <w:rPr>
                <w:sz w:val="20"/>
              </w:rPr>
            </w:pPr>
            <w:r>
              <w:rPr>
                <w:sz w:val="20"/>
              </w:rPr>
              <w:t xml:space="preserve">California Air Resources Board </w:t>
            </w:r>
          </w:p>
          <w:p w14:paraId="59FAA8B7" w14:textId="77777777" w:rsidR="00925D75" w:rsidRDefault="00170963" w:rsidP="00925D75">
            <w:pPr>
              <w:jc w:val="center"/>
              <w:rPr>
                <w:b/>
              </w:rPr>
            </w:pPr>
            <w:r>
              <w:rPr>
                <w:b/>
              </w:rPr>
              <w:t>Commercial Harbor Craft</w:t>
            </w:r>
            <w:r w:rsidR="00BB30B4">
              <w:rPr>
                <w:b/>
              </w:rPr>
              <w:t xml:space="preserve"> Regulation</w:t>
            </w:r>
          </w:p>
          <w:p w14:paraId="0027688C" w14:textId="77777777" w:rsidR="00925D75" w:rsidRPr="00A52E83" w:rsidRDefault="00925D75" w:rsidP="00925D75">
            <w:pPr>
              <w:rPr>
                <w:b/>
              </w:rPr>
            </w:pPr>
          </w:p>
        </w:tc>
      </w:tr>
      <w:tr w:rsidR="00925D75" w:rsidRPr="000307EF" w14:paraId="2F51FCD2" w14:textId="77777777" w:rsidTr="00170963">
        <w:trPr>
          <w:cantSplit/>
          <w:tblHeader/>
        </w:trPr>
        <w:tc>
          <w:tcPr>
            <w:tcW w:w="380" w:type="pct"/>
            <w:vMerge w:val="restart"/>
            <w:tcBorders>
              <w:left w:val="single" w:sz="4" w:space="0" w:color="auto"/>
            </w:tcBorders>
            <w:vAlign w:val="center"/>
          </w:tcPr>
          <w:p w14:paraId="46F65AFD" w14:textId="77777777" w:rsidR="00925D75" w:rsidRPr="000307EF" w:rsidRDefault="00925D75" w:rsidP="00925D75">
            <w:pPr>
              <w:spacing w:before="60" w:after="60"/>
              <w:jc w:val="center"/>
              <w:rPr>
                <w:b/>
              </w:rPr>
            </w:pPr>
            <w:r>
              <w:rPr>
                <w:b/>
              </w:rPr>
              <w:t xml:space="preserve">Comment </w:t>
            </w:r>
            <w:r w:rsidRPr="000307EF">
              <w:rPr>
                <w:b/>
              </w:rPr>
              <w:t>#</w:t>
            </w:r>
          </w:p>
        </w:tc>
        <w:tc>
          <w:tcPr>
            <w:tcW w:w="863" w:type="pct"/>
            <w:gridSpan w:val="2"/>
          </w:tcPr>
          <w:p w14:paraId="740D888B" w14:textId="77777777" w:rsidR="00925D75" w:rsidRPr="000307EF" w:rsidRDefault="00925D75" w:rsidP="00925D75">
            <w:pPr>
              <w:spacing w:before="60" w:after="60"/>
              <w:jc w:val="center"/>
              <w:rPr>
                <w:b/>
              </w:rPr>
            </w:pPr>
            <w:r w:rsidRPr="000307EF">
              <w:rPr>
                <w:b/>
              </w:rPr>
              <w:t>Location</w:t>
            </w:r>
          </w:p>
        </w:tc>
        <w:tc>
          <w:tcPr>
            <w:tcW w:w="2396" w:type="pct"/>
            <w:vAlign w:val="center"/>
          </w:tcPr>
          <w:p w14:paraId="463C24F2" w14:textId="77777777" w:rsidR="00925D75" w:rsidRPr="000307EF" w:rsidRDefault="00925D75" w:rsidP="00925D75">
            <w:pPr>
              <w:spacing w:before="60" w:after="60"/>
              <w:jc w:val="center"/>
              <w:rPr>
                <w:b/>
              </w:rPr>
            </w:pPr>
            <w:r>
              <w:rPr>
                <w:b/>
              </w:rPr>
              <w:t xml:space="preserve">Department of Defense </w:t>
            </w:r>
            <w:r w:rsidRPr="000307EF">
              <w:rPr>
                <w:b/>
              </w:rPr>
              <w:t>Comment</w:t>
            </w:r>
          </w:p>
        </w:tc>
        <w:tc>
          <w:tcPr>
            <w:tcW w:w="1361" w:type="pct"/>
            <w:vAlign w:val="center"/>
          </w:tcPr>
          <w:p w14:paraId="0C6239D9" w14:textId="77777777" w:rsidR="00925D75" w:rsidRPr="000307EF" w:rsidRDefault="00925D75" w:rsidP="00925D75">
            <w:pPr>
              <w:spacing w:before="60" w:after="60"/>
              <w:jc w:val="center"/>
              <w:rPr>
                <w:b/>
              </w:rPr>
            </w:pPr>
            <w:r>
              <w:rPr>
                <w:b/>
              </w:rPr>
              <w:t xml:space="preserve">Requested Revision </w:t>
            </w:r>
          </w:p>
        </w:tc>
      </w:tr>
      <w:tr w:rsidR="00925D75" w:rsidRPr="000307EF" w14:paraId="1F75C4EF" w14:textId="77777777" w:rsidTr="00170963">
        <w:trPr>
          <w:cantSplit/>
          <w:tblHeader/>
        </w:trPr>
        <w:tc>
          <w:tcPr>
            <w:tcW w:w="380" w:type="pct"/>
            <w:vMerge/>
            <w:tcBorders>
              <w:left w:val="single" w:sz="4" w:space="0" w:color="auto"/>
              <w:bottom w:val="thinThickSmallGap" w:sz="24" w:space="0" w:color="auto"/>
            </w:tcBorders>
            <w:vAlign w:val="center"/>
          </w:tcPr>
          <w:p w14:paraId="775CC699" w14:textId="77777777" w:rsidR="00925D75" w:rsidRPr="000307EF" w:rsidRDefault="00925D75" w:rsidP="00925D75">
            <w:pPr>
              <w:spacing w:before="60" w:after="60"/>
              <w:jc w:val="center"/>
              <w:rPr>
                <w:b/>
              </w:rPr>
            </w:pPr>
          </w:p>
        </w:tc>
        <w:tc>
          <w:tcPr>
            <w:tcW w:w="224" w:type="pct"/>
            <w:tcBorders>
              <w:bottom w:val="thinThickSmallGap" w:sz="24" w:space="0" w:color="auto"/>
            </w:tcBorders>
            <w:vAlign w:val="center"/>
          </w:tcPr>
          <w:p w14:paraId="3D3BD245" w14:textId="77777777" w:rsidR="00925D75" w:rsidRPr="000307EF" w:rsidRDefault="00925D75" w:rsidP="00925D75">
            <w:pPr>
              <w:spacing w:before="60" w:after="60"/>
              <w:jc w:val="center"/>
              <w:rPr>
                <w:b/>
              </w:rPr>
            </w:pPr>
            <w:r w:rsidRPr="000307EF">
              <w:rPr>
                <w:b/>
              </w:rPr>
              <w:t>Page</w:t>
            </w:r>
          </w:p>
        </w:tc>
        <w:tc>
          <w:tcPr>
            <w:tcW w:w="639" w:type="pct"/>
            <w:tcBorders>
              <w:bottom w:val="thinThickSmallGap" w:sz="24" w:space="0" w:color="auto"/>
            </w:tcBorders>
            <w:vAlign w:val="center"/>
          </w:tcPr>
          <w:p w14:paraId="3AFE701E" w14:textId="77777777" w:rsidR="00925D75" w:rsidRPr="000307EF" w:rsidRDefault="00925D75" w:rsidP="00925D75">
            <w:pPr>
              <w:spacing w:before="60" w:after="60"/>
              <w:jc w:val="center"/>
              <w:rPr>
                <w:b/>
              </w:rPr>
            </w:pPr>
            <w:r w:rsidRPr="000307EF">
              <w:rPr>
                <w:b/>
              </w:rPr>
              <w:t>Section</w:t>
            </w:r>
          </w:p>
        </w:tc>
        <w:tc>
          <w:tcPr>
            <w:tcW w:w="2396" w:type="pct"/>
            <w:tcBorders>
              <w:bottom w:val="thinThickSmallGap" w:sz="24" w:space="0" w:color="auto"/>
            </w:tcBorders>
            <w:vAlign w:val="center"/>
          </w:tcPr>
          <w:p w14:paraId="4E1FFA93" w14:textId="77777777" w:rsidR="00925D75" w:rsidRPr="000307EF" w:rsidRDefault="00925D75" w:rsidP="00925D75">
            <w:pPr>
              <w:spacing w:before="60" w:after="60"/>
              <w:rPr>
                <w:b/>
              </w:rPr>
            </w:pPr>
          </w:p>
        </w:tc>
        <w:tc>
          <w:tcPr>
            <w:tcW w:w="1361" w:type="pct"/>
            <w:tcBorders>
              <w:bottom w:val="thinThickSmallGap" w:sz="24" w:space="0" w:color="auto"/>
            </w:tcBorders>
            <w:vAlign w:val="center"/>
          </w:tcPr>
          <w:p w14:paraId="3BDCC4C6" w14:textId="77777777" w:rsidR="00925D75" w:rsidRPr="000307EF" w:rsidRDefault="00925D75" w:rsidP="00925D75">
            <w:pPr>
              <w:spacing w:before="60" w:after="60"/>
              <w:rPr>
                <w:b/>
              </w:rPr>
            </w:pPr>
          </w:p>
        </w:tc>
      </w:tr>
      <w:tr w:rsidR="00925D75" w:rsidRPr="000307EF" w14:paraId="07AF1380" w14:textId="77777777" w:rsidTr="00170963">
        <w:trPr>
          <w:cantSplit/>
          <w:trHeight w:val="1257"/>
        </w:trPr>
        <w:tc>
          <w:tcPr>
            <w:tcW w:w="380" w:type="pct"/>
            <w:tcBorders>
              <w:left w:val="single" w:sz="4" w:space="0" w:color="auto"/>
            </w:tcBorders>
          </w:tcPr>
          <w:p w14:paraId="0410D8F9" w14:textId="77777777" w:rsidR="00925D75" w:rsidRPr="000307EF" w:rsidRDefault="00BE5366" w:rsidP="00925D75">
            <w:pPr>
              <w:tabs>
                <w:tab w:val="left" w:pos="102"/>
              </w:tabs>
              <w:spacing w:before="60" w:after="60"/>
              <w:ind w:left="180"/>
              <w:jc w:val="center"/>
            </w:pPr>
            <w:r>
              <w:t>1</w:t>
            </w:r>
          </w:p>
        </w:tc>
        <w:tc>
          <w:tcPr>
            <w:tcW w:w="224" w:type="pct"/>
            <w:tcBorders>
              <w:top w:val="single" w:sz="4" w:space="0" w:color="auto"/>
              <w:bottom w:val="single" w:sz="4" w:space="0" w:color="auto"/>
            </w:tcBorders>
          </w:tcPr>
          <w:p w14:paraId="15607B43" w14:textId="77777777" w:rsidR="00925D75" w:rsidRPr="000307EF" w:rsidRDefault="00925D75" w:rsidP="00925D75">
            <w:pPr>
              <w:spacing w:before="60" w:after="60"/>
              <w:jc w:val="center"/>
            </w:pPr>
          </w:p>
        </w:tc>
        <w:tc>
          <w:tcPr>
            <w:tcW w:w="639" w:type="pct"/>
          </w:tcPr>
          <w:p w14:paraId="316572A9" w14:textId="77777777" w:rsidR="005048B3" w:rsidRPr="000307EF" w:rsidRDefault="00170963" w:rsidP="005048B3">
            <w:pPr>
              <w:spacing w:before="60" w:after="60"/>
              <w:jc w:val="center"/>
            </w:pPr>
            <w:r>
              <w:t>General Comment for Section 93118.5.</w:t>
            </w:r>
          </w:p>
        </w:tc>
        <w:tc>
          <w:tcPr>
            <w:tcW w:w="2396" w:type="pct"/>
          </w:tcPr>
          <w:p w14:paraId="7FB73DBD" w14:textId="44527E3D" w:rsidR="002B4CB2" w:rsidRDefault="00186124" w:rsidP="00256693">
            <w:pPr>
              <w:pStyle w:val="CommentText"/>
            </w:pPr>
            <w:r>
              <w:t xml:space="preserve">This regulation emphasizes in its initial purpose and intent, and in multiple sections </w:t>
            </w:r>
            <w:r w:rsidR="00C34192">
              <w:t>throughout its entirety, that it is meant</w:t>
            </w:r>
            <w:r>
              <w:t xml:space="preserve"> to reduce</w:t>
            </w:r>
            <w:r w:rsidR="00C34192">
              <w:t xml:space="preserve"> specific</w:t>
            </w:r>
            <w:r>
              <w:t xml:space="preserve"> emissions from </w:t>
            </w:r>
            <w:r w:rsidRPr="002B4CB2">
              <w:t xml:space="preserve">diesel </w:t>
            </w:r>
            <w:r w:rsidR="00C34192" w:rsidRPr="002B4CB2">
              <w:t>propulsion and auxiliary engines</w:t>
            </w:r>
            <w:r>
              <w:t xml:space="preserve"> </w:t>
            </w:r>
            <w:r w:rsidR="00C34192">
              <w:t xml:space="preserve">(“diesel” is written 147 times, including revisions). Although the applicability section states that </w:t>
            </w:r>
            <w:r w:rsidR="00343558">
              <w:t>as of</w:t>
            </w:r>
            <w:r w:rsidR="00C34192">
              <w:t xml:space="preserve"> January 1, 2023</w:t>
            </w:r>
            <w:r w:rsidR="00343558">
              <w:t xml:space="preserve"> this regulations applies,</w:t>
            </w:r>
            <w:r w:rsidR="00C34192">
              <w:t xml:space="preserve"> </w:t>
            </w:r>
            <w:r w:rsidR="00343558">
              <w:t>“</w:t>
            </w:r>
            <w:r w:rsidR="00C34192">
              <w:t>to any new or in-use harbor craft, regardless of fuel type,</w:t>
            </w:r>
            <w:r w:rsidR="00343558">
              <w:t>”</w:t>
            </w:r>
            <w:r w:rsidR="004A61DE">
              <w:t xml:space="preserve"> a</w:t>
            </w:r>
            <w:r w:rsidR="005048B3">
              <w:t xml:space="preserve">nd in the most recent revision </w:t>
            </w:r>
            <w:r w:rsidR="004A61DE">
              <w:t>the word “diesel” was struck from Section (8) on page 59 of 124</w:t>
            </w:r>
            <w:r w:rsidR="005048B3">
              <w:t xml:space="preserve"> as follows</w:t>
            </w:r>
            <w:r w:rsidR="004A61DE">
              <w:t xml:space="preserve">, “All Harbor Craft (Excluding Commercial Fishing Vessels) – Requirements for New and Newly Acquired </w:t>
            </w:r>
            <w:r w:rsidR="004A61DE" w:rsidRPr="00FF7764">
              <w:rPr>
                <w:strike/>
              </w:rPr>
              <w:t>Diesel</w:t>
            </w:r>
            <w:r w:rsidR="004A61DE">
              <w:t xml:space="preserve"> Engines (Applicable On and After January 1, 2023),” it remains</w:t>
            </w:r>
            <w:r w:rsidR="00C34192">
              <w:t xml:space="preserve"> unclear as</w:t>
            </w:r>
            <w:r w:rsidR="00343558">
              <w:t xml:space="preserve"> to</w:t>
            </w:r>
            <w:r w:rsidR="00C34192">
              <w:t xml:space="preserve"> what thresholds these alternative fueled craft/engines are included</w:t>
            </w:r>
            <w:r w:rsidR="005048B3">
              <w:t>/regulated,</w:t>
            </w:r>
            <w:r w:rsidR="00C34192">
              <w:t xml:space="preserve"> and thus what requirements become applicable to them (“alternative-fuel/s” is written 6 times and “gasoline” is written 1 time, including revisions)</w:t>
            </w:r>
            <w:r w:rsidR="00343558">
              <w:t>.  This lack of clarity is exacerbated by the majority inclusion of diesel technical standards</w:t>
            </w:r>
            <w:r w:rsidR="00C12454">
              <w:t xml:space="preserve"> </w:t>
            </w:r>
            <w:r w:rsidR="00C12454" w:rsidRPr="002B4CB2">
              <w:t>and testing</w:t>
            </w:r>
            <w:r w:rsidR="00343558" w:rsidRPr="002B4CB2">
              <w:t xml:space="preserve"> </w:t>
            </w:r>
            <w:r w:rsidR="00343558">
              <w:t>for regulated crafts/engines.</w:t>
            </w:r>
            <w:r w:rsidR="002B4CB2">
              <w:t xml:space="preserve"> </w:t>
            </w:r>
            <w:r w:rsidR="00256693">
              <w:t xml:space="preserve">For example, new language was </w:t>
            </w:r>
            <w:r w:rsidR="000629C9">
              <w:t>added</w:t>
            </w:r>
            <w:r w:rsidR="00256693">
              <w:t xml:space="preserve"> to section (q)(1) on page 123 of 124</w:t>
            </w:r>
            <w:r w:rsidR="002B4CB2">
              <w:t xml:space="preserve"> </w:t>
            </w:r>
            <w:r w:rsidR="00256693">
              <w:t xml:space="preserve">that </w:t>
            </w:r>
            <w:r w:rsidR="002B4CB2">
              <w:t>reads</w:t>
            </w:r>
            <w:r w:rsidR="00256693">
              <w:t>,</w:t>
            </w:r>
            <w:r w:rsidR="002B4CB2">
              <w:t xml:space="preserve"> “</w:t>
            </w:r>
            <w:r w:rsidR="002B4CB2" w:rsidRPr="008B510F">
              <w:rPr>
                <w:u w:val="double"/>
              </w:rPr>
              <w:t>When conducting testing procedures, engines may be fueled using CARB diesel, or U.S. EPA nonroad diesel fuel</w:t>
            </w:r>
            <w:r w:rsidR="002B4CB2">
              <w:t>….”</w:t>
            </w:r>
          </w:p>
          <w:p w14:paraId="1BEC9583" w14:textId="0AA676B6" w:rsidR="00925D75" w:rsidRPr="00183825" w:rsidRDefault="00925D75" w:rsidP="00343558">
            <w:pPr>
              <w:spacing w:before="60" w:after="60"/>
            </w:pPr>
          </w:p>
        </w:tc>
        <w:tc>
          <w:tcPr>
            <w:tcW w:w="1361" w:type="pct"/>
          </w:tcPr>
          <w:p w14:paraId="5E308D71" w14:textId="77777777" w:rsidR="00925D75" w:rsidRPr="000307EF" w:rsidRDefault="00BE5366" w:rsidP="00623281">
            <w:r>
              <w:t xml:space="preserve">Recommend </w:t>
            </w:r>
            <w:r w:rsidR="00343558">
              <w:t xml:space="preserve">revising the proposed regulation in a way that brings clarity to </w:t>
            </w:r>
            <w:r w:rsidR="00097B0D">
              <w:t xml:space="preserve">the applicability of </w:t>
            </w:r>
            <w:r w:rsidR="00343558">
              <w:t>alternatively-fueled harbor craft and engines</w:t>
            </w:r>
            <w:r w:rsidR="00097B0D">
              <w:t xml:space="preserve"> (inboard and outboard);</w:t>
            </w:r>
            <w:r w:rsidR="00343558">
              <w:t xml:space="preserve"> specifically </w:t>
            </w:r>
            <w:r w:rsidR="00C37DBA">
              <w:t xml:space="preserve">address </w:t>
            </w:r>
            <w:r w:rsidR="00343558">
              <w:t xml:space="preserve">gasoline-powered harbor craft and engines based on </w:t>
            </w:r>
            <w:r w:rsidR="00097B0D">
              <w:t xml:space="preserve">their </w:t>
            </w:r>
            <w:r w:rsidR="00343558">
              <w:t>prevalence</w:t>
            </w:r>
            <w:r w:rsidR="005048B3">
              <w:t xml:space="preserve"> in small craft</w:t>
            </w:r>
            <w:r w:rsidR="00097B0D">
              <w:t>.</w:t>
            </w:r>
            <w:r w:rsidR="00351A82">
              <w:t xml:space="preserve">  </w:t>
            </w:r>
          </w:p>
        </w:tc>
      </w:tr>
      <w:tr w:rsidR="00F76E7F" w:rsidRPr="000307EF" w14:paraId="36D421B1" w14:textId="77777777" w:rsidTr="00170963">
        <w:trPr>
          <w:cantSplit/>
        </w:trPr>
        <w:tc>
          <w:tcPr>
            <w:tcW w:w="380" w:type="pct"/>
            <w:tcBorders>
              <w:left w:val="single" w:sz="4" w:space="0" w:color="auto"/>
            </w:tcBorders>
          </w:tcPr>
          <w:p w14:paraId="628BDB1B" w14:textId="77777777" w:rsidR="00F76E7F" w:rsidRDefault="0004062A" w:rsidP="00925D75">
            <w:pPr>
              <w:tabs>
                <w:tab w:val="left" w:pos="102"/>
              </w:tabs>
              <w:spacing w:before="60" w:after="60"/>
              <w:ind w:left="180"/>
              <w:jc w:val="center"/>
            </w:pPr>
            <w:r>
              <w:t>2</w:t>
            </w:r>
          </w:p>
        </w:tc>
        <w:tc>
          <w:tcPr>
            <w:tcW w:w="224" w:type="pct"/>
            <w:tcBorders>
              <w:top w:val="single" w:sz="4" w:space="0" w:color="auto"/>
              <w:bottom w:val="single" w:sz="4" w:space="0" w:color="auto"/>
            </w:tcBorders>
          </w:tcPr>
          <w:p w14:paraId="2A619132" w14:textId="77777777" w:rsidR="00F76E7F" w:rsidRDefault="00623281" w:rsidP="00925D75">
            <w:pPr>
              <w:spacing w:before="60" w:after="60"/>
              <w:jc w:val="center"/>
            </w:pPr>
            <w:r>
              <w:t>7 of 124</w:t>
            </w:r>
          </w:p>
        </w:tc>
        <w:tc>
          <w:tcPr>
            <w:tcW w:w="639" w:type="pct"/>
          </w:tcPr>
          <w:p w14:paraId="7C0C04B3" w14:textId="77777777" w:rsidR="00F76E7F" w:rsidRPr="001370DF" w:rsidRDefault="00170963" w:rsidP="00925D75">
            <w:pPr>
              <w:spacing w:before="60" w:after="60"/>
              <w:jc w:val="center"/>
            </w:pPr>
            <w:r>
              <w:t>Section 93118.5.</w:t>
            </w:r>
            <w:r w:rsidR="00623281">
              <w:t>(c)(3)(5)</w:t>
            </w:r>
          </w:p>
        </w:tc>
        <w:tc>
          <w:tcPr>
            <w:tcW w:w="2396" w:type="pct"/>
          </w:tcPr>
          <w:p w14:paraId="741D498D" w14:textId="77777777" w:rsidR="00F76E7F" w:rsidRPr="00183825" w:rsidRDefault="00623281" w:rsidP="009D71E7">
            <w:pPr>
              <w:spacing w:before="60" w:after="60"/>
            </w:pPr>
            <w:r>
              <w:t>This section conflates the exemptions for recreational vessels and alternatively-fueled commercial harbor craft by combining them in the following way, “A recreational vessel or any alternative fueled vessel that carries 6 or fewer passengers and that is not required to be documented with the U.S. Coast Guard pursuant to 46 CFR 67.7 as last amended on September 25, 2009 and 46 CFR 67.9 as published on November 15, 1993, which are incorporated by reference herein, is exempt from this section in its entirety;”</w:t>
            </w:r>
          </w:p>
        </w:tc>
        <w:tc>
          <w:tcPr>
            <w:tcW w:w="1361" w:type="pct"/>
          </w:tcPr>
          <w:p w14:paraId="229B9040" w14:textId="77777777" w:rsidR="00F76E7F" w:rsidRDefault="00F76E7F" w:rsidP="00F76E7F">
            <w:r>
              <w:t xml:space="preserve">Recommend </w:t>
            </w:r>
            <w:r w:rsidR="00623281">
              <w:t>splitting this exemption into two separate exemptions, one specific to recreational vessels and one specific to alternatively-fueled commercial harbor craft</w:t>
            </w:r>
            <w:r w:rsidR="0018450C">
              <w:t>.  This would better clarify the details of the exemption for recreation vessels versus alternatively-fueled harbor craft, and ensure that both stakeholder groups are equally likely to see the exemption applicable to them when reading this regulation.</w:t>
            </w:r>
          </w:p>
          <w:p w14:paraId="44F99BA0" w14:textId="77777777" w:rsidR="00F76E7F" w:rsidRPr="009D71E7" w:rsidRDefault="00F76E7F" w:rsidP="00925D75"/>
        </w:tc>
      </w:tr>
      <w:tr w:rsidR="00CC4976" w:rsidRPr="000307EF" w14:paraId="4C6C9AA4" w14:textId="77777777" w:rsidTr="00170963">
        <w:trPr>
          <w:cantSplit/>
        </w:trPr>
        <w:tc>
          <w:tcPr>
            <w:tcW w:w="380" w:type="pct"/>
            <w:tcBorders>
              <w:left w:val="single" w:sz="4" w:space="0" w:color="auto"/>
            </w:tcBorders>
          </w:tcPr>
          <w:p w14:paraId="4B43B35B" w14:textId="216909F4" w:rsidR="00CC4976" w:rsidRDefault="00215265" w:rsidP="00925D75">
            <w:pPr>
              <w:tabs>
                <w:tab w:val="left" w:pos="102"/>
              </w:tabs>
              <w:spacing w:before="60" w:after="60"/>
              <w:ind w:left="180"/>
              <w:jc w:val="center"/>
            </w:pPr>
            <w:r>
              <w:lastRenderedPageBreak/>
              <w:t>3</w:t>
            </w:r>
          </w:p>
        </w:tc>
        <w:tc>
          <w:tcPr>
            <w:tcW w:w="224" w:type="pct"/>
            <w:tcBorders>
              <w:top w:val="single" w:sz="4" w:space="0" w:color="auto"/>
              <w:bottom w:val="single" w:sz="4" w:space="0" w:color="auto"/>
            </w:tcBorders>
          </w:tcPr>
          <w:p w14:paraId="7F447F19" w14:textId="629EF7DC" w:rsidR="00CC4976" w:rsidRDefault="00215265" w:rsidP="00925D75">
            <w:pPr>
              <w:spacing w:before="60" w:after="60"/>
              <w:jc w:val="center"/>
            </w:pPr>
            <w:r>
              <w:t>16 of 24</w:t>
            </w:r>
          </w:p>
        </w:tc>
        <w:tc>
          <w:tcPr>
            <w:tcW w:w="639" w:type="pct"/>
          </w:tcPr>
          <w:p w14:paraId="01CCE882" w14:textId="3120FAD7" w:rsidR="00CC4976" w:rsidRDefault="002E4698" w:rsidP="00925D75">
            <w:pPr>
              <w:spacing w:before="60" w:after="60"/>
              <w:jc w:val="center"/>
            </w:pPr>
            <w:r>
              <w:t>Section 93118.5.</w:t>
            </w:r>
            <w:r w:rsidR="000D685C">
              <w:t>(d)</w:t>
            </w:r>
          </w:p>
        </w:tc>
        <w:tc>
          <w:tcPr>
            <w:tcW w:w="2396" w:type="pct"/>
          </w:tcPr>
          <w:p w14:paraId="2D00719C" w14:textId="738D6B6F" w:rsidR="00CC4976" w:rsidRDefault="002E4698" w:rsidP="009D71E7">
            <w:pPr>
              <w:spacing w:before="60" w:after="60"/>
            </w:pPr>
            <w:r>
              <w:t>T</w:t>
            </w:r>
            <w:r w:rsidR="00791C9D">
              <w:t>o improve clarity t</w:t>
            </w:r>
            <w:r>
              <w:t>he words, “but is not limited to” were removed from the definition of “Facility,” leaving the revised definition as, “any port, marine terminal, oil terminal, marina, harbor, and land with docks for allowing a commercial harbor craft to dock, moor</w:t>
            </w:r>
            <w:r w:rsidR="00904372">
              <w:t>, or otherwise conduct commerce.</w:t>
            </w:r>
            <w:r>
              <w:t xml:space="preserve">” </w:t>
            </w:r>
          </w:p>
        </w:tc>
        <w:tc>
          <w:tcPr>
            <w:tcW w:w="1361" w:type="pct"/>
          </w:tcPr>
          <w:p w14:paraId="051331DD" w14:textId="7E395D25" w:rsidR="00CC4976" w:rsidRDefault="002E4698" w:rsidP="00F76E7F">
            <w:r>
              <w:t xml:space="preserve">To further improve clarity </w:t>
            </w:r>
            <w:r w:rsidR="009D362A">
              <w:t xml:space="preserve">in this section, and in </w:t>
            </w:r>
            <w:r w:rsidR="00791C9D">
              <w:t xml:space="preserve">follow-on sections relevant to </w:t>
            </w:r>
            <w:r w:rsidR="009D362A">
              <w:t>f</w:t>
            </w:r>
            <w:r w:rsidR="00791C9D">
              <w:t>acility requirements, it is recommended that the words “commercial harbor craft” are replaced with “vessels subject to this regulation” in the definition of “Facility.”</w:t>
            </w:r>
          </w:p>
        </w:tc>
      </w:tr>
    </w:tbl>
    <w:p w14:paraId="031D519B" w14:textId="77777777" w:rsidR="00C66BB8" w:rsidRDefault="00C66BB8"/>
    <w:sectPr w:rsidR="00C66BB8" w:rsidSect="00661FD8">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FD7D7" w14:textId="77777777" w:rsidR="00C23B6C" w:rsidRDefault="00C23B6C" w:rsidP="00237766">
      <w:r>
        <w:separator/>
      </w:r>
    </w:p>
  </w:endnote>
  <w:endnote w:type="continuationSeparator" w:id="0">
    <w:p w14:paraId="5421433F" w14:textId="77777777" w:rsidR="00C23B6C" w:rsidRDefault="00C23B6C" w:rsidP="0023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908123"/>
      <w:docPartObj>
        <w:docPartGallery w:val="Page Numbers (Bottom of Page)"/>
        <w:docPartUnique/>
      </w:docPartObj>
    </w:sdtPr>
    <w:sdtEndPr>
      <w:rPr>
        <w:noProof/>
      </w:rPr>
    </w:sdtEndPr>
    <w:sdtContent>
      <w:p w14:paraId="2939146B" w14:textId="580440FC" w:rsidR="00237766" w:rsidRDefault="00237766">
        <w:pPr>
          <w:pStyle w:val="Footer"/>
        </w:pPr>
        <w:r>
          <w:fldChar w:fldCharType="begin"/>
        </w:r>
        <w:r>
          <w:instrText xml:space="preserve"> PAGE   \* MERGEFORMAT </w:instrText>
        </w:r>
        <w:r>
          <w:fldChar w:fldCharType="separate"/>
        </w:r>
        <w:r w:rsidR="009614AA">
          <w:rPr>
            <w:noProof/>
          </w:rPr>
          <w:t>1</w:t>
        </w:r>
        <w:r>
          <w:rPr>
            <w:noProof/>
          </w:rPr>
          <w:fldChar w:fldCharType="end"/>
        </w:r>
      </w:p>
    </w:sdtContent>
  </w:sdt>
  <w:p w14:paraId="0DD10406" w14:textId="77777777" w:rsidR="00237766" w:rsidRDefault="0023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0D9D5" w14:textId="77777777" w:rsidR="00C23B6C" w:rsidRDefault="00C23B6C" w:rsidP="00237766">
      <w:r>
        <w:separator/>
      </w:r>
    </w:p>
  </w:footnote>
  <w:footnote w:type="continuationSeparator" w:id="0">
    <w:p w14:paraId="4B5A97FB" w14:textId="77777777" w:rsidR="00C23B6C" w:rsidRDefault="00C23B6C" w:rsidP="00237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07221"/>
    <w:multiLevelType w:val="hybridMultilevel"/>
    <w:tmpl w:val="4FC83DFE"/>
    <w:lvl w:ilvl="0" w:tplc="70F6E994">
      <w:start w:val="20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A60E8"/>
    <w:multiLevelType w:val="hybridMultilevel"/>
    <w:tmpl w:val="C39C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D8"/>
    <w:rsid w:val="00007FFB"/>
    <w:rsid w:val="00032245"/>
    <w:rsid w:val="0004062A"/>
    <w:rsid w:val="000511BE"/>
    <w:rsid w:val="00053180"/>
    <w:rsid w:val="00061FA3"/>
    <w:rsid w:val="000629C9"/>
    <w:rsid w:val="0007373A"/>
    <w:rsid w:val="00075C24"/>
    <w:rsid w:val="00097B0D"/>
    <w:rsid w:val="000A7520"/>
    <w:rsid w:val="000C6B8A"/>
    <w:rsid w:val="000D685C"/>
    <w:rsid w:val="000E530C"/>
    <w:rsid w:val="00103F59"/>
    <w:rsid w:val="00133861"/>
    <w:rsid w:val="00151AF2"/>
    <w:rsid w:val="00170963"/>
    <w:rsid w:val="0018450C"/>
    <w:rsid w:val="00186124"/>
    <w:rsid w:val="0019155D"/>
    <w:rsid w:val="001A1CEE"/>
    <w:rsid w:val="001E6094"/>
    <w:rsid w:val="00215265"/>
    <w:rsid w:val="00237766"/>
    <w:rsid w:val="002410D2"/>
    <w:rsid w:val="00246B8B"/>
    <w:rsid w:val="00256693"/>
    <w:rsid w:val="00275E46"/>
    <w:rsid w:val="0028054B"/>
    <w:rsid w:val="00296DF1"/>
    <w:rsid w:val="002A0A17"/>
    <w:rsid w:val="002A6566"/>
    <w:rsid w:val="002A7EB3"/>
    <w:rsid w:val="002A7EB9"/>
    <w:rsid w:val="002B4CB2"/>
    <w:rsid w:val="002D3BA6"/>
    <w:rsid w:val="002E4698"/>
    <w:rsid w:val="002F67B1"/>
    <w:rsid w:val="00302A09"/>
    <w:rsid w:val="00305661"/>
    <w:rsid w:val="0031448E"/>
    <w:rsid w:val="00337A70"/>
    <w:rsid w:val="00343558"/>
    <w:rsid w:val="00351A82"/>
    <w:rsid w:val="00356654"/>
    <w:rsid w:val="00356ABE"/>
    <w:rsid w:val="00365B00"/>
    <w:rsid w:val="00376B47"/>
    <w:rsid w:val="003A11C9"/>
    <w:rsid w:val="003C4B7E"/>
    <w:rsid w:val="003D7926"/>
    <w:rsid w:val="003E7649"/>
    <w:rsid w:val="003F4327"/>
    <w:rsid w:val="00422A85"/>
    <w:rsid w:val="004559AC"/>
    <w:rsid w:val="00463C1C"/>
    <w:rsid w:val="00467C08"/>
    <w:rsid w:val="0048375B"/>
    <w:rsid w:val="00487466"/>
    <w:rsid w:val="004902AE"/>
    <w:rsid w:val="004A5E32"/>
    <w:rsid w:val="004A61DE"/>
    <w:rsid w:val="004B66D9"/>
    <w:rsid w:val="004F67E1"/>
    <w:rsid w:val="005048B3"/>
    <w:rsid w:val="00522C0C"/>
    <w:rsid w:val="0052674C"/>
    <w:rsid w:val="00530CC1"/>
    <w:rsid w:val="00552238"/>
    <w:rsid w:val="0056780D"/>
    <w:rsid w:val="0058555B"/>
    <w:rsid w:val="005A034C"/>
    <w:rsid w:val="005B4729"/>
    <w:rsid w:val="005B698B"/>
    <w:rsid w:val="005C7CD2"/>
    <w:rsid w:val="005D62C0"/>
    <w:rsid w:val="005F088A"/>
    <w:rsid w:val="00617638"/>
    <w:rsid w:val="00623281"/>
    <w:rsid w:val="00627E8B"/>
    <w:rsid w:val="006339F3"/>
    <w:rsid w:val="00642F2B"/>
    <w:rsid w:val="00643889"/>
    <w:rsid w:val="00651B5C"/>
    <w:rsid w:val="00661FD8"/>
    <w:rsid w:val="00672BEB"/>
    <w:rsid w:val="006731E5"/>
    <w:rsid w:val="00683BE9"/>
    <w:rsid w:val="00690D06"/>
    <w:rsid w:val="0069405F"/>
    <w:rsid w:val="006B4163"/>
    <w:rsid w:val="006D5EEC"/>
    <w:rsid w:val="0071027C"/>
    <w:rsid w:val="00725C80"/>
    <w:rsid w:val="00767BFA"/>
    <w:rsid w:val="00781D6E"/>
    <w:rsid w:val="00791C9D"/>
    <w:rsid w:val="007A0251"/>
    <w:rsid w:val="007A1B91"/>
    <w:rsid w:val="007F10C6"/>
    <w:rsid w:val="008012D4"/>
    <w:rsid w:val="0080519C"/>
    <w:rsid w:val="00814B95"/>
    <w:rsid w:val="00842C9C"/>
    <w:rsid w:val="0084695E"/>
    <w:rsid w:val="00873C47"/>
    <w:rsid w:val="00876861"/>
    <w:rsid w:val="00890EBF"/>
    <w:rsid w:val="008A2EA8"/>
    <w:rsid w:val="008B0473"/>
    <w:rsid w:val="008B3D7C"/>
    <w:rsid w:val="008B510F"/>
    <w:rsid w:val="008B5CE0"/>
    <w:rsid w:val="008C6E9E"/>
    <w:rsid w:val="008E6C90"/>
    <w:rsid w:val="00904372"/>
    <w:rsid w:val="00910162"/>
    <w:rsid w:val="00917FDC"/>
    <w:rsid w:val="009249B2"/>
    <w:rsid w:val="00925D75"/>
    <w:rsid w:val="00934C1C"/>
    <w:rsid w:val="0093580B"/>
    <w:rsid w:val="00960591"/>
    <w:rsid w:val="009614AA"/>
    <w:rsid w:val="009637DC"/>
    <w:rsid w:val="00970A1D"/>
    <w:rsid w:val="009A5BD8"/>
    <w:rsid w:val="009C1BAA"/>
    <w:rsid w:val="009D362A"/>
    <w:rsid w:val="009D3D92"/>
    <w:rsid w:val="009D71E7"/>
    <w:rsid w:val="009E30AA"/>
    <w:rsid w:val="009E5CBA"/>
    <w:rsid w:val="00A078E3"/>
    <w:rsid w:val="00A43470"/>
    <w:rsid w:val="00A553F3"/>
    <w:rsid w:val="00A61EEC"/>
    <w:rsid w:val="00A81644"/>
    <w:rsid w:val="00A846D3"/>
    <w:rsid w:val="00A85ED4"/>
    <w:rsid w:val="00AA2E06"/>
    <w:rsid w:val="00AB2CC8"/>
    <w:rsid w:val="00AB5D06"/>
    <w:rsid w:val="00AD1944"/>
    <w:rsid w:val="00AE5EC2"/>
    <w:rsid w:val="00B16474"/>
    <w:rsid w:val="00B22776"/>
    <w:rsid w:val="00B334DB"/>
    <w:rsid w:val="00B3683A"/>
    <w:rsid w:val="00B41124"/>
    <w:rsid w:val="00B4427E"/>
    <w:rsid w:val="00B45956"/>
    <w:rsid w:val="00B8073F"/>
    <w:rsid w:val="00B84EED"/>
    <w:rsid w:val="00B9643D"/>
    <w:rsid w:val="00BB30B4"/>
    <w:rsid w:val="00BC46CA"/>
    <w:rsid w:val="00BD2E9D"/>
    <w:rsid w:val="00BE5366"/>
    <w:rsid w:val="00BF303A"/>
    <w:rsid w:val="00BF6D08"/>
    <w:rsid w:val="00C0527A"/>
    <w:rsid w:val="00C110AC"/>
    <w:rsid w:val="00C12454"/>
    <w:rsid w:val="00C16000"/>
    <w:rsid w:val="00C21E4B"/>
    <w:rsid w:val="00C23B6C"/>
    <w:rsid w:val="00C33326"/>
    <w:rsid w:val="00C34192"/>
    <w:rsid w:val="00C37DBA"/>
    <w:rsid w:val="00C66BB8"/>
    <w:rsid w:val="00C76B9C"/>
    <w:rsid w:val="00C83401"/>
    <w:rsid w:val="00C86E1E"/>
    <w:rsid w:val="00C87765"/>
    <w:rsid w:val="00C87D41"/>
    <w:rsid w:val="00CB5143"/>
    <w:rsid w:val="00CC206A"/>
    <w:rsid w:val="00CC40D6"/>
    <w:rsid w:val="00CC4976"/>
    <w:rsid w:val="00CE28DC"/>
    <w:rsid w:val="00CE6804"/>
    <w:rsid w:val="00CF2786"/>
    <w:rsid w:val="00CF2867"/>
    <w:rsid w:val="00CF7DD0"/>
    <w:rsid w:val="00D076A9"/>
    <w:rsid w:val="00D31BA7"/>
    <w:rsid w:val="00D8697F"/>
    <w:rsid w:val="00E25A11"/>
    <w:rsid w:val="00E36569"/>
    <w:rsid w:val="00E3745A"/>
    <w:rsid w:val="00E37A4D"/>
    <w:rsid w:val="00E66BA4"/>
    <w:rsid w:val="00E7085B"/>
    <w:rsid w:val="00ED3969"/>
    <w:rsid w:val="00EE658D"/>
    <w:rsid w:val="00F222AC"/>
    <w:rsid w:val="00F436C6"/>
    <w:rsid w:val="00F500AE"/>
    <w:rsid w:val="00F6029F"/>
    <w:rsid w:val="00F65024"/>
    <w:rsid w:val="00F76E7F"/>
    <w:rsid w:val="00F93765"/>
    <w:rsid w:val="00FA6CD2"/>
    <w:rsid w:val="00FC405C"/>
    <w:rsid w:val="00FC58FC"/>
    <w:rsid w:val="00FE29A0"/>
    <w:rsid w:val="00FF34FC"/>
    <w:rsid w:val="00FF7131"/>
    <w:rsid w:val="00FF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9F70"/>
  <w15:chartTrackingRefBased/>
  <w15:docId w15:val="{E4D17353-1F98-45AB-B3DA-DE5373BE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FD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61FD8"/>
    <w:pPr>
      <w:keepNext/>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FD8"/>
    <w:rPr>
      <w:rFonts w:ascii="Times New Roman" w:eastAsia="Times New Roman" w:hAnsi="Times New Roman" w:cs="Times New Roman"/>
      <w:b/>
      <w:bCs/>
      <w:szCs w:val="20"/>
    </w:rPr>
  </w:style>
  <w:style w:type="character" w:styleId="CommentReference">
    <w:name w:val="annotation reference"/>
    <w:basedOn w:val="DefaultParagraphFont"/>
    <w:uiPriority w:val="99"/>
    <w:semiHidden/>
    <w:unhideWhenUsed/>
    <w:rsid w:val="00151AF2"/>
    <w:rPr>
      <w:sz w:val="16"/>
      <w:szCs w:val="16"/>
    </w:rPr>
  </w:style>
  <w:style w:type="paragraph" w:styleId="CommentText">
    <w:name w:val="annotation text"/>
    <w:basedOn w:val="Normal"/>
    <w:link w:val="CommentTextChar"/>
    <w:uiPriority w:val="99"/>
    <w:unhideWhenUsed/>
    <w:rsid w:val="00151AF2"/>
  </w:style>
  <w:style w:type="character" w:customStyle="1" w:styleId="CommentTextChar">
    <w:name w:val="Comment Text Char"/>
    <w:basedOn w:val="DefaultParagraphFont"/>
    <w:link w:val="CommentText"/>
    <w:uiPriority w:val="99"/>
    <w:rsid w:val="00151A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1AF2"/>
    <w:rPr>
      <w:b/>
      <w:bCs/>
    </w:rPr>
  </w:style>
  <w:style w:type="character" w:customStyle="1" w:styleId="CommentSubjectChar">
    <w:name w:val="Comment Subject Char"/>
    <w:basedOn w:val="CommentTextChar"/>
    <w:link w:val="CommentSubject"/>
    <w:uiPriority w:val="99"/>
    <w:semiHidden/>
    <w:rsid w:val="00151AF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1A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AF2"/>
    <w:rPr>
      <w:rFonts w:ascii="Segoe UI" w:eastAsia="Times New Roman" w:hAnsi="Segoe UI" w:cs="Segoe UI"/>
      <w:sz w:val="18"/>
      <w:szCs w:val="18"/>
    </w:rPr>
  </w:style>
  <w:style w:type="paragraph" w:styleId="ListParagraph">
    <w:name w:val="List Paragraph"/>
    <w:basedOn w:val="Normal"/>
    <w:uiPriority w:val="34"/>
    <w:qFormat/>
    <w:rsid w:val="00767BFA"/>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37766"/>
    <w:pPr>
      <w:tabs>
        <w:tab w:val="center" w:pos="4680"/>
        <w:tab w:val="right" w:pos="9360"/>
      </w:tabs>
    </w:pPr>
  </w:style>
  <w:style w:type="character" w:customStyle="1" w:styleId="HeaderChar">
    <w:name w:val="Header Char"/>
    <w:basedOn w:val="DefaultParagraphFont"/>
    <w:link w:val="Header"/>
    <w:uiPriority w:val="99"/>
    <w:rsid w:val="0023776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37766"/>
    <w:pPr>
      <w:tabs>
        <w:tab w:val="center" w:pos="4680"/>
        <w:tab w:val="right" w:pos="9360"/>
      </w:tabs>
    </w:pPr>
  </w:style>
  <w:style w:type="character" w:customStyle="1" w:styleId="FooterChar">
    <w:name w:val="Footer Char"/>
    <w:basedOn w:val="DefaultParagraphFont"/>
    <w:link w:val="Footer"/>
    <w:uiPriority w:val="99"/>
    <w:rsid w:val="0023776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Lanzl, Caylyn A CIV USN FLTREADCEN SW SAN CA (USA)</dc:creator>
  <cp:keywords/>
  <dc:description/>
  <cp:lastModifiedBy>Palmer, Jessica N CIV USN (USA)</cp:lastModifiedBy>
  <cp:revision>2</cp:revision>
  <dcterms:created xsi:type="dcterms:W3CDTF">2022-10-25T22:06:00Z</dcterms:created>
  <dcterms:modified xsi:type="dcterms:W3CDTF">2022-10-25T22:06:00Z</dcterms:modified>
</cp:coreProperties>
</file>