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86" w:rsidRDefault="00725486">
      <w:pPr>
        <w:widowControl/>
        <w:jc w:val="right"/>
        <w:rPr>
          <w:b/>
          <w:bCs/>
          <w:color w:val="000000"/>
          <w:sz w:val="32"/>
          <w:szCs w:val="32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C47A31">
      <w:pPr>
        <w:widowControl/>
        <w:jc w:val="center"/>
        <w:rPr>
          <w:b/>
          <w:bCs/>
          <w:color w:val="000000"/>
        </w:rPr>
      </w:pPr>
      <w:bookmarkStart w:id="0" w:name="_DV_M0"/>
      <w:bookmarkEnd w:id="0"/>
      <w:r>
        <w:rPr>
          <w:b/>
          <w:bCs/>
          <w:color w:val="000000"/>
        </w:rPr>
        <w:t xml:space="preserve">STATE OF CALIFORNIA </w:t>
      </w:r>
    </w:p>
    <w:p w:rsidR="00725486" w:rsidRDefault="00C47A31">
      <w:pPr>
        <w:widowControl/>
        <w:jc w:val="center"/>
        <w:rPr>
          <w:b/>
          <w:bCs/>
          <w:color w:val="000000"/>
        </w:rPr>
      </w:pPr>
      <w:bookmarkStart w:id="1" w:name="_DV_M1"/>
      <w:bookmarkEnd w:id="1"/>
      <w:r>
        <w:rPr>
          <w:b/>
          <w:bCs/>
          <w:color w:val="000000"/>
        </w:rPr>
        <w:t>AIR RESOURCES BOARD</w:t>
      </w: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0B7D33">
      <w:pPr>
        <w:widowControl/>
        <w:tabs>
          <w:tab w:val="left" w:pos="3780"/>
          <w:tab w:val="left" w:pos="3870"/>
        </w:tabs>
        <w:rPr>
          <w:b/>
          <w:bCs/>
          <w:color w:val="000000"/>
        </w:rPr>
      </w:pPr>
      <w:bookmarkStart w:id="2" w:name="_DV_M2"/>
      <w:bookmarkEnd w:id="2"/>
      <w:r>
        <w:rPr>
          <w:b/>
          <w:bCs/>
          <w:color w:val="000000"/>
        </w:rPr>
        <w:t xml:space="preserve">Proposed Regulation on the   </w:t>
      </w:r>
      <w:r w:rsidR="00C47A31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</w:t>
      </w:r>
      <w:r w:rsidR="00C47A31">
        <w:rPr>
          <w:b/>
          <w:bCs/>
          <w:color w:val="000000"/>
        </w:rPr>
        <w:t>)</w:t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</w:p>
    <w:p w:rsidR="00725486" w:rsidRDefault="000B7D33">
      <w:pPr>
        <w:widowControl/>
        <w:tabs>
          <w:tab w:val="left" w:pos="3780"/>
        </w:tabs>
        <w:rPr>
          <w:b/>
          <w:bCs/>
          <w:color w:val="000000"/>
        </w:rPr>
      </w:pPr>
      <w:bookmarkStart w:id="3" w:name="_DV_M3"/>
      <w:bookmarkEnd w:id="3"/>
      <w:r>
        <w:rPr>
          <w:b/>
          <w:bCs/>
          <w:color w:val="000000"/>
        </w:rPr>
        <w:t xml:space="preserve">Commercialization of New Alternative      </w:t>
      </w:r>
      <w:r w:rsidR="00C47A31">
        <w:rPr>
          <w:b/>
          <w:bCs/>
          <w:color w:val="000000"/>
        </w:rPr>
        <w:t>)</w:t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 w:rsidRPr="00315C95">
        <w:rPr>
          <w:b/>
          <w:bCs/>
          <w:strike/>
          <w:color w:val="000000"/>
        </w:rPr>
        <w:t xml:space="preserve">Agenda Item:  </w:t>
      </w:r>
      <w:r w:rsidR="000357B8" w:rsidRPr="00315C95">
        <w:rPr>
          <w:b/>
          <w:bCs/>
          <w:strike/>
          <w:color w:val="000000"/>
        </w:rPr>
        <w:t>13-11-2</w:t>
      </w:r>
    </w:p>
    <w:p w:rsidR="00725486" w:rsidRDefault="000B7D33">
      <w:pPr>
        <w:widowControl/>
        <w:tabs>
          <w:tab w:val="left" w:pos="3780"/>
        </w:tabs>
        <w:rPr>
          <w:b/>
          <w:bCs/>
          <w:color w:val="000000"/>
        </w:rPr>
      </w:pPr>
      <w:bookmarkStart w:id="4" w:name="_DV_M4"/>
      <w:bookmarkEnd w:id="4"/>
      <w:r>
        <w:rPr>
          <w:b/>
          <w:bCs/>
          <w:color w:val="000000"/>
        </w:rPr>
        <w:t>Diesel Fuels</w:t>
      </w:r>
      <w:r w:rsidR="00C47A31">
        <w:rPr>
          <w:b/>
          <w:bCs/>
          <w:color w:val="000000"/>
        </w:rPr>
        <w:t xml:space="preserve"> </w:t>
      </w:r>
      <w:r w:rsidR="00C47A31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</w:t>
      </w:r>
      <w:r w:rsidR="00C47A31">
        <w:rPr>
          <w:b/>
          <w:bCs/>
          <w:color w:val="000000"/>
        </w:rPr>
        <w:t>)</w:t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</w:p>
    <w:p w:rsidR="00725486" w:rsidRDefault="00C47A31">
      <w:pPr>
        <w:widowControl/>
        <w:rPr>
          <w:b/>
          <w:bCs/>
          <w:color w:val="000000"/>
        </w:rPr>
      </w:pPr>
      <w:bookmarkStart w:id="5" w:name="_DV_M5"/>
      <w:bookmarkEnd w:id="5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B7D33"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>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Board Hearing:</w:t>
      </w:r>
    </w:p>
    <w:p w:rsidR="00725486" w:rsidRDefault="00C47A31">
      <w:pPr>
        <w:widowControl/>
        <w:rPr>
          <w:b/>
          <w:bCs/>
          <w:color w:val="000000"/>
        </w:rPr>
      </w:pPr>
      <w:bookmarkStart w:id="6" w:name="_DV_M6"/>
      <w:bookmarkEnd w:id="6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B7D33" w:rsidRPr="00315C95">
        <w:rPr>
          <w:b/>
          <w:bCs/>
          <w:strike/>
          <w:color w:val="000000"/>
        </w:rPr>
        <w:t>December 12, 2013</w:t>
      </w:r>
    </w:p>
    <w:p w:rsidR="00725486" w:rsidRDefault="00725486">
      <w:pPr>
        <w:widowControl/>
        <w:rPr>
          <w:b/>
          <w:bCs/>
          <w:color w:val="000000"/>
        </w:rPr>
      </w:pPr>
    </w:p>
    <w:p w:rsidR="00725486" w:rsidRDefault="00C47A31">
      <w:pPr>
        <w:widowControl/>
        <w:rPr>
          <w:b/>
          <w:bCs/>
          <w:color w:val="000000"/>
        </w:rPr>
      </w:pPr>
      <w:bookmarkStart w:id="7" w:name="_DV_M7"/>
      <w:bookmarkEnd w:id="7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725486" w:rsidRDefault="00725486">
      <w:pPr>
        <w:widowControl/>
        <w:rPr>
          <w:b/>
          <w:bCs/>
          <w:color w:val="000000"/>
        </w:rPr>
      </w:pPr>
    </w:p>
    <w:p w:rsidR="00725486" w:rsidRDefault="00725486">
      <w:pPr>
        <w:widowControl/>
        <w:rPr>
          <w:b/>
          <w:bCs/>
          <w:color w:val="000000"/>
        </w:rPr>
      </w:pPr>
    </w:p>
    <w:p w:rsidR="00725486" w:rsidRDefault="00725486">
      <w:pPr>
        <w:widowControl/>
        <w:rPr>
          <w:b/>
          <w:bCs/>
          <w:color w:val="000000"/>
        </w:rPr>
      </w:pPr>
    </w:p>
    <w:p w:rsidR="00725486" w:rsidRDefault="00725486">
      <w:pPr>
        <w:widowControl/>
        <w:rPr>
          <w:b/>
          <w:bCs/>
          <w:color w:val="000000"/>
        </w:rPr>
      </w:pPr>
    </w:p>
    <w:p w:rsidR="00725486" w:rsidRDefault="00C47A31">
      <w:pPr>
        <w:widowControl/>
        <w:jc w:val="center"/>
        <w:rPr>
          <w:b/>
          <w:bCs/>
          <w:color w:val="000000"/>
        </w:rPr>
      </w:pPr>
      <w:bookmarkStart w:id="8" w:name="_DV_M8"/>
      <w:bookmarkEnd w:id="8"/>
      <w:r>
        <w:rPr>
          <w:b/>
          <w:bCs/>
          <w:color w:val="000000"/>
        </w:rPr>
        <w:t>COMMENTS OF THE</w:t>
      </w:r>
    </w:p>
    <w:p w:rsidR="00725486" w:rsidRDefault="00C724D4">
      <w:pPr>
        <w:widowControl/>
        <w:jc w:val="center"/>
        <w:rPr>
          <w:b/>
          <w:bCs/>
          <w:color w:val="000000"/>
        </w:rPr>
      </w:pPr>
      <w:bookmarkStart w:id="9" w:name="_DV_M9"/>
      <w:bookmarkEnd w:id="9"/>
      <w:r>
        <w:rPr>
          <w:b/>
          <w:bCs/>
          <w:color w:val="000000"/>
        </w:rPr>
        <w:t xml:space="preserve">TRUCK and </w:t>
      </w:r>
      <w:r w:rsidR="00C47A31">
        <w:rPr>
          <w:b/>
          <w:bCs/>
          <w:color w:val="000000"/>
        </w:rPr>
        <w:t>ENGINE MANUFACTURERS ASSOCIATION</w:t>
      </w: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jc w:val="center"/>
        <w:rPr>
          <w:b/>
          <w:bCs/>
          <w:color w:val="000000"/>
        </w:rPr>
      </w:pPr>
    </w:p>
    <w:p w:rsidR="00725486" w:rsidRDefault="00725486">
      <w:pPr>
        <w:widowControl/>
        <w:rPr>
          <w:b/>
          <w:bCs/>
          <w:color w:val="000000"/>
        </w:rPr>
      </w:pPr>
      <w:bookmarkStart w:id="10" w:name="_DV_M10"/>
      <w:bookmarkEnd w:id="10"/>
    </w:p>
    <w:p w:rsidR="00725486" w:rsidRDefault="008061C3">
      <w:pPr>
        <w:widowControl/>
        <w:rPr>
          <w:b/>
          <w:bCs/>
          <w:color w:val="000000"/>
        </w:rPr>
      </w:pPr>
      <w:bookmarkStart w:id="11" w:name="_DV_M12"/>
      <w:bookmarkEnd w:id="11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B7D33">
        <w:rPr>
          <w:b/>
          <w:bCs/>
          <w:color w:val="000000"/>
        </w:rPr>
        <w:tab/>
      </w:r>
      <w:r w:rsidR="000B7D33">
        <w:rPr>
          <w:b/>
          <w:bCs/>
          <w:color w:val="000000"/>
        </w:rPr>
        <w:tab/>
      </w:r>
      <w:r w:rsidR="000B7D33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>Roger Gault</w:t>
      </w:r>
    </w:p>
    <w:p w:rsidR="00725486" w:rsidRDefault="008061C3">
      <w:pPr>
        <w:widowControl/>
        <w:rPr>
          <w:b/>
          <w:bCs/>
          <w:color w:val="000000"/>
        </w:rPr>
      </w:pPr>
      <w:bookmarkStart w:id="12" w:name="_DV_M13"/>
      <w:bookmarkEnd w:id="12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0B7D33">
        <w:rPr>
          <w:b/>
          <w:bCs/>
          <w:color w:val="000000"/>
        </w:rPr>
        <w:t xml:space="preserve">Truck and </w:t>
      </w:r>
      <w:r w:rsidR="00C47A31">
        <w:rPr>
          <w:b/>
          <w:bCs/>
          <w:color w:val="000000"/>
        </w:rPr>
        <w:t xml:space="preserve">Engine Manufacturers </w:t>
      </w:r>
      <w:r w:rsidR="000B7D33">
        <w:rPr>
          <w:b/>
          <w:bCs/>
          <w:color w:val="000000"/>
        </w:rPr>
        <w:t>Association</w:t>
      </w:r>
    </w:p>
    <w:p w:rsidR="00725486" w:rsidRDefault="008061C3">
      <w:pPr>
        <w:widowControl/>
        <w:rPr>
          <w:b/>
          <w:bCs/>
          <w:color w:val="000000"/>
        </w:rPr>
      </w:pPr>
      <w:bookmarkStart w:id="13" w:name="_DV_M14"/>
      <w:bookmarkEnd w:id="13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>333 West Wacker Drive</w:t>
      </w:r>
    </w:p>
    <w:p w:rsidR="00725486" w:rsidRDefault="008061C3">
      <w:pPr>
        <w:widowControl/>
        <w:rPr>
          <w:b/>
          <w:bCs/>
          <w:color w:val="000000"/>
        </w:rPr>
      </w:pPr>
      <w:bookmarkStart w:id="14" w:name="_DV_M15"/>
      <w:bookmarkEnd w:id="14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>Chicago, Illinois  60606</w:t>
      </w:r>
    </w:p>
    <w:p w:rsidR="00725486" w:rsidRDefault="008061C3">
      <w:pPr>
        <w:widowControl/>
        <w:rPr>
          <w:b/>
          <w:bCs/>
          <w:color w:val="000000"/>
        </w:rPr>
      </w:pPr>
      <w:bookmarkStart w:id="15" w:name="_DV_M16"/>
      <w:bookmarkEnd w:id="15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ab/>
      </w:r>
      <w:r w:rsidR="00DF46DF">
        <w:rPr>
          <w:b/>
          <w:bCs/>
          <w:color w:val="000000"/>
        </w:rPr>
        <w:tab/>
      </w:r>
      <w:r w:rsidR="00C47A31">
        <w:rPr>
          <w:b/>
          <w:bCs/>
          <w:color w:val="000000"/>
        </w:rPr>
        <w:t xml:space="preserve">(312) </w:t>
      </w:r>
      <w:r w:rsidR="00DF46DF">
        <w:rPr>
          <w:b/>
          <w:bCs/>
          <w:color w:val="000000"/>
        </w:rPr>
        <w:t>929-1974</w:t>
      </w:r>
    </w:p>
    <w:p w:rsidR="00725486" w:rsidRDefault="00725486">
      <w:pPr>
        <w:widowControl/>
        <w:jc w:val="center"/>
        <w:rPr>
          <w:b/>
          <w:bCs/>
          <w:color w:val="000000"/>
        </w:rPr>
        <w:sectPr w:rsidR="0072548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</w:sectPr>
      </w:pPr>
    </w:p>
    <w:p w:rsidR="00725486" w:rsidRDefault="00725486">
      <w:pPr>
        <w:widowControl/>
      </w:pPr>
    </w:p>
    <w:p w:rsidR="00725486" w:rsidRPr="00E748FE" w:rsidRDefault="00C47A31">
      <w:pPr>
        <w:widowControl/>
        <w:jc w:val="center"/>
        <w:rPr>
          <w:b/>
        </w:rPr>
      </w:pPr>
      <w:bookmarkStart w:id="16" w:name="_DV_M17"/>
      <w:bookmarkEnd w:id="16"/>
      <w:r w:rsidRPr="00E748FE">
        <w:rPr>
          <w:b/>
        </w:rPr>
        <w:t xml:space="preserve">STATE OF CALIFORNIA </w:t>
      </w:r>
    </w:p>
    <w:p w:rsidR="00725486" w:rsidRPr="00E748FE" w:rsidRDefault="00C47A31">
      <w:pPr>
        <w:widowControl/>
        <w:jc w:val="center"/>
        <w:rPr>
          <w:b/>
        </w:rPr>
      </w:pPr>
      <w:bookmarkStart w:id="17" w:name="_DV_M18"/>
      <w:bookmarkEnd w:id="17"/>
      <w:r w:rsidRPr="00E748FE">
        <w:rPr>
          <w:b/>
        </w:rPr>
        <w:t>AIR RESOURCES BOARD</w:t>
      </w:r>
    </w:p>
    <w:p w:rsidR="00725486" w:rsidRPr="00E748FE" w:rsidRDefault="00725486">
      <w:pPr>
        <w:widowControl/>
        <w:jc w:val="center"/>
        <w:rPr>
          <w:b/>
        </w:rPr>
      </w:pPr>
    </w:p>
    <w:p w:rsidR="00725486" w:rsidRDefault="00725486">
      <w:pPr>
        <w:widowControl/>
        <w:jc w:val="center"/>
      </w:pPr>
    </w:p>
    <w:p w:rsidR="00DF46DF" w:rsidRDefault="00DF46DF" w:rsidP="00DF46DF">
      <w:pPr>
        <w:widowControl/>
        <w:tabs>
          <w:tab w:val="left" w:pos="3780"/>
          <w:tab w:val="left" w:pos="3870"/>
        </w:tabs>
        <w:rPr>
          <w:b/>
          <w:bCs/>
          <w:color w:val="000000"/>
        </w:rPr>
      </w:pPr>
      <w:bookmarkStart w:id="18" w:name="_DV_M19"/>
      <w:bookmarkEnd w:id="18"/>
      <w:r>
        <w:rPr>
          <w:b/>
          <w:bCs/>
          <w:color w:val="000000"/>
        </w:rPr>
        <w:t xml:space="preserve">Proposed Regulation on the   </w:t>
      </w:r>
      <w:r>
        <w:rPr>
          <w:b/>
          <w:bCs/>
          <w:color w:val="000000"/>
        </w:rPr>
        <w:tab/>
        <w:t xml:space="preserve">         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DF46DF" w:rsidRDefault="00DF46DF" w:rsidP="00DF46DF">
      <w:pPr>
        <w:widowControl/>
        <w:tabs>
          <w:tab w:val="left" w:pos="3780"/>
        </w:tabs>
        <w:rPr>
          <w:b/>
          <w:bCs/>
          <w:color w:val="000000"/>
        </w:rPr>
      </w:pPr>
      <w:r>
        <w:rPr>
          <w:b/>
          <w:bCs/>
          <w:color w:val="000000"/>
        </w:rPr>
        <w:t>Commercialization of New Alternative      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315C95">
        <w:rPr>
          <w:b/>
          <w:bCs/>
          <w:strike/>
          <w:color w:val="000000"/>
        </w:rPr>
        <w:t xml:space="preserve">Agenda Item:  </w:t>
      </w:r>
      <w:r w:rsidR="000357B8" w:rsidRPr="00315C95">
        <w:rPr>
          <w:b/>
          <w:bCs/>
          <w:strike/>
          <w:color w:val="000000"/>
        </w:rPr>
        <w:t>13-11-2</w:t>
      </w:r>
    </w:p>
    <w:p w:rsidR="00DF46DF" w:rsidRDefault="00DF46DF" w:rsidP="00DF46DF">
      <w:pPr>
        <w:widowControl/>
        <w:tabs>
          <w:tab w:val="left" w:pos="378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Diesel Fuels </w:t>
      </w:r>
      <w:r>
        <w:rPr>
          <w:b/>
          <w:bCs/>
          <w:color w:val="000000"/>
        </w:rPr>
        <w:tab/>
        <w:t xml:space="preserve">         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DF46DF" w:rsidRDefault="00DF46DF" w:rsidP="00DF46DF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Board Hearing:</w:t>
      </w:r>
    </w:p>
    <w:p w:rsidR="00DF46DF" w:rsidRDefault="00DF46DF" w:rsidP="00DF46DF">
      <w:pPr>
        <w:widowControl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315C95">
        <w:rPr>
          <w:b/>
          <w:bCs/>
          <w:strike/>
          <w:color w:val="000000"/>
        </w:rPr>
        <w:t>December 12, 2013</w:t>
      </w:r>
    </w:p>
    <w:p w:rsidR="00DF46DF" w:rsidRDefault="00DF46DF" w:rsidP="00DF46DF">
      <w:pPr>
        <w:widowControl/>
        <w:rPr>
          <w:b/>
          <w:bCs/>
          <w:color w:val="000000"/>
        </w:rPr>
      </w:pPr>
    </w:p>
    <w:p w:rsidR="00725486" w:rsidRDefault="00725486">
      <w:pPr>
        <w:widowControl/>
      </w:pPr>
    </w:p>
    <w:p w:rsidR="00725486" w:rsidRDefault="00725486">
      <w:pPr>
        <w:widowControl/>
      </w:pPr>
    </w:p>
    <w:p w:rsidR="00725486" w:rsidRPr="00E748FE" w:rsidRDefault="00C47A31">
      <w:pPr>
        <w:widowControl/>
        <w:jc w:val="center"/>
        <w:rPr>
          <w:b/>
        </w:rPr>
      </w:pPr>
      <w:bookmarkStart w:id="19" w:name="_DV_M24"/>
      <w:bookmarkEnd w:id="19"/>
      <w:r w:rsidRPr="00E748FE">
        <w:rPr>
          <w:b/>
        </w:rPr>
        <w:t xml:space="preserve">COMMENTS OF THE </w:t>
      </w:r>
    </w:p>
    <w:p w:rsidR="00725486" w:rsidRDefault="00E748FE">
      <w:pPr>
        <w:widowControl/>
        <w:jc w:val="center"/>
        <w:rPr>
          <w:b/>
          <w:bCs/>
          <w:color w:val="000000"/>
          <w:u w:val="single"/>
        </w:rPr>
      </w:pPr>
      <w:bookmarkStart w:id="20" w:name="_DV_M25"/>
      <w:bookmarkEnd w:id="20"/>
      <w:r>
        <w:rPr>
          <w:b/>
          <w:bCs/>
          <w:color w:val="000000"/>
          <w:u w:val="single"/>
        </w:rPr>
        <w:t xml:space="preserve">TRUCK and </w:t>
      </w:r>
      <w:r w:rsidR="00C47A31">
        <w:rPr>
          <w:b/>
          <w:bCs/>
          <w:color w:val="000000"/>
          <w:u w:val="single"/>
        </w:rPr>
        <w:t>ENGINE MANUFACTURERS ASSOCIATION</w:t>
      </w:r>
    </w:p>
    <w:p w:rsidR="00725486" w:rsidRDefault="00725486">
      <w:pPr>
        <w:widowControl/>
        <w:jc w:val="center"/>
        <w:rPr>
          <w:b/>
          <w:bCs/>
          <w:color w:val="000000"/>
          <w:u w:val="single"/>
        </w:rPr>
      </w:pPr>
    </w:p>
    <w:p w:rsidR="00725486" w:rsidRDefault="00DF46DF">
      <w:pPr>
        <w:pStyle w:val="NGEBodyL"/>
        <w:widowControl/>
        <w:spacing w:before="0" w:after="240"/>
        <w:jc w:val="both"/>
      </w:pPr>
      <w:bookmarkStart w:id="21" w:name="_DV_M26"/>
      <w:bookmarkEnd w:id="21"/>
      <w:r>
        <w:t>On October 22</w:t>
      </w:r>
      <w:r w:rsidR="00C47A31">
        <w:t>, 20</w:t>
      </w:r>
      <w:r>
        <w:t>13</w:t>
      </w:r>
      <w:r w:rsidR="00C47A31">
        <w:t xml:space="preserve">, the California Air Resources Board (“ARB”) published </w:t>
      </w:r>
      <w:r w:rsidR="00E748FE">
        <w:t>a</w:t>
      </w:r>
      <w:r w:rsidR="00C47A31">
        <w:t xml:space="preserve"> </w:t>
      </w:r>
      <w:r w:rsidR="00E748FE">
        <w:t>“</w:t>
      </w:r>
      <w:r w:rsidR="00C47A31">
        <w:t xml:space="preserve">Notice of Public Hearing to Consider </w:t>
      </w:r>
      <w:r>
        <w:t>the Proposed Regulation on the Commercialization of New Alternative Diesel Fuels</w:t>
      </w:r>
      <w:r w:rsidR="00E748FE">
        <w:t>”</w:t>
      </w:r>
      <w:r w:rsidR="00C47A31">
        <w:t xml:space="preserve"> </w:t>
      </w:r>
      <w:r w:rsidR="00142369">
        <w:t>[</w:t>
      </w:r>
      <w:r w:rsidR="009A324A">
        <w:t xml:space="preserve">CCR, </w:t>
      </w:r>
      <w:r w:rsidR="008061C3">
        <w:t xml:space="preserve">Title 13, Chapter 5, Article 3, </w:t>
      </w:r>
      <w:r w:rsidR="00780602">
        <w:t>Sub article</w:t>
      </w:r>
      <w:r w:rsidR="008061C3">
        <w:t xml:space="preserve"> 2, Section 2293]</w:t>
      </w:r>
      <w:r w:rsidR="00142369" w:rsidRPr="00142369">
        <w:t xml:space="preserve"> </w:t>
      </w:r>
      <w:r w:rsidR="00142369">
        <w:t>(“the Proposal”).</w:t>
      </w:r>
    </w:p>
    <w:p w:rsidR="00725486" w:rsidRDefault="00C47A31">
      <w:pPr>
        <w:pStyle w:val="NGEBodyL"/>
        <w:widowControl/>
        <w:spacing w:before="0" w:after="240"/>
        <w:jc w:val="both"/>
      </w:pPr>
      <w:bookmarkStart w:id="22" w:name="_DV_M27"/>
      <w:bookmarkEnd w:id="22"/>
      <w:r>
        <w:t xml:space="preserve">The </w:t>
      </w:r>
      <w:r w:rsidR="00DF46DF">
        <w:t xml:space="preserve">Truck and </w:t>
      </w:r>
      <w:r>
        <w:t xml:space="preserve">Engine Manufacturers Association (“EMA”) is the international trade association that represents the interests of the world’s leading manufacturers of engines, including manufacturers of </w:t>
      </w:r>
      <w:r w:rsidR="00DF46DF">
        <w:t>compression ignition</w:t>
      </w:r>
      <w:r>
        <w:t xml:space="preserve"> engines </w:t>
      </w:r>
      <w:r w:rsidR="00DF46DF">
        <w:t>u</w:t>
      </w:r>
      <w:r w:rsidR="00142369">
        <w:t>sed</w:t>
      </w:r>
      <w:r w:rsidR="00DF46DF">
        <w:t xml:space="preserve"> in both on-highway and nonroad products that will utilize the fuels covered by the </w:t>
      </w:r>
      <w:r w:rsidR="009A324A">
        <w:t>Proposal</w:t>
      </w:r>
      <w:r>
        <w:t xml:space="preserve">.  </w:t>
      </w:r>
    </w:p>
    <w:p w:rsidR="00725486" w:rsidRDefault="00C47A31" w:rsidP="00173940">
      <w:pPr>
        <w:widowControl/>
        <w:spacing w:before="120" w:after="120"/>
        <w:jc w:val="left"/>
        <w:rPr>
          <w:b/>
          <w:bCs/>
          <w:u w:val="single"/>
        </w:rPr>
      </w:pPr>
      <w:bookmarkStart w:id="23" w:name="_DV_M28"/>
      <w:bookmarkEnd w:id="23"/>
      <w:r>
        <w:t>I.</w:t>
      </w:r>
      <w:r>
        <w:tab/>
        <w:t>Background</w:t>
      </w:r>
    </w:p>
    <w:p w:rsidR="00725486" w:rsidRDefault="00C47A31">
      <w:pPr>
        <w:widowControl/>
        <w:spacing w:after="120"/>
        <w:ind w:firstLine="720"/>
      </w:pPr>
      <w:bookmarkStart w:id="24" w:name="_DV_M29"/>
      <w:bookmarkEnd w:id="24"/>
      <w:r>
        <w:t>EMA has active</w:t>
      </w:r>
      <w:r w:rsidR="009A324A">
        <w:t>ly</w:t>
      </w:r>
      <w:r>
        <w:t xml:space="preserve"> participa</w:t>
      </w:r>
      <w:r w:rsidR="009A324A">
        <w:t>ted</w:t>
      </w:r>
      <w:r>
        <w:t xml:space="preserve"> in the development of </w:t>
      </w:r>
      <w:r w:rsidR="00DF46DF">
        <w:t>the testing program and regulatory development process</w:t>
      </w:r>
      <w:r w:rsidR="00E748FE">
        <w:t xml:space="preserve"> that has led </w:t>
      </w:r>
      <w:r w:rsidR="00DF46DF">
        <w:t xml:space="preserve">to </w:t>
      </w:r>
      <w:r>
        <w:t xml:space="preserve">the </w:t>
      </w:r>
      <w:r w:rsidR="009A324A">
        <w:t>Proposal</w:t>
      </w:r>
      <w:r>
        <w:t xml:space="preserve"> concerning the </w:t>
      </w:r>
      <w:r w:rsidR="00DF46DF">
        <w:t>use of biodiesel blends, renewable diesel fuels, and gas-to-liquid (GTL) fuels</w:t>
      </w:r>
      <w:r>
        <w:t xml:space="preserve">.  EMA has </w:t>
      </w:r>
      <w:r w:rsidR="008061C3">
        <w:t xml:space="preserve">been an active </w:t>
      </w:r>
      <w:r>
        <w:t>participa</w:t>
      </w:r>
      <w:r w:rsidR="008061C3">
        <w:t>n</w:t>
      </w:r>
      <w:r>
        <w:t>t in discussions with ARB staff</w:t>
      </w:r>
      <w:r w:rsidR="00E748FE">
        <w:t xml:space="preserve"> and </w:t>
      </w:r>
      <w:r w:rsidR="008061C3">
        <w:t xml:space="preserve">at </w:t>
      </w:r>
      <w:r>
        <w:t xml:space="preserve">industry workshops.  </w:t>
      </w:r>
    </w:p>
    <w:p w:rsidR="00725486" w:rsidRDefault="00C47A31" w:rsidP="00DF46DF">
      <w:pPr>
        <w:widowControl/>
        <w:spacing w:after="120"/>
        <w:ind w:firstLine="720"/>
      </w:pPr>
      <w:bookmarkStart w:id="25" w:name="_DV_M30"/>
      <w:bookmarkEnd w:id="25"/>
      <w:r>
        <w:t>At the outset</w:t>
      </w:r>
      <w:r w:rsidR="00E748FE">
        <w:t xml:space="preserve"> of the rulemaking process</w:t>
      </w:r>
      <w:r>
        <w:t xml:space="preserve">, and throughout the </w:t>
      </w:r>
      <w:r w:rsidR="00DF46DF">
        <w:t>testing program</w:t>
      </w:r>
      <w:r w:rsidR="00E748FE">
        <w:t>,</w:t>
      </w:r>
      <w:r w:rsidR="00DF46DF">
        <w:t xml:space="preserve"> </w:t>
      </w:r>
      <w:r>
        <w:t xml:space="preserve">EMA and its members emphasized to ARB the importance of </w:t>
      </w:r>
      <w:r w:rsidR="00DF46DF">
        <w:t xml:space="preserve">ensuring that any alternative fuel regulations recognize the fundamental importance of fuels to the performance, durability, </w:t>
      </w:r>
      <w:r w:rsidR="00E748FE">
        <w:t xml:space="preserve">and </w:t>
      </w:r>
      <w:r w:rsidR="008061C3">
        <w:t xml:space="preserve">exhaust </w:t>
      </w:r>
      <w:r w:rsidR="00DF46DF">
        <w:t>emission levels of both new and existing products</w:t>
      </w:r>
      <w:r>
        <w:t xml:space="preserve">.  </w:t>
      </w:r>
      <w:r w:rsidR="00DF46DF">
        <w:t xml:space="preserve">In short, fuels cannot exist independent of the engines that use them </w:t>
      </w:r>
      <w:r w:rsidR="009A324A">
        <w:t>any</w:t>
      </w:r>
      <w:r w:rsidR="00DF46DF">
        <w:t xml:space="preserve"> more than engines can exist with</w:t>
      </w:r>
      <w:r w:rsidR="00C57FC4">
        <w:t>out</w:t>
      </w:r>
      <w:r w:rsidR="00DF46DF">
        <w:t xml:space="preserve"> the fuels required to power them.</w:t>
      </w:r>
    </w:p>
    <w:p w:rsidR="00C47A31" w:rsidRDefault="00C47A31" w:rsidP="00DF46DF">
      <w:pPr>
        <w:widowControl/>
        <w:spacing w:after="120"/>
        <w:ind w:firstLine="720"/>
      </w:pPr>
      <w:r>
        <w:t xml:space="preserve">The test program undertaken by ARB associated with the evaluation of biodiesel blendstocks from various feedstocks, renewable diesel fuels, and GTL fuels is by far the most comprehensive study of </w:t>
      </w:r>
      <w:r w:rsidR="009A324A">
        <w:t xml:space="preserve">the effects of </w:t>
      </w:r>
      <w:r>
        <w:t>fuel properties on exhaust emissions</w:t>
      </w:r>
      <w:r w:rsidR="009A324A">
        <w:t xml:space="preserve"> ever conducted</w:t>
      </w:r>
      <w:r>
        <w:t>.  Even so, th</w:t>
      </w:r>
      <w:r w:rsidR="009A324A">
        <w:t>e</w:t>
      </w:r>
      <w:r>
        <w:t xml:space="preserve"> test program evaluated only a relatively small segment of the </w:t>
      </w:r>
      <w:r w:rsidR="008061C3">
        <w:t>broad</w:t>
      </w:r>
      <w:r>
        <w:t xml:space="preserve"> population of engines, vehicles/equipment, and emission control systems that make up the diverse inventory in California</w:t>
      </w:r>
      <w:r w:rsidR="000357B8">
        <w:t xml:space="preserve"> with only a small sub-set of alternative diesel fuels</w:t>
      </w:r>
      <w:r>
        <w:t>.</w:t>
      </w:r>
      <w:r w:rsidR="00AE597E">
        <w:t xml:space="preserve">  </w:t>
      </w:r>
    </w:p>
    <w:p w:rsidR="00AE597E" w:rsidRDefault="00AE597E" w:rsidP="00DF46DF">
      <w:pPr>
        <w:widowControl/>
        <w:spacing w:after="120"/>
        <w:ind w:firstLine="720"/>
      </w:pPr>
      <w:r>
        <w:t xml:space="preserve">While the </w:t>
      </w:r>
      <w:r w:rsidR="00E748FE">
        <w:t>P</w:t>
      </w:r>
      <w:r>
        <w:t>ropos</w:t>
      </w:r>
      <w:r w:rsidR="00E748FE">
        <w:t>al</w:t>
      </w:r>
      <w:r>
        <w:t xml:space="preserve"> includes several features </w:t>
      </w:r>
      <w:r w:rsidR="00E748FE">
        <w:t xml:space="preserve">important </w:t>
      </w:r>
      <w:r w:rsidR="008061C3">
        <w:t>to</w:t>
      </w:r>
      <w:r w:rsidR="00E748FE">
        <w:t xml:space="preserve"> evaluating whether an alternative fuel is appropriate for use in the marketplace, it also raises</w:t>
      </w:r>
      <w:r>
        <w:t xml:space="preserve"> a significant number of concerns associated with effective </w:t>
      </w:r>
      <w:r w:rsidR="00E748FE">
        <w:t>implementation of</w:t>
      </w:r>
      <w:r>
        <w:t xml:space="preserve"> the prescribed regulatory program.</w:t>
      </w:r>
    </w:p>
    <w:p w:rsidR="00725486" w:rsidRDefault="00C47A31">
      <w:pPr>
        <w:widowControl/>
        <w:spacing w:before="240" w:after="120"/>
        <w:jc w:val="left"/>
      </w:pPr>
      <w:bookmarkStart w:id="26" w:name="_DV_M37"/>
      <w:bookmarkEnd w:id="26"/>
      <w:r>
        <w:lastRenderedPageBreak/>
        <w:t>II.</w:t>
      </w:r>
      <w:r>
        <w:tab/>
        <w:t>Impact of the Proposal</w:t>
      </w:r>
    </w:p>
    <w:p w:rsidR="0089170F" w:rsidRDefault="00AE597E" w:rsidP="00AE597E">
      <w:pPr>
        <w:widowControl/>
        <w:spacing w:after="120"/>
      </w:pPr>
      <w:r>
        <w:tab/>
      </w:r>
      <w:r w:rsidR="00E748FE">
        <w:t>Although the Proposal would not directly regulate the activities of e</w:t>
      </w:r>
      <w:r>
        <w:t>ngine manufacturers</w:t>
      </w:r>
      <w:r w:rsidR="00E748FE">
        <w:t>,</w:t>
      </w:r>
      <w:r>
        <w:t xml:space="preserve"> </w:t>
      </w:r>
      <w:r w:rsidR="00E748FE">
        <w:t>several aspects of its implementation could require engine manufacturer participation</w:t>
      </w:r>
      <w:r>
        <w:t>.  For example, for a new alternative fuel to move from Stage 2 to either Stage 3A or 3B</w:t>
      </w:r>
      <w:r w:rsidR="00E748FE">
        <w:t>,</w:t>
      </w:r>
      <w:r>
        <w:t xml:space="preserve"> the fuel supplier must “obtain approval of at least 75% of compression ignition engine original equipment manufacturers for which the ADF is expected or intended to be used.”  Th</w:t>
      </w:r>
      <w:r w:rsidR="008061C3">
        <w:t>at</w:t>
      </w:r>
      <w:r>
        <w:t xml:space="preserve"> implies that engine manufacturers must have had sufficient opportunity to evaluate the proposed new fuel, or fuel blending component</w:t>
      </w:r>
      <w:r w:rsidR="00E748FE">
        <w:t>,</w:t>
      </w:r>
      <w:r>
        <w:t xml:space="preserve"> to </w:t>
      </w:r>
      <w:r w:rsidR="00E748FE">
        <w:t>assess</w:t>
      </w:r>
      <w:r>
        <w:t xml:space="preserve"> acceptability in both </w:t>
      </w:r>
      <w:r w:rsidR="0089170F">
        <w:t>new and existing</w:t>
      </w:r>
      <w:r>
        <w:t xml:space="preserve"> engines </w:t>
      </w:r>
      <w:r w:rsidR="0089170F">
        <w:t xml:space="preserve">in </w:t>
      </w:r>
      <w:r>
        <w:t xml:space="preserve">the California marketplace.  </w:t>
      </w:r>
      <w:r w:rsidR="00152209">
        <w:t xml:space="preserve">The </w:t>
      </w:r>
      <w:r w:rsidR="0089170F">
        <w:t xml:space="preserve">Proposal does not set forth a process for determining </w:t>
      </w:r>
      <w:r w:rsidR="008061C3">
        <w:t>how to meet</w:t>
      </w:r>
      <w:r w:rsidR="0089170F">
        <w:t xml:space="preserve"> </w:t>
      </w:r>
      <w:r w:rsidR="00152209">
        <w:t xml:space="preserve">the 75% threshold </w:t>
      </w:r>
      <w:r w:rsidR="008061C3">
        <w:t xml:space="preserve">or whether it </w:t>
      </w:r>
      <w:r w:rsidR="00152209">
        <w:t>has been met</w:t>
      </w:r>
      <w:r w:rsidR="0089170F">
        <w:t xml:space="preserve">.  Engine manufacturers are in favor of having the regulation call for their </w:t>
      </w:r>
      <w:r w:rsidR="008061C3">
        <w:t>acceptance</w:t>
      </w:r>
      <w:r w:rsidR="009A324A">
        <w:t xml:space="preserve"> of new fuels</w:t>
      </w:r>
      <w:r w:rsidR="0089170F">
        <w:t xml:space="preserve">, but are concerned that the lack of an </w:t>
      </w:r>
      <w:r w:rsidR="00142369">
        <w:t xml:space="preserve">ARB </w:t>
      </w:r>
      <w:r w:rsidR="0089170F">
        <w:t>approval process may result in this important requirement be</w:t>
      </w:r>
      <w:r w:rsidR="008061C3">
        <w:t>ing difficult or impossible to</w:t>
      </w:r>
      <w:r w:rsidR="0089170F">
        <w:t xml:space="preserve"> enforce</w:t>
      </w:r>
      <w:r w:rsidR="000357B8">
        <w:t>.</w:t>
      </w:r>
      <w:r w:rsidR="0089170F">
        <w:t xml:space="preserve"> </w:t>
      </w:r>
      <w:r w:rsidR="000357B8">
        <w:t xml:space="preserve"> </w:t>
      </w:r>
      <w:r w:rsidR="00142369">
        <w:t xml:space="preserve">Therefore, </w:t>
      </w:r>
      <w:r w:rsidR="00152209">
        <w:t xml:space="preserve">EMA recommends that the </w:t>
      </w:r>
      <w:r w:rsidR="0089170F">
        <w:t>Proposal</w:t>
      </w:r>
      <w:r w:rsidR="00152209">
        <w:t xml:space="preserve"> be </w:t>
      </w:r>
      <w:r w:rsidR="0089170F">
        <w:t xml:space="preserve">revised </w:t>
      </w:r>
      <w:r w:rsidR="00152209">
        <w:t xml:space="preserve">to </w:t>
      </w:r>
      <w:r w:rsidR="00C57FC4">
        <w:t>require</w:t>
      </w:r>
      <w:r w:rsidR="0089170F">
        <w:t xml:space="preserve"> written </w:t>
      </w:r>
      <w:r w:rsidR="008061C3">
        <w:t>acceptance</w:t>
      </w:r>
      <w:r w:rsidR="0089170F">
        <w:t xml:space="preserve"> </w:t>
      </w:r>
      <w:r w:rsidR="000357B8">
        <w:t xml:space="preserve">of a new alternative diesel fuel meeting the required consensus standard </w:t>
      </w:r>
      <w:r w:rsidR="0089170F">
        <w:t>by</w:t>
      </w:r>
      <w:r w:rsidR="00C57FC4">
        <w:t xml:space="preserve"> </w:t>
      </w:r>
      <w:r w:rsidR="00FB3D39">
        <w:t xml:space="preserve">engine manufacturers </w:t>
      </w:r>
      <w:r w:rsidR="008061C3">
        <w:t>representing 75</w:t>
      </w:r>
      <w:r w:rsidR="00780602">
        <w:t>% by</w:t>
      </w:r>
      <w:r w:rsidR="008061C3">
        <w:t xml:space="preserve"> number and 75% by </w:t>
      </w:r>
      <w:r w:rsidR="009A324A">
        <w:t xml:space="preserve">engines in service </w:t>
      </w:r>
      <w:r w:rsidR="008061C3">
        <w:t>f</w:t>
      </w:r>
      <w:r w:rsidR="009A324A">
        <w:t>or</w:t>
      </w:r>
      <w:r w:rsidR="008061C3">
        <w:t xml:space="preserve"> those manufacturers </w:t>
      </w:r>
      <w:r w:rsidR="00FB3D39">
        <w:t xml:space="preserve">certifying engines with ARB for sale in California.  </w:t>
      </w:r>
    </w:p>
    <w:p w:rsidR="00152209" w:rsidRDefault="00FB3D39" w:rsidP="0089170F">
      <w:pPr>
        <w:widowControl/>
        <w:spacing w:after="120"/>
        <w:ind w:firstLine="720"/>
      </w:pPr>
      <w:r>
        <w:t xml:space="preserve">Even </w:t>
      </w:r>
      <w:r w:rsidR="0089170F">
        <w:t xml:space="preserve">if the Proposal were revised to clarify the level of </w:t>
      </w:r>
      <w:r w:rsidR="00173940">
        <w:t xml:space="preserve">engine manufacturer </w:t>
      </w:r>
      <w:r w:rsidR="00142369">
        <w:t>acceptance</w:t>
      </w:r>
      <w:r w:rsidR="0089170F">
        <w:t xml:space="preserve"> required, EMA still has</w:t>
      </w:r>
      <w:r>
        <w:t xml:space="preserve"> significant concern</w:t>
      </w:r>
      <w:r w:rsidR="0089170F">
        <w:t>s</w:t>
      </w:r>
      <w:r>
        <w:t xml:space="preserve"> </w:t>
      </w:r>
      <w:r w:rsidR="0089170F">
        <w:t>regarding misfueling by</w:t>
      </w:r>
      <w:r>
        <w:t xml:space="preserve"> the 25% of manufacturers </w:t>
      </w:r>
      <w:r w:rsidR="008061C3">
        <w:t xml:space="preserve">and/or </w:t>
      </w:r>
      <w:r>
        <w:t xml:space="preserve">engines </w:t>
      </w:r>
      <w:r w:rsidR="008061C3">
        <w:t>that have not accepted the</w:t>
      </w:r>
      <w:r w:rsidR="00C57FC4">
        <w:t xml:space="preserve"> use </w:t>
      </w:r>
      <w:r w:rsidR="008061C3">
        <w:t xml:space="preserve">of </w:t>
      </w:r>
      <w:r w:rsidR="0089170F">
        <w:t>the</w:t>
      </w:r>
      <w:r w:rsidR="00C57FC4">
        <w:t xml:space="preserve"> alternative fuel</w:t>
      </w:r>
      <w:r>
        <w:t xml:space="preserve">.  </w:t>
      </w:r>
      <w:r w:rsidR="008D7223">
        <w:t xml:space="preserve">In addition, engine manufacturers are concerned that </w:t>
      </w:r>
      <w:r w:rsidR="0089170F">
        <w:t xml:space="preserve">the use </w:t>
      </w:r>
      <w:r w:rsidR="00EE54B2">
        <w:t>of</w:t>
      </w:r>
      <w:r w:rsidR="008D7223">
        <w:t xml:space="preserve"> alternative fuels will impact </w:t>
      </w:r>
      <w:r w:rsidR="00EE54B2">
        <w:t>engines’</w:t>
      </w:r>
      <w:r w:rsidR="008D7223">
        <w:t xml:space="preserve"> ability to demonstrate compliance with in-use emission requirements and on-board diagnostic requirements given the potential disparity in fuel properties </w:t>
      </w:r>
      <w:r w:rsidR="00EE54B2">
        <w:t>between alternative fuels and</w:t>
      </w:r>
      <w:r w:rsidR="008D7223">
        <w:t xml:space="preserve"> California petroleum diesel fuel.  The lack of any long</w:t>
      </w:r>
      <w:r w:rsidR="00173940">
        <w:t>-</w:t>
      </w:r>
      <w:r w:rsidR="008D7223">
        <w:t xml:space="preserve">term emission influence evaluation of alternative fuels, either during the rulemaking development or as a requirement of the </w:t>
      </w:r>
      <w:r w:rsidR="00173940">
        <w:t>Proposal</w:t>
      </w:r>
      <w:r w:rsidR="00EE54B2">
        <w:t>,</w:t>
      </w:r>
      <w:r w:rsidR="008D7223">
        <w:t xml:space="preserve"> </w:t>
      </w:r>
      <w:r w:rsidR="00DD236E">
        <w:t>raises</w:t>
      </w:r>
      <w:r w:rsidR="008D7223">
        <w:t xml:space="preserve"> significant concerns.</w:t>
      </w:r>
    </w:p>
    <w:p w:rsidR="00AE597E" w:rsidRDefault="00AE597E" w:rsidP="00152209">
      <w:pPr>
        <w:widowControl/>
        <w:spacing w:after="120"/>
        <w:ind w:firstLine="720"/>
      </w:pPr>
      <w:r>
        <w:t xml:space="preserve">Given the </w:t>
      </w:r>
      <w:r w:rsidR="00173940">
        <w:t>5-</w:t>
      </w:r>
      <w:r w:rsidR="008061C3">
        <w:t xml:space="preserve">year </w:t>
      </w:r>
      <w:r>
        <w:t>maximum total timeframe outlined for Stage 2</w:t>
      </w:r>
      <w:r w:rsidR="00EE54B2">
        <w:t>,</w:t>
      </w:r>
      <w:r>
        <w:t xml:space="preserve"> it is not reasonable to assume that engine manufacturers will have sufficient time to complete the evaluations necessary</w:t>
      </w:r>
      <w:r w:rsidR="008061C3" w:rsidRPr="008061C3">
        <w:t xml:space="preserve"> </w:t>
      </w:r>
      <w:r w:rsidR="008061C3">
        <w:t xml:space="preserve">after </w:t>
      </w:r>
      <w:r w:rsidR="009A324A">
        <w:t>they have</w:t>
      </w:r>
      <w:r w:rsidR="008061C3">
        <w:t xml:space="preserve"> determined that a new fuel is viable</w:t>
      </w:r>
      <w:r>
        <w:t xml:space="preserve">. </w:t>
      </w:r>
      <w:r w:rsidR="00EE54B2">
        <w:t xml:space="preserve"> Similarly, </w:t>
      </w:r>
      <w:r w:rsidR="009A324A">
        <w:t xml:space="preserve">it is not realistic </w:t>
      </w:r>
      <w:r w:rsidR="00EE54B2">
        <w:t>for a new fuel to “a</w:t>
      </w:r>
      <w:r>
        <w:t>chieve adoption of all consensus standards applicable to the ADF”</w:t>
      </w:r>
      <w:r w:rsidR="00B47B53">
        <w:t xml:space="preserve"> within the prescribed timeframe.  </w:t>
      </w:r>
      <w:r w:rsidR="008061C3">
        <w:t>A review of the timeline associated with development of the ASTM D6751 standard for biodiesel and its inclusion at up to the B5 level in D975 would be beneficial a</w:t>
      </w:r>
      <w:r w:rsidR="00B47B53">
        <w:t xml:space="preserve">s a guideline for the time </w:t>
      </w:r>
      <w:r w:rsidR="008061C3">
        <w:t>necessary</w:t>
      </w:r>
      <w:r w:rsidR="00B47B53">
        <w:t xml:space="preserve"> to complete the required consensus standards and engine manufacturer </w:t>
      </w:r>
      <w:r w:rsidR="003903EE">
        <w:t>approvals</w:t>
      </w:r>
      <w:r w:rsidR="00B47B53">
        <w:t xml:space="preserve">.  </w:t>
      </w:r>
      <w:r w:rsidR="00EE54B2">
        <w:t>It also may be instructive to note that ARB’s October 2011 report on biodiesel, renewable diesel, and GTL fuels was five years in the making.</w:t>
      </w:r>
      <w:r w:rsidR="00152209">
        <w:t xml:space="preserve">  Both of th</w:t>
      </w:r>
      <w:r w:rsidR="008061C3">
        <w:t>o</w:t>
      </w:r>
      <w:r w:rsidR="00152209">
        <w:t>se examples demonstrate that the requirements for completion of Stage 2 will require more time than currently proposed.</w:t>
      </w:r>
      <w:r w:rsidR="008D7223">
        <w:t xml:space="preserve">  Engine </w:t>
      </w:r>
      <w:r w:rsidR="00DD236E">
        <w:t xml:space="preserve">manufacturers also </w:t>
      </w:r>
      <w:r w:rsidR="008061C3">
        <w:t xml:space="preserve">are </w:t>
      </w:r>
      <w:r w:rsidR="00DD236E">
        <w:t xml:space="preserve">concerned that the requirement for completion of Stage 2 to develop a “consensus standard” for the alternative fuel may be misconstrued to </w:t>
      </w:r>
      <w:r w:rsidR="008061C3">
        <w:t>mean</w:t>
      </w:r>
      <w:r w:rsidR="00DD236E">
        <w:t xml:space="preserve"> a narrow consensus among fuel providers rather than </w:t>
      </w:r>
      <w:r w:rsidR="008061C3">
        <w:t>the necessary broader consensus among</w:t>
      </w:r>
      <w:r w:rsidR="00DD236E">
        <w:t xml:space="preserve"> engine manufacturers, users, and regulators in addition to fuel providers.</w:t>
      </w:r>
    </w:p>
    <w:p w:rsidR="00FB3D39" w:rsidRDefault="00EE54B2" w:rsidP="00152209">
      <w:pPr>
        <w:widowControl/>
        <w:spacing w:after="120"/>
        <w:ind w:firstLine="720"/>
      </w:pPr>
      <w:r>
        <w:t xml:space="preserve">By </w:t>
      </w:r>
      <w:r w:rsidR="008061C3">
        <w:t xml:space="preserve">the Proposal </w:t>
      </w:r>
      <w:r>
        <w:t xml:space="preserve">declaring that </w:t>
      </w:r>
      <w:r w:rsidR="008061C3">
        <w:t>B6-B20</w:t>
      </w:r>
      <w:r>
        <w:t xml:space="preserve"> blends </w:t>
      </w:r>
      <w:r w:rsidR="008061C3">
        <w:t xml:space="preserve">are </w:t>
      </w:r>
      <w:r>
        <w:t>at Stage 3A</w:t>
      </w:r>
      <w:r w:rsidR="00173940">
        <w:t>,</w:t>
      </w:r>
      <w:r>
        <w:t xml:space="preserve"> </w:t>
      </w:r>
      <w:r w:rsidR="008061C3">
        <w:t>ARB</w:t>
      </w:r>
      <w:r w:rsidR="00FB3D39">
        <w:t xml:space="preserve"> apparently deem</w:t>
      </w:r>
      <w:r>
        <w:t>s</w:t>
      </w:r>
      <w:r w:rsidR="00FB3D39">
        <w:t xml:space="preserve"> conventional biodiesel methyl ester meeting D6751 and blended </w:t>
      </w:r>
      <w:r w:rsidR="008061C3">
        <w:t>at B6-B20</w:t>
      </w:r>
      <w:r w:rsidR="00FB3D39">
        <w:t xml:space="preserve"> level</w:t>
      </w:r>
      <w:r w:rsidR="008061C3">
        <w:t>s</w:t>
      </w:r>
      <w:r w:rsidR="00FB3D39">
        <w:t xml:space="preserve"> as having met Stage 2 requirements.  While a number of engine manufacturers have approved B20 for use in some of their engines</w:t>
      </w:r>
      <w:r>
        <w:t>,</w:t>
      </w:r>
      <w:r w:rsidR="00FB3D39">
        <w:t xml:space="preserve"> it is not clear that the 75% approval threshold</w:t>
      </w:r>
      <w:r w:rsidR="00287BE3">
        <w:t>, however defined</w:t>
      </w:r>
      <w:r w:rsidR="009A324A">
        <w:t>,</w:t>
      </w:r>
      <w:r w:rsidR="00FB3D39">
        <w:t xml:space="preserve"> </w:t>
      </w:r>
      <w:r w:rsidR="0092138C">
        <w:t xml:space="preserve">has been achieved.  As noted above, there are substantial questions concerning how ARB </w:t>
      </w:r>
      <w:r w:rsidR="00287BE3">
        <w:t xml:space="preserve">intended </w:t>
      </w:r>
      <w:r w:rsidR="0092138C">
        <w:t xml:space="preserve">the 75% approval threshold </w:t>
      </w:r>
      <w:r w:rsidR="00287BE3">
        <w:t xml:space="preserve">to </w:t>
      </w:r>
      <w:r w:rsidR="0092138C">
        <w:t xml:space="preserve">be achieved. The apparent </w:t>
      </w:r>
      <w:r w:rsidR="006A1829">
        <w:t xml:space="preserve">ARB </w:t>
      </w:r>
      <w:r w:rsidR="0092138C">
        <w:t xml:space="preserve">approval of B20 blends raises significant </w:t>
      </w:r>
      <w:r w:rsidR="0092138C">
        <w:lastRenderedPageBreak/>
        <w:t xml:space="preserve">questions concerning both how this determination was made, and what regulatory action ARB intends to undertake to prevent misfueling using B20 blends in engines that have not been </w:t>
      </w:r>
      <w:r w:rsidR="006A1829">
        <w:t>accepted</w:t>
      </w:r>
      <w:r w:rsidR="0092138C">
        <w:t xml:space="preserve"> for B20 use by the engine manufacturer.</w:t>
      </w:r>
    </w:p>
    <w:p w:rsidR="0092138C" w:rsidRDefault="0092138C" w:rsidP="00152209">
      <w:pPr>
        <w:widowControl/>
        <w:spacing w:after="120"/>
        <w:ind w:firstLine="720"/>
      </w:pPr>
      <w:r>
        <w:t xml:space="preserve">In addition, </w:t>
      </w:r>
      <w:r w:rsidR="00EE54B2">
        <w:t>it appear</w:t>
      </w:r>
      <w:r w:rsidR="00287BE3">
        <w:t>s</w:t>
      </w:r>
      <w:r w:rsidR="00EE54B2">
        <w:t xml:space="preserve"> that </w:t>
      </w:r>
      <w:r>
        <w:t xml:space="preserve">ARB has determined that conventional biodiesel methyl esters meeting D6751 can be blended at levels greater than B20 without meeting the </w:t>
      </w:r>
      <w:r w:rsidR="00EE54B2">
        <w:t xml:space="preserve">following </w:t>
      </w:r>
      <w:r>
        <w:t>Stage 2 requirements: (i) achieve adoption of a consensus standard applicable to the ADF; (ii) obtain approval of at least 75% of compression</w:t>
      </w:r>
      <w:r w:rsidR="009A324A">
        <w:t>-</w:t>
      </w:r>
      <w:r>
        <w:t>ignition</w:t>
      </w:r>
      <w:r w:rsidR="009A324A">
        <w:t>-</w:t>
      </w:r>
      <w:r>
        <w:t>engine original equipment manufacturers; (iii) identify appropriate fuel specifications for the ADF; and (iv) identify appropriate mitigation strategies for the ADF</w:t>
      </w:r>
      <w:r w:rsidR="00DA7620">
        <w:t>,</w:t>
      </w:r>
      <w:r w:rsidR="0057271A">
        <w:t xml:space="preserve"> none of which have been achieved.  Additionally, the apparent approval of biodiesel blends greater than B20 conflicts with ARB’s stated purpose </w:t>
      </w:r>
      <w:r w:rsidR="00287BE3">
        <w:t>in</w:t>
      </w:r>
      <w:r w:rsidR="0057271A">
        <w:t xml:space="preserve"> the </w:t>
      </w:r>
      <w:r w:rsidR="00287BE3">
        <w:t>Proposal to</w:t>
      </w:r>
      <w:r w:rsidR="0057271A">
        <w:t xml:space="preserve"> “foster the introduction and use of innovative ADFs in California that have no significant adverse impacts overall on public health or the environment relative to conventional, petroleum-based CARB diesel.”  ARB’s own testing program confirmed previous testing that demonstrate</w:t>
      </w:r>
      <w:r w:rsidR="00EE54B2">
        <w:t>d</w:t>
      </w:r>
      <w:r w:rsidR="0057271A">
        <w:t xml:space="preserve"> a significant increase in</w:t>
      </w:r>
      <w:r w:rsidR="006A1829">
        <w:t xml:space="preserve"> NOx emissions from compression-</w:t>
      </w:r>
      <w:r w:rsidR="0057271A">
        <w:t>ignition engines when utilizing biodiesel blends greater than B20.  Additionally, ARB</w:t>
      </w:r>
      <w:r w:rsidR="00F34E1F">
        <w:t xml:space="preserve">’s NOx mitigation test program </w:t>
      </w:r>
      <w:r w:rsidR="00287BE3">
        <w:t>(</w:t>
      </w:r>
      <w:r w:rsidR="00F34E1F">
        <w:t>utilized to identify options for NOx mitigation for biodiesel blends less than B20</w:t>
      </w:r>
      <w:r w:rsidR="00287BE3">
        <w:t>)</w:t>
      </w:r>
      <w:r w:rsidR="00F34E1F">
        <w:t xml:space="preserve"> identified no known means to mitigate NOx emissions from blends greater than B20.</w:t>
      </w:r>
      <w:r w:rsidR="00476E8C">
        <w:t xml:space="preserve">  </w:t>
      </w:r>
      <w:r w:rsidR="00287BE3">
        <w:t>That</w:t>
      </w:r>
      <w:r w:rsidR="00476E8C">
        <w:t xml:space="preserve"> </w:t>
      </w:r>
      <w:r w:rsidR="00EE54B2">
        <w:t>error</w:t>
      </w:r>
      <w:r w:rsidR="00287BE3">
        <w:t xml:space="preserve"> is</w:t>
      </w:r>
      <w:r w:rsidR="00EE54B2">
        <w:t xml:space="preserve"> </w:t>
      </w:r>
      <w:r w:rsidR="00476E8C">
        <w:t xml:space="preserve">particularly egregious given that ARB is implementing a low-NOx emission program for heavy-duty engines </w:t>
      </w:r>
      <w:r w:rsidR="00EE54B2">
        <w:t>concurrent with this rulemaking which</w:t>
      </w:r>
      <w:r w:rsidR="008D6F9C">
        <w:t xml:space="preserve"> requires significant NOx reductions.</w:t>
      </w:r>
    </w:p>
    <w:p w:rsidR="00F34E1F" w:rsidRDefault="00F34E1F" w:rsidP="00152209">
      <w:pPr>
        <w:widowControl/>
        <w:spacing w:after="120"/>
        <w:ind w:firstLine="720"/>
      </w:pPr>
      <w:r>
        <w:t xml:space="preserve">ARB </w:t>
      </w:r>
      <w:r w:rsidR="00287BE3">
        <w:t xml:space="preserve">also </w:t>
      </w:r>
      <w:r>
        <w:t xml:space="preserve">has deemed all renewable diesel fuels, gas-to-liquid fuels, and Fisher-Tropsch fuels as “Drop-in Fuel” by definition </w:t>
      </w:r>
      <w:r w:rsidR="006A1829">
        <w:rPr>
          <w:rFonts w:ascii="Arial" w:hAnsi="Arial" w:cs="Arial"/>
        </w:rPr>
        <w:t>―</w:t>
      </w:r>
      <w:r w:rsidR="00287BE3">
        <w:t xml:space="preserve"> </w:t>
      </w:r>
      <w:r>
        <w:t>meaning that th</w:t>
      </w:r>
      <w:r w:rsidR="006A1829">
        <w:t>o</w:t>
      </w:r>
      <w:r>
        <w:t xml:space="preserve">se fuels can be utilized without further study by ARB, engine manufacturers, or California consumers.  Without definition of the fuels and/or </w:t>
      </w:r>
      <w:r w:rsidR="00287BE3">
        <w:t xml:space="preserve">their </w:t>
      </w:r>
      <w:r>
        <w:t xml:space="preserve">fuel </w:t>
      </w:r>
      <w:r w:rsidR="00476E8C">
        <w:t>properties</w:t>
      </w:r>
      <w:r w:rsidR="00EE54B2">
        <w:t>,</w:t>
      </w:r>
      <w:r w:rsidR="00476E8C">
        <w:t xml:space="preserve"> engine manufacturers have significant concerns associated with untested, </w:t>
      </w:r>
      <w:r w:rsidR="006A1829">
        <w:t>unacceptable</w:t>
      </w:r>
      <w:r w:rsidR="00476E8C">
        <w:t xml:space="preserve"> fuels being placed in the California marketplace.  </w:t>
      </w:r>
      <w:r w:rsidR="00DA7620">
        <w:t>ARB does propose properties for what is termed “Low-NOx Diesel base fuel” in Appendix A(a)(2)</w:t>
      </w:r>
      <w:r w:rsidR="00EE54B2">
        <w:t>,</w:t>
      </w:r>
      <w:r w:rsidR="00DA7620">
        <w:t xml:space="preserve"> but </w:t>
      </w:r>
      <w:r w:rsidR="00EE54B2">
        <w:t xml:space="preserve">has </w:t>
      </w:r>
      <w:r w:rsidR="00287BE3">
        <w:t xml:space="preserve">not </w:t>
      </w:r>
      <w:r w:rsidR="001D34E1">
        <w:t xml:space="preserve">proposed </w:t>
      </w:r>
      <w:r w:rsidR="00287BE3">
        <w:t>any</w:t>
      </w:r>
      <w:r w:rsidR="001D34E1">
        <w:t xml:space="preserve"> requirement that </w:t>
      </w:r>
      <w:r w:rsidR="00DA7620">
        <w:t xml:space="preserve">the prescribed properties </w:t>
      </w:r>
      <w:r w:rsidR="00EE54B2">
        <w:t>be</w:t>
      </w:r>
      <w:r w:rsidR="001D34E1">
        <w:t xml:space="preserve"> utilized to define the</w:t>
      </w:r>
      <w:r w:rsidR="00DA7620">
        <w:t xml:space="preserve"> minimum requirements for the renewable diesel fuels, gas-to-liquid fuels, and Fisher-Tropsch fuels deemed drop-in fuels.  </w:t>
      </w:r>
      <w:r w:rsidR="00EE54B2">
        <w:t>R</w:t>
      </w:r>
      <w:r w:rsidR="00476E8C">
        <w:t xml:space="preserve">ecent experience has </w:t>
      </w:r>
      <w:r w:rsidR="0032264B">
        <w:t>demonstrated</w:t>
      </w:r>
      <w:r w:rsidR="00476E8C">
        <w:t xml:space="preserve"> that </w:t>
      </w:r>
      <w:r w:rsidR="0032264B">
        <w:t xml:space="preserve">this </w:t>
      </w:r>
      <w:r w:rsidR="00476E8C">
        <w:t xml:space="preserve">loophole </w:t>
      </w:r>
      <w:r w:rsidR="0032264B">
        <w:t>may be utilized</w:t>
      </w:r>
      <w:r w:rsidR="008D1882">
        <w:t xml:space="preserve"> by fuel producers that desire</w:t>
      </w:r>
      <w:r w:rsidR="0032264B">
        <w:t xml:space="preserve"> </w:t>
      </w:r>
      <w:r w:rsidR="00476E8C">
        <w:t xml:space="preserve">to market sub-standard products, reap </w:t>
      </w:r>
      <w:r w:rsidR="00287BE3">
        <w:t>sales</w:t>
      </w:r>
      <w:r w:rsidR="00476E8C">
        <w:t xml:space="preserve"> benefits, and disappear when problems are identified.</w:t>
      </w:r>
      <w:r w:rsidR="006A1829">
        <w:t xml:space="preserve">  In addition, engine manufacturers do not have sufficient experience with fuels meeting ARB’s Low-NOx Diesel base fuel to accept their use without constraint.  While market factors may be expected to preclude significant use of </w:t>
      </w:r>
      <w:r w:rsidR="00B16247">
        <w:t>th</w:t>
      </w:r>
      <w:r w:rsidR="008D1882">
        <w:t>o</w:t>
      </w:r>
      <w:r w:rsidR="00B16247">
        <w:t>se fuels neat, or at very high (greater than 75%) blend levels</w:t>
      </w:r>
      <w:r w:rsidR="008D1882">
        <w:t>,</w:t>
      </w:r>
      <w:r w:rsidR="00B16247">
        <w:t xml:space="preserve"> neither ARB nor engine manufacturers have </w:t>
      </w:r>
      <w:r w:rsidR="008D1882">
        <w:t xml:space="preserve">conducted any testing to </w:t>
      </w:r>
      <w:r w:rsidR="00B16247">
        <w:t xml:space="preserve">demonstrate that such fuels </w:t>
      </w:r>
      <w:r w:rsidR="008D1882">
        <w:t xml:space="preserve">could be used without </w:t>
      </w:r>
      <w:r w:rsidR="00B16247">
        <w:t>significant engine performance, or regulatory compliance concerns.  Engine manufacturers recommend that the definition of “Drop-in Fuel” be revised to remove renewable diesel, gas-to-liquid, and similar fuels and revise the definition of “Diesel Substitute” to clarify that: “</w:t>
      </w:r>
      <w:r w:rsidR="008D1882">
        <w:t>‘Diesel Substitute’</w:t>
      </w:r>
      <w:r w:rsidR="00B16247">
        <w:t xml:space="preserve"> includes, but is not limited to, blends of no more than 75% renewable diesel</w:t>
      </w:r>
      <w:r w:rsidR="00780CCD">
        <w:t>,</w:t>
      </w:r>
      <w:r w:rsidR="00B16247">
        <w:t xml:space="preserve"> gas-to-liquid fuels, Fischer-</w:t>
      </w:r>
      <w:proofErr w:type="spellStart"/>
      <w:r w:rsidR="00B16247">
        <w:t>Tropsch</w:t>
      </w:r>
      <w:proofErr w:type="spellEnd"/>
      <w:r w:rsidR="00B16247">
        <w:t xml:space="preserve"> fuels; …”</w:t>
      </w:r>
    </w:p>
    <w:p w:rsidR="00725486" w:rsidRDefault="00DA7620" w:rsidP="00F67E43">
      <w:pPr>
        <w:widowControl/>
        <w:spacing w:after="120"/>
        <w:ind w:firstLine="720"/>
      </w:pPr>
      <w:r>
        <w:t xml:space="preserve">ARB has </w:t>
      </w:r>
      <w:r w:rsidR="0032264B">
        <w:t>proposed</w:t>
      </w:r>
      <w:r>
        <w:t xml:space="preserve"> the use of a minimum of 5.0 percent Di-tert-butyl peroxide (DTBP) in biodiesel blendstock</w:t>
      </w:r>
      <w:r w:rsidR="00287BE3">
        <w:t>,</w:t>
      </w:r>
      <w:r>
        <w:t xml:space="preserve"> subsequently blended to 20.0 percent or less</w:t>
      </w:r>
      <w:r w:rsidR="00287BE3">
        <w:t>,</w:t>
      </w:r>
      <w:r w:rsidR="0032264B" w:rsidRPr="0032264B">
        <w:t xml:space="preserve"> </w:t>
      </w:r>
      <w:r w:rsidR="0032264B">
        <w:t>as one option for an acceptable biodiesel NOx mitigation measure</w:t>
      </w:r>
      <w:r w:rsidR="00974AB9">
        <w:t xml:space="preserve"> (reference Appendix A(a)(1)).  Engine manufacturers have significant concerns associated with this option for NOx mitigation.  </w:t>
      </w:r>
      <w:r w:rsidR="0032264B">
        <w:t>Specifically,</w:t>
      </w:r>
      <w:r w:rsidR="00974AB9">
        <w:t xml:space="preserve"> peroxides such as DTBP are known to reduce oxidation stability </w:t>
      </w:r>
      <w:r w:rsidR="0032264B">
        <w:t>o</w:t>
      </w:r>
      <w:r w:rsidR="00974AB9">
        <w:t xml:space="preserve">f fuels.  </w:t>
      </w:r>
      <w:r w:rsidR="0032264B">
        <w:t>Neither</w:t>
      </w:r>
      <w:r w:rsidR="00974AB9">
        <w:t xml:space="preserve"> ARB </w:t>
      </w:r>
      <w:r w:rsidR="0032264B">
        <w:t>n</w:t>
      </w:r>
      <w:r w:rsidR="00974AB9">
        <w:t xml:space="preserve">or the fuels industry </w:t>
      </w:r>
      <w:r w:rsidR="0032264B">
        <w:t>has</w:t>
      </w:r>
      <w:r w:rsidR="00974AB9">
        <w:t xml:space="preserve"> demonstrate</w:t>
      </w:r>
      <w:r w:rsidR="0032264B">
        <w:t>d</w:t>
      </w:r>
      <w:r w:rsidR="00974AB9">
        <w:t xml:space="preserve"> that the proposed final B20 blend would comply with the ASTM D7467 requirement for oxidation stability, or that </w:t>
      </w:r>
      <w:r w:rsidR="0032264B">
        <w:t>use of</w:t>
      </w:r>
      <w:r w:rsidR="00974AB9">
        <w:t xml:space="preserve"> sufficient anti-oxidant additive to meet the D</w:t>
      </w:r>
      <w:r w:rsidR="001D34E1">
        <w:t>7467</w:t>
      </w:r>
      <w:r w:rsidR="00974AB9">
        <w:t xml:space="preserve"> </w:t>
      </w:r>
      <w:r w:rsidR="00974AB9">
        <w:lastRenderedPageBreak/>
        <w:t xml:space="preserve">requirements would result in a </w:t>
      </w:r>
      <w:r w:rsidR="001D34E1">
        <w:t>final fuel that either mitigate</w:t>
      </w:r>
      <w:r w:rsidR="0032264B">
        <w:t>s</w:t>
      </w:r>
      <w:r w:rsidR="001D34E1">
        <w:t xml:space="preserve"> </w:t>
      </w:r>
      <w:r w:rsidR="0032264B">
        <w:t>NOx emission increases</w:t>
      </w:r>
      <w:r w:rsidR="00974AB9">
        <w:t xml:space="preserve"> or is viable for engines in the marketplace.  The fuel industry has advised that </w:t>
      </w:r>
      <w:r w:rsidR="0032264B">
        <w:t>it</w:t>
      </w:r>
      <w:r w:rsidR="00974AB9">
        <w:t xml:space="preserve"> would not recommend</w:t>
      </w:r>
      <w:r w:rsidR="00287BE3">
        <w:t xml:space="preserve"> the use of</w:t>
      </w:r>
      <w:r w:rsidR="00974AB9">
        <w:t xml:space="preserve"> this option to mitigate NOx emissions from biodiesel blends</w:t>
      </w:r>
      <w:r w:rsidR="0032264B">
        <w:t>.</w:t>
      </w:r>
      <w:r w:rsidR="00974AB9">
        <w:t xml:space="preserve"> ARB</w:t>
      </w:r>
      <w:r w:rsidR="0032264B">
        <w:t>’s</w:t>
      </w:r>
      <w:r w:rsidR="00974AB9">
        <w:t xml:space="preserve"> inclu</w:t>
      </w:r>
      <w:r w:rsidR="0032264B">
        <w:t xml:space="preserve">sion of </w:t>
      </w:r>
      <w:r w:rsidR="00974AB9">
        <w:t>such an option effectively proclaim</w:t>
      </w:r>
      <w:r w:rsidR="0032264B">
        <w:t>s it</w:t>
      </w:r>
      <w:r w:rsidR="00974AB9">
        <w:t xml:space="preserve"> a viable </w:t>
      </w:r>
      <w:r w:rsidR="001D34E1">
        <w:t xml:space="preserve">fuel </w:t>
      </w:r>
      <w:r w:rsidR="00974AB9">
        <w:t xml:space="preserve">option.  </w:t>
      </w:r>
      <w:r w:rsidR="00F67E43">
        <w:t xml:space="preserve">As prescribed in </w:t>
      </w:r>
      <w:r w:rsidR="0032264B">
        <w:t xml:space="preserve">Proposal </w:t>
      </w:r>
      <w:r w:rsidR="00F67E43">
        <w:t>Section 2293.3(b)</w:t>
      </w:r>
      <w:r w:rsidR="0032264B">
        <w:t>,</w:t>
      </w:r>
      <w:r w:rsidR="00F67E43">
        <w:t xml:space="preserve"> a total of all additives should not exceed 1.0 percent by volume unless required for NOx mitigation.  </w:t>
      </w:r>
      <w:r w:rsidR="00597168">
        <w:t>Engine</w:t>
      </w:r>
      <w:r w:rsidR="00F67E43">
        <w:t xml:space="preserve"> manufacturers support the ARB determination that cumulative additive rates of greater than 1.0 percent by volume are unacceptable</w:t>
      </w:r>
      <w:r w:rsidR="0032264B">
        <w:t>,</w:t>
      </w:r>
      <w:r w:rsidR="00F67E43">
        <w:t xml:space="preserve"> but do not agree </w:t>
      </w:r>
      <w:r w:rsidR="0032264B">
        <w:t>with its proposed ex</w:t>
      </w:r>
      <w:r w:rsidR="00F67E43">
        <w:t>emption</w:t>
      </w:r>
      <w:r w:rsidR="00287BE3">
        <w:t xml:space="preserve"> for the mitigation of NOx</w:t>
      </w:r>
      <w:r w:rsidR="00F67E43">
        <w:t>.</w:t>
      </w:r>
      <w:bookmarkStart w:id="27" w:name="_DV_M38"/>
      <w:bookmarkEnd w:id="27"/>
      <w:r w:rsidR="00C47A31">
        <w:tab/>
        <w:t xml:space="preserve"> </w:t>
      </w:r>
    </w:p>
    <w:p w:rsidR="00725486" w:rsidRDefault="00C47A31">
      <w:pPr>
        <w:widowControl/>
        <w:spacing w:before="240" w:after="120"/>
        <w:jc w:val="left"/>
      </w:pPr>
      <w:bookmarkStart w:id="28" w:name="_DV_M96"/>
      <w:bookmarkEnd w:id="28"/>
      <w:r>
        <w:t>III.</w:t>
      </w:r>
      <w:r>
        <w:tab/>
        <w:t>Recommendation</w:t>
      </w:r>
      <w:r w:rsidR="00B16247">
        <w:t>s</w:t>
      </w:r>
      <w:r>
        <w:t xml:space="preserve"> </w:t>
      </w:r>
    </w:p>
    <w:p w:rsidR="0025647F" w:rsidRDefault="00D377CB">
      <w:pPr>
        <w:widowControl/>
        <w:spacing w:after="120"/>
        <w:ind w:firstLine="720"/>
      </w:pPr>
      <w:bookmarkStart w:id="29" w:name="_DV_M97"/>
      <w:bookmarkStart w:id="30" w:name="_DV_M102"/>
      <w:bookmarkEnd w:id="29"/>
      <w:bookmarkEnd w:id="30"/>
      <w:r>
        <w:t xml:space="preserve">ARB </w:t>
      </w:r>
      <w:r w:rsidR="00287BE3">
        <w:t xml:space="preserve">should </w:t>
      </w:r>
      <w:r>
        <w:t xml:space="preserve">make several changes to the </w:t>
      </w:r>
      <w:r w:rsidR="0032264B">
        <w:t>P</w:t>
      </w:r>
      <w:r>
        <w:t>ropos</w:t>
      </w:r>
      <w:r w:rsidR="0032264B">
        <w:t>al</w:t>
      </w:r>
      <w:r>
        <w:t xml:space="preserve"> prior to </w:t>
      </w:r>
      <w:r w:rsidR="00287BE3">
        <w:t xml:space="preserve">its </w:t>
      </w:r>
      <w:r w:rsidR="0032264B">
        <w:t>adoption as a Final Rule.</w:t>
      </w:r>
      <w:r>
        <w:t xml:space="preserve">  </w:t>
      </w:r>
    </w:p>
    <w:p w:rsidR="00D377CB" w:rsidRDefault="00D377CB">
      <w:pPr>
        <w:widowControl/>
        <w:spacing w:after="120"/>
        <w:ind w:firstLine="720"/>
      </w:pPr>
      <w:r>
        <w:t>Specifically</w:t>
      </w:r>
      <w:r w:rsidR="0032264B">
        <w:t>,</w:t>
      </w:r>
      <w:r>
        <w:t xml:space="preserve"> EMA recommends</w:t>
      </w:r>
      <w:r w:rsidR="00287BE3">
        <w:t xml:space="preserve"> that ARB</w:t>
      </w:r>
      <w:r>
        <w:t>:</w:t>
      </w:r>
    </w:p>
    <w:p w:rsidR="00D377CB" w:rsidRDefault="00287BE3" w:rsidP="00D377CB">
      <w:pPr>
        <w:widowControl/>
        <w:numPr>
          <w:ilvl w:val="0"/>
          <w:numId w:val="13"/>
        </w:numPr>
        <w:spacing w:after="120"/>
      </w:pPr>
      <w:r>
        <w:t>P</w:t>
      </w:r>
      <w:r w:rsidR="00D377CB">
        <w:t>rescribe</w:t>
      </w:r>
      <w:r>
        <w:t xml:space="preserve"> that</w:t>
      </w:r>
      <w:r w:rsidR="00D377CB">
        <w:t xml:space="preserve"> </w:t>
      </w:r>
      <w:r w:rsidR="00B16247">
        <w:t xml:space="preserve">the </w:t>
      </w:r>
      <w:r w:rsidR="00D377CB">
        <w:t>Stage 2 time period be a minimum of 2 years, with the opportunity to renew every 2 years for a total of 10 years.</w:t>
      </w:r>
    </w:p>
    <w:p w:rsidR="00D377CB" w:rsidRDefault="00287BE3" w:rsidP="00D377CB">
      <w:pPr>
        <w:widowControl/>
        <w:numPr>
          <w:ilvl w:val="0"/>
          <w:numId w:val="13"/>
        </w:numPr>
        <w:spacing w:after="120"/>
      </w:pPr>
      <w:r>
        <w:t>E</w:t>
      </w:r>
      <w:r w:rsidR="0032264B">
        <w:t>stablish</w:t>
      </w:r>
      <w:r>
        <w:t>,</w:t>
      </w:r>
      <w:r w:rsidR="0032264B">
        <w:t xml:space="preserve"> in writing, a </w:t>
      </w:r>
      <w:r w:rsidR="00D377CB">
        <w:t xml:space="preserve">process </w:t>
      </w:r>
      <w:r w:rsidR="00780CCD">
        <w:t xml:space="preserve">that ARB will utilize </w:t>
      </w:r>
      <w:r w:rsidR="00D377CB">
        <w:t xml:space="preserve">to </w:t>
      </w:r>
      <w:r w:rsidR="0032264B">
        <w:t>determine that</w:t>
      </w:r>
      <w:r w:rsidR="00D377CB">
        <w:t xml:space="preserve"> 75% of engine manufacturers have </w:t>
      </w:r>
      <w:r w:rsidR="0060667E">
        <w:t>accepted</w:t>
      </w:r>
      <w:r w:rsidR="00D377CB">
        <w:t xml:space="preserve"> a </w:t>
      </w:r>
      <w:r w:rsidR="003903EE">
        <w:t xml:space="preserve">Stage 2 </w:t>
      </w:r>
      <w:r w:rsidR="00D377CB">
        <w:t>fuel</w:t>
      </w:r>
      <w:r w:rsidR="0032264B">
        <w:t>.</w:t>
      </w:r>
      <w:r w:rsidR="00D377CB">
        <w:t xml:space="preserve"> </w:t>
      </w:r>
    </w:p>
    <w:p w:rsidR="00DD236E" w:rsidRDefault="0060667E" w:rsidP="00D377CB">
      <w:pPr>
        <w:widowControl/>
        <w:numPr>
          <w:ilvl w:val="0"/>
          <w:numId w:val="13"/>
        </w:numPr>
        <w:spacing w:after="120"/>
      </w:pPr>
      <w:r>
        <w:t>Define the</w:t>
      </w:r>
      <w:r w:rsidR="00DD236E">
        <w:t xml:space="preserve"> term “consensus standard” for purpose</w:t>
      </w:r>
      <w:r>
        <w:t>s</w:t>
      </w:r>
      <w:r w:rsidR="00DD236E">
        <w:t xml:space="preserve"> of </w:t>
      </w:r>
      <w:r w:rsidR="003903EE">
        <w:t>the Final Rule</w:t>
      </w:r>
      <w:r w:rsidR="00DD236E">
        <w:t xml:space="preserve"> to include</w:t>
      </w:r>
      <w:r>
        <w:t>,</w:t>
      </w:r>
      <w:r w:rsidR="003903EE">
        <w:t xml:space="preserve"> at a minimum</w:t>
      </w:r>
      <w:r>
        <w:t>,</w:t>
      </w:r>
      <w:r w:rsidR="00DD236E">
        <w:t xml:space="preserve"> </w:t>
      </w:r>
      <w:r w:rsidR="008D1882">
        <w:t xml:space="preserve">consensus among </w:t>
      </w:r>
      <w:r w:rsidR="00DD236E">
        <w:t>fuel producers, fuel marketers, engine manufacturers, and users.</w:t>
      </w:r>
    </w:p>
    <w:p w:rsidR="00D377CB" w:rsidRDefault="0060667E" w:rsidP="00D377CB">
      <w:pPr>
        <w:widowControl/>
        <w:numPr>
          <w:ilvl w:val="0"/>
          <w:numId w:val="13"/>
        </w:numPr>
        <w:spacing w:after="120"/>
      </w:pPr>
      <w:r>
        <w:t>D</w:t>
      </w:r>
      <w:r w:rsidR="00D377CB">
        <w:t>irect the California Division of Weights and Measures to develop and implement regulations that mitigate the potential for misfueling as part of the transition from Stage 2 to Stage 3A or 3B</w:t>
      </w:r>
      <w:r w:rsidR="003903EE">
        <w:t>,</w:t>
      </w:r>
      <w:r w:rsidR="00D377CB">
        <w:t xml:space="preserve"> </w:t>
      </w:r>
      <w:r w:rsidR="003903EE">
        <w:t>including, among other things,</w:t>
      </w:r>
      <w:r w:rsidR="00597168">
        <w:t xml:space="preserve"> regulations associated with the use of B6-B20 blends deemed by ARB to be in Stage 3A that have not been </w:t>
      </w:r>
      <w:r w:rsidR="008D1882">
        <w:t>accepted</w:t>
      </w:r>
      <w:r w:rsidR="00597168">
        <w:t xml:space="preserve"> for use in all engines in California.</w:t>
      </w:r>
    </w:p>
    <w:p w:rsidR="00D377CB" w:rsidRDefault="0060667E" w:rsidP="00D377CB">
      <w:pPr>
        <w:widowControl/>
        <w:numPr>
          <w:ilvl w:val="0"/>
          <w:numId w:val="13"/>
        </w:numPr>
        <w:spacing w:after="120"/>
      </w:pPr>
      <w:r>
        <w:t>Clarify</w:t>
      </w:r>
      <w:r w:rsidR="00597168">
        <w:t xml:space="preserve"> that </w:t>
      </w:r>
      <w:r w:rsidR="003903EE">
        <w:t xml:space="preserve">all </w:t>
      </w:r>
      <w:r w:rsidR="00597168">
        <w:t>biodiesel blends greater</w:t>
      </w:r>
      <w:r w:rsidR="003903EE">
        <w:t xml:space="preserve"> than B20 are </w:t>
      </w:r>
      <w:r w:rsidR="00597168">
        <w:t xml:space="preserve">Stage 1 fuels </w:t>
      </w:r>
      <w:r w:rsidR="003903EE">
        <w:t>that must</w:t>
      </w:r>
      <w:r w:rsidR="00597168">
        <w:t xml:space="preserve"> meet all of the Stage 1 </w:t>
      </w:r>
      <w:r w:rsidR="003903EE">
        <w:t xml:space="preserve">and Stage 2 </w:t>
      </w:r>
      <w:r w:rsidR="00597168">
        <w:t>program requirements</w:t>
      </w:r>
      <w:r w:rsidR="003903EE">
        <w:t xml:space="preserve"> prior to determination if Stage</w:t>
      </w:r>
      <w:r w:rsidR="008D1882">
        <w:t xml:space="preserve"> 3A or 3B is appropriate for tho</w:t>
      </w:r>
      <w:r w:rsidR="003903EE">
        <w:t>se fuels</w:t>
      </w:r>
      <w:r w:rsidR="00597168">
        <w:t xml:space="preserve">.  </w:t>
      </w:r>
    </w:p>
    <w:p w:rsidR="00597168" w:rsidRDefault="0060667E" w:rsidP="00D377CB">
      <w:pPr>
        <w:widowControl/>
        <w:numPr>
          <w:ilvl w:val="0"/>
          <w:numId w:val="13"/>
        </w:numPr>
        <w:spacing w:after="120"/>
      </w:pPr>
      <w:r>
        <w:t>I</w:t>
      </w:r>
      <w:r w:rsidR="00597168">
        <w:t xml:space="preserve">nclude a table of minimum fuel properties associated with </w:t>
      </w:r>
      <w:r w:rsidR="008D1882">
        <w:t>“D</w:t>
      </w:r>
      <w:r w:rsidR="003903EE">
        <w:t>rop-</w:t>
      </w:r>
      <w:r w:rsidR="008D1882">
        <w:t>I</w:t>
      </w:r>
      <w:r w:rsidR="003903EE">
        <w:t xml:space="preserve">n </w:t>
      </w:r>
      <w:r w:rsidR="008D1882">
        <w:t>F</w:t>
      </w:r>
      <w:r w:rsidR="00597168">
        <w:t>uels</w:t>
      </w:r>
      <w:r w:rsidR="008D1882">
        <w:t>”</w:t>
      </w:r>
      <w:r w:rsidR="00597168">
        <w:t xml:space="preserve"> </w:t>
      </w:r>
      <w:r w:rsidR="003903EE">
        <w:t xml:space="preserve">as </w:t>
      </w:r>
      <w:r w:rsidR="00597168">
        <w:t xml:space="preserve">defined by the </w:t>
      </w:r>
      <w:r w:rsidR="003903EE">
        <w:t>Final Rule</w:t>
      </w:r>
      <w:r w:rsidR="00597168">
        <w:t>.</w:t>
      </w:r>
    </w:p>
    <w:p w:rsidR="00B16247" w:rsidRDefault="00B16247" w:rsidP="00D377CB">
      <w:pPr>
        <w:widowControl/>
        <w:numPr>
          <w:ilvl w:val="0"/>
          <w:numId w:val="13"/>
        </w:numPr>
        <w:spacing w:after="120"/>
      </w:pPr>
      <w:r>
        <w:t xml:space="preserve">Revise the definition of “Drop-in Fuels” and “Diesel Substitute” </w:t>
      </w:r>
      <w:r w:rsidR="00780CCD">
        <w:t xml:space="preserve">to prevent blends </w:t>
      </w:r>
      <w:r w:rsidR="008D1882">
        <w:t xml:space="preserve">of </w:t>
      </w:r>
      <w:r w:rsidR="00780CCD">
        <w:t>greater than 75% renewable diesel, gas-to-liquid fuels, Fischer-Tropsch fuels from being used prior to acceptance by engine manufacturers.</w:t>
      </w:r>
    </w:p>
    <w:p w:rsidR="00597168" w:rsidRDefault="0060667E" w:rsidP="00D377CB">
      <w:pPr>
        <w:widowControl/>
        <w:numPr>
          <w:ilvl w:val="0"/>
          <w:numId w:val="13"/>
        </w:numPr>
        <w:spacing w:after="120"/>
      </w:pPr>
      <w:r>
        <w:t>D</w:t>
      </w:r>
      <w:r w:rsidR="00597168">
        <w:t>elete the option to utilize a 5.0 percent DTBP additive treatment in B100 biodiesel blended into a finished B20 blend as a NOx mitigation measure.</w:t>
      </w:r>
    </w:p>
    <w:p w:rsidR="00725486" w:rsidRPr="0025647F" w:rsidRDefault="00C47A31">
      <w:pPr>
        <w:widowControl/>
        <w:spacing w:after="120"/>
        <w:ind w:firstLine="720"/>
      </w:pPr>
      <w:bookmarkStart w:id="31" w:name="_DV_M105"/>
      <w:bookmarkStart w:id="32" w:name="_DV_M106"/>
      <w:bookmarkEnd w:id="31"/>
      <w:bookmarkEnd w:id="32"/>
      <w:r w:rsidRPr="0025647F">
        <w:t>If you have any questions about EMA’s comments, or would like to discuss this matter further, please do not hesitate to contact us.</w:t>
      </w:r>
    </w:p>
    <w:p w:rsidR="00725486" w:rsidRPr="00780CCD" w:rsidRDefault="00C47A31" w:rsidP="003903EE">
      <w:pPr>
        <w:widowControl/>
        <w:spacing w:before="240" w:after="120"/>
        <w:ind w:left="4140"/>
        <w:jc w:val="left"/>
      </w:pPr>
      <w:bookmarkStart w:id="33" w:name="_DV_M107"/>
      <w:bookmarkEnd w:id="33"/>
      <w:r w:rsidRPr="00780CCD">
        <w:t xml:space="preserve">Respectfully submitted, </w:t>
      </w:r>
    </w:p>
    <w:p w:rsidR="00725486" w:rsidRPr="003903EE" w:rsidRDefault="00725486">
      <w:pPr>
        <w:widowControl/>
        <w:ind w:left="4140"/>
        <w:jc w:val="left"/>
        <w:rPr>
          <w:b/>
        </w:rPr>
      </w:pPr>
    </w:p>
    <w:p w:rsidR="00AC174E" w:rsidRDefault="00C47A31">
      <w:pPr>
        <w:widowControl/>
        <w:ind w:left="4140"/>
        <w:jc w:val="left"/>
      </w:pPr>
      <w:bookmarkStart w:id="34" w:name="_DV_M108"/>
      <w:bookmarkEnd w:id="34"/>
      <w:r>
        <w:t>Engine Manufacturers Association</w:t>
      </w:r>
    </w:p>
    <w:p w:rsidR="00AC174E" w:rsidRDefault="00AC174E">
      <w:pPr>
        <w:widowControl/>
        <w:ind w:left="4140"/>
        <w:jc w:val="left"/>
      </w:pPr>
      <w:bookmarkStart w:id="35" w:name="_GoBack"/>
      <w:bookmarkEnd w:id="35"/>
    </w:p>
    <w:sectPr w:rsidR="00AC174E" w:rsidSect="0072548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86" w:rsidRDefault="00C47A31">
      <w:pPr>
        <w:widowControl/>
      </w:pPr>
      <w:r>
        <w:separator/>
      </w:r>
    </w:p>
  </w:endnote>
  <w:endnote w:type="continuationSeparator" w:id="0">
    <w:p w:rsidR="00725486" w:rsidRDefault="00C47A31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ngravrsRoma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C47A31">
    <w:pPr>
      <w:pStyle w:val="Footer"/>
      <w:widowControl/>
    </w:pPr>
    <w:r>
      <w:tab/>
    </w:r>
    <w:r w:rsidR="00BD3212">
      <w:rPr>
        <w:noProof/>
      </w:rPr>
      <w:fldChar w:fldCharType="begin"/>
    </w:r>
    <w:r>
      <w:rPr>
        <w:noProof/>
      </w:rPr>
      <w:instrText xml:space="preserve"> PAGE \* MERGEFORMAT \* MERGEFORMAT </w:instrText>
    </w:r>
    <w:r w:rsidR="00BD3212">
      <w:rPr>
        <w:noProof/>
      </w:rPr>
      <w:fldChar w:fldCharType="separate"/>
    </w:r>
    <w:r>
      <w:rPr>
        <w:noProof/>
      </w:rPr>
      <w:t>5</w:t>
    </w:r>
    <w:r w:rsidR="00BD3212">
      <w:rPr>
        <w:noProof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725486">
    <w:pPr>
      <w:pStyle w:val="Footer"/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725486">
    <w:pPr>
      <w:widowControl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86" w:rsidRDefault="00C47A31">
      <w:pPr>
        <w:widowControl/>
        <w:spacing w:line="80" w:lineRule="exact"/>
      </w:pPr>
      <w:r>
        <w:separator/>
      </w:r>
    </w:p>
  </w:footnote>
  <w:footnote w:type="continuationSeparator" w:id="0">
    <w:p w:rsidR="00725486" w:rsidRDefault="00C47A31">
      <w:pPr>
        <w:widowControl/>
        <w:spacing w:line="80" w:lineRule="exac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C47A31">
    <w:pPr>
      <w:pStyle w:val="Header"/>
      <w:widowControl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725486">
    <w:pPr>
      <w:widowControl/>
      <w:tabs>
        <w:tab w:val="center" w:pos="4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86" w:rsidRDefault="00725486">
    <w:pPr>
      <w:widowControl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B964E7A"/>
    <w:lvl w:ilvl="0">
      <w:start w:val="1"/>
      <w:numFmt w:val="decimal"/>
      <w:lvlText w:val="%1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spacing w:after="0" w:line="240" w:lineRule="auto"/>
        <w:ind w:left="180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1">
    <w:nsid w:val="00000002"/>
    <w:multiLevelType w:val="singleLevel"/>
    <w:tmpl w:val="695ED78C"/>
    <w:lvl w:ilvl="0">
      <w:start w:val="1"/>
      <w:numFmt w:val="decimal"/>
      <w:lvlText w:val="%1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2">
    <w:nsid w:val="00000003"/>
    <w:multiLevelType w:val="singleLevel"/>
    <w:tmpl w:val="1146153E"/>
    <w:lvl w:ilvl="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3">
    <w:nsid w:val="00000004"/>
    <w:multiLevelType w:val="singleLevel"/>
    <w:tmpl w:val="EC7A848A"/>
    <w:lvl w:ilvl="0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4">
    <w:nsid w:val="00000005"/>
    <w:multiLevelType w:val="singleLevel"/>
    <w:tmpl w:val="42B6ADE0"/>
    <w:lvl w:ilvl="0">
      <w:start w:val="1"/>
      <w:numFmt w:val="bullet"/>
      <w:lvlText w:val="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spacing w:after="0" w:line="240" w:lineRule="auto"/>
        <w:ind w:left="1800" w:hanging="360"/>
        <w:jc w:val="both"/>
      </w:pPr>
      <w:rPr>
        <w:rFonts w:ascii="Symbol" w:hAnsi="Symbol" w:cs="Symbol"/>
        <w:spacing w:val="0"/>
        <w:sz w:val="24"/>
        <w:szCs w:val="24"/>
      </w:rPr>
    </w:lvl>
  </w:abstractNum>
  <w:abstractNum w:abstractNumId="5">
    <w:nsid w:val="00000006"/>
    <w:multiLevelType w:val="singleLevel"/>
    <w:tmpl w:val="12188B08"/>
    <w:lvl w:ilvl="0">
      <w:start w:val="1"/>
      <w:numFmt w:val="bullet"/>
      <w:lvlText w:val="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 w:hanging="360"/>
        <w:jc w:val="both"/>
      </w:pPr>
      <w:rPr>
        <w:rFonts w:ascii="Symbol" w:hAnsi="Symbol" w:cs="Symbol"/>
        <w:spacing w:val="0"/>
        <w:sz w:val="24"/>
        <w:szCs w:val="24"/>
      </w:rPr>
    </w:lvl>
  </w:abstractNum>
  <w:abstractNum w:abstractNumId="6">
    <w:nsid w:val="00000007"/>
    <w:multiLevelType w:val="singleLevel"/>
    <w:tmpl w:val="D96C93C2"/>
    <w:lvl w:ilvl="0">
      <w:start w:val="1"/>
      <w:numFmt w:val="bullet"/>
      <w:lvlText w:val="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</w:pPr>
      <w:rPr>
        <w:rFonts w:ascii="Symbol" w:hAnsi="Symbol" w:cs="Symbol"/>
        <w:spacing w:val="0"/>
        <w:sz w:val="24"/>
        <w:szCs w:val="24"/>
      </w:rPr>
    </w:lvl>
  </w:abstractNum>
  <w:abstractNum w:abstractNumId="7">
    <w:nsid w:val="00000008"/>
    <w:multiLevelType w:val="singleLevel"/>
    <w:tmpl w:val="ABFC5AF4"/>
    <w:lvl w:ilvl="0">
      <w:start w:val="1"/>
      <w:numFmt w:val="bullet"/>
      <w:lvlText w:val="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</w:pPr>
      <w:rPr>
        <w:rFonts w:ascii="Symbol" w:hAnsi="Symbol" w:cs="Symbol"/>
        <w:spacing w:val="0"/>
        <w:sz w:val="24"/>
        <w:szCs w:val="24"/>
      </w:rPr>
    </w:lvl>
  </w:abstractNum>
  <w:abstractNum w:abstractNumId="8">
    <w:nsid w:val="00000009"/>
    <w:multiLevelType w:val="singleLevel"/>
    <w:tmpl w:val="4466779A"/>
    <w:lvl w:ilvl="0">
      <w:start w:val="1"/>
      <w:numFmt w:val="decimal"/>
      <w:lvlText w:val="%1.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9">
    <w:nsid w:val="0000000A"/>
    <w:multiLevelType w:val="singleLevel"/>
    <w:tmpl w:val="FA32F612"/>
    <w:lvl w:ilvl="0">
      <w:start w:val="1"/>
      <w:numFmt w:val="bullet"/>
      <w:lvlText w:val="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</w:pPr>
      <w:rPr>
        <w:rFonts w:ascii="Symbol" w:hAnsi="Symbol" w:cs="Symbol"/>
        <w:spacing w:val="0"/>
        <w:sz w:val="24"/>
        <w:szCs w:val="24"/>
      </w:rPr>
    </w:lvl>
  </w:abstractNum>
  <w:abstractNum w:abstractNumId="10">
    <w:nsid w:val="0000000B"/>
    <w:multiLevelType w:val="multilevel"/>
    <w:tmpl w:val="00000000"/>
    <w:lvl w:ilvl="0">
      <w:start w:val="1"/>
      <w:numFmt w:val="upperRoman"/>
      <w:lvlText w:val="%1.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</w:pPr>
      <w:rPr>
        <w:rFonts w:ascii="Times New Roman" w:hAnsi="Times New Roman" w:cs="Times New Roman"/>
        <w:b/>
        <w:bCs/>
        <w:i w:val="0"/>
        <w:iCs w:val="0"/>
        <w:spacing w:val="0"/>
        <w:sz w:val="24"/>
        <w:szCs w:val="24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</w:pPr>
      <w:rPr>
        <w:rFonts w:ascii="Times New Roman" w:hAnsi="Times New Roman" w:cs="Times New Roman"/>
        <w:b/>
        <w:bCs/>
        <w:i w:val="0"/>
        <w:iCs w:val="0"/>
        <w:spacing w:val="0"/>
        <w:sz w:val="24"/>
        <w:szCs w:val="24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288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360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432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504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576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widowControl w:val="0"/>
        <w:autoSpaceDE w:val="0"/>
        <w:autoSpaceDN w:val="0"/>
        <w:adjustRightInd w:val="0"/>
        <w:spacing w:after="0" w:line="240" w:lineRule="auto"/>
        <w:ind w:left="6480" w:hanging="720"/>
        <w:jc w:val="both"/>
      </w:pPr>
      <w:rPr>
        <w:rFonts w:ascii="Times New Roman" w:hAnsi="Times New Roman" w:cs="Times New Roman"/>
        <w:b w:val="0"/>
        <w:bCs w:val="0"/>
        <w:spacing w:val="0"/>
        <w:sz w:val="24"/>
        <w:szCs w:val="24"/>
        <w:u w:val="none"/>
      </w:rPr>
    </w:lvl>
  </w:abstractNum>
  <w:abstractNum w:abstractNumId="11">
    <w:nsid w:val="0000000C"/>
    <w:multiLevelType w:val="singleLevel"/>
    <w:tmpl w:val="4FA27FDE"/>
    <w:lvl w:ilvl="0">
      <w:start w:val="3"/>
      <w:numFmt w:val="decimal"/>
      <w:lvlText w:val="%1.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</w:pPr>
      <w:rPr>
        <w:rFonts w:ascii="Times New Roman" w:hAnsi="Times New Roman" w:cs="Times New Roman"/>
        <w:spacing w:val="0"/>
        <w:sz w:val="24"/>
        <w:szCs w:val="24"/>
      </w:rPr>
    </w:lvl>
  </w:abstractNum>
  <w:abstractNum w:abstractNumId="12">
    <w:nsid w:val="088222D6"/>
    <w:multiLevelType w:val="hybridMultilevel"/>
    <w:tmpl w:val="EBE09688"/>
    <w:lvl w:ilvl="0" w:tplc="1F68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D33"/>
    <w:rsid w:val="000205D9"/>
    <w:rsid w:val="000357B8"/>
    <w:rsid w:val="000977AE"/>
    <w:rsid w:val="000B2F0D"/>
    <w:rsid w:val="000B7D33"/>
    <w:rsid w:val="00142369"/>
    <w:rsid w:val="00152209"/>
    <w:rsid w:val="00173940"/>
    <w:rsid w:val="001B622F"/>
    <w:rsid w:val="001B75B9"/>
    <w:rsid w:val="001D1744"/>
    <w:rsid w:val="001D34E1"/>
    <w:rsid w:val="0025647F"/>
    <w:rsid w:val="00287BE3"/>
    <w:rsid w:val="00315C95"/>
    <w:rsid w:val="0032264B"/>
    <w:rsid w:val="003903EE"/>
    <w:rsid w:val="00476E8C"/>
    <w:rsid w:val="0057271A"/>
    <w:rsid w:val="00597168"/>
    <w:rsid w:val="005E2861"/>
    <w:rsid w:val="0060667E"/>
    <w:rsid w:val="006A1829"/>
    <w:rsid w:val="00725486"/>
    <w:rsid w:val="00780602"/>
    <w:rsid w:val="00780CCD"/>
    <w:rsid w:val="007A7AE6"/>
    <w:rsid w:val="008061C3"/>
    <w:rsid w:val="0089170F"/>
    <w:rsid w:val="008A3E7D"/>
    <w:rsid w:val="008D1882"/>
    <w:rsid w:val="008D6F9C"/>
    <w:rsid w:val="008D7223"/>
    <w:rsid w:val="0092138C"/>
    <w:rsid w:val="0094086D"/>
    <w:rsid w:val="00974AB9"/>
    <w:rsid w:val="009A324A"/>
    <w:rsid w:val="009C4C2B"/>
    <w:rsid w:val="009E58A4"/>
    <w:rsid w:val="00AA6529"/>
    <w:rsid w:val="00AC174E"/>
    <w:rsid w:val="00AE597E"/>
    <w:rsid w:val="00B16247"/>
    <w:rsid w:val="00B271FB"/>
    <w:rsid w:val="00B47B53"/>
    <w:rsid w:val="00B74FD2"/>
    <w:rsid w:val="00B866AE"/>
    <w:rsid w:val="00BD3212"/>
    <w:rsid w:val="00C47A31"/>
    <w:rsid w:val="00C57FC4"/>
    <w:rsid w:val="00C724D4"/>
    <w:rsid w:val="00D377CB"/>
    <w:rsid w:val="00DA7620"/>
    <w:rsid w:val="00DD236E"/>
    <w:rsid w:val="00DF46DF"/>
    <w:rsid w:val="00E748FE"/>
    <w:rsid w:val="00EE54B2"/>
    <w:rsid w:val="00F34E1F"/>
    <w:rsid w:val="00F67E43"/>
    <w:rsid w:val="00FB3D39"/>
    <w:rsid w:val="00F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254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NGEHeading L,h1"/>
    <w:basedOn w:val="Normal"/>
    <w:next w:val="Normal"/>
    <w:link w:val="Heading1Char"/>
    <w:uiPriority w:val="99"/>
    <w:qFormat/>
    <w:rsid w:val="00725486"/>
    <w:pPr>
      <w:keepNext/>
      <w:widowControl/>
      <w:jc w:val="left"/>
      <w:outlineLvl w:val="0"/>
    </w:pPr>
    <w:rPr>
      <w:i/>
      <w:iCs/>
      <w:sz w:val="18"/>
      <w:szCs w:val="18"/>
    </w:rPr>
  </w:style>
  <w:style w:type="paragraph" w:styleId="Heading2">
    <w:name w:val="heading 2"/>
    <w:aliases w:val="NGEHeading R,h2"/>
    <w:basedOn w:val="Normal"/>
    <w:next w:val="NGEBody"/>
    <w:link w:val="Heading2Char"/>
    <w:uiPriority w:val="99"/>
    <w:qFormat/>
    <w:rsid w:val="00725486"/>
    <w:pPr>
      <w:spacing w:after="240"/>
      <w:jc w:val="right"/>
      <w:outlineLvl w:val="1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725486"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725486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725486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725486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rsid w:val="00725486"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rsid w:val="00725486"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rsid w:val="00725486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GEHeading L Char,h1 Char"/>
    <w:basedOn w:val="DefaultParagraphFont"/>
    <w:link w:val="Heading1"/>
    <w:uiPriority w:val="9"/>
    <w:rsid w:val="007254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NGEHeading R Char,h2 Char"/>
    <w:basedOn w:val="DefaultParagraphFont"/>
    <w:link w:val="Heading2"/>
    <w:uiPriority w:val="9"/>
    <w:semiHidden/>
    <w:rsid w:val="007254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sid w:val="007254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semiHidden/>
    <w:rsid w:val="00725486"/>
    <w:rPr>
      <w:b/>
      <w:bC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725486"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semiHidden/>
    <w:rsid w:val="00725486"/>
    <w:rPr>
      <w:b/>
      <w:bCs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semiHidden/>
    <w:rsid w:val="00725486"/>
    <w:rPr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semiHidden/>
    <w:rsid w:val="00725486"/>
    <w:rPr>
      <w:i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semiHidden/>
    <w:rsid w:val="00725486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next w:val="DeltaViewTableHeading"/>
    <w:link w:val="BodyTextChar"/>
    <w:uiPriority w:val="99"/>
    <w:rsid w:val="00725486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548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next w:val="DeltaViewTableBody"/>
    <w:link w:val="HeaderChar"/>
    <w:uiPriority w:val="99"/>
    <w:rsid w:val="00725486"/>
    <w:pPr>
      <w:tabs>
        <w:tab w:val="center" w:pos="432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48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next w:val="DeltaViewAnnounce"/>
    <w:link w:val="FooterChar"/>
    <w:uiPriority w:val="99"/>
    <w:rsid w:val="00725486"/>
    <w:pPr>
      <w:tabs>
        <w:tab w:val="center" w:pos="4680"/>
        <w:tab w:val="right" w:pos="9360"/>
      </w:tabs>
      <w:spacing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5486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25486"/>
    <w:rPr>
      <w:rFonts w:ascii="Times New Roman" w:hAnsi="Times New Roman" w:cs="Times New Roman"/>
      <w:spacing w:val="0"/>
      <w:sz w:val="24"/>
      <w:szCs w:val="24"/>
      <w:lang w:val="en-US"/>
    </w:rPr>
  </w:style>
  <w:style w:type="paragraph" w:styleId="BodyTextIndent">
    <w:name w:val="Body Text Indent"/>
    <w:aliases w:val="bti"/>
    <w:basedOn w:val="DeltaViewTableHeading"/>
    <w:next w:val="DeltaViewTableHeading"/>
    <w:link w:val="BodyTextIndentChar"/>
    <w:uiPriority w:val="99"/>
    <w:rsid w:val="00725486"/>
    <w:pPr>
      <w:widowControl w:val="0"/>
      <w:spacing w:after="240"/>
      <w:ind w:left="720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IndentChar">
    <w:name w:val="Body Text Indent Char"/>
    <w:aliases w:val="bti Char"/>
    <w:basedOn w:val="DefaultParagraphFont"/>
    <w:link w:val="BodyTextIndent"/>
    <w:uiPriority w:val="99"/>
    <w:semiHidden/>
    <w:rsid w:val="00725486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link w:val="QuoteChar"/>
    <w:uiPriority w:val="99"/>
    <w:qFormat/>
    <w:rsid w:val="00725486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29"/>
    <w:rsid w:val="00725486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BodyTextContinued">
    <w:name w:val="Body Text Continued"/>
    <w:basedOn w:val="DeltaViewTableHeading"/>
    <w:next w:val="DeltaViewTableHeading"/>
    <w:uiPriority w:val="99"/>
    <w:rsid w:val="00725486"/>
    <w:pPr>
      <w:widowControl w:val="0"/>
      <w:spacing w:after="240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Centered">
    <w:name w:val="Centered"/>
    <w:basedOn w:val="Normal"/>
    <w:next w:val="DeltaViewTableHeading"/>
    <w:uiPriority w:val="99"/>
    <w:rsid w:val="00725486"/>
    <w:pPr>
      <w:spacing w:after="240" w:line="240" w:lineRule="exact"/>
      <w:jc w:val="center"/>
    </w:pPr>
  </w:style>
  <w:style w:type="character" w:styleId="FootnoteReference">
    <w:name w:val="footnote reference"/>
    <w:basedOn w:val="DefaultParagraphFont"/>
    <w:hidden/>
    <w:uiPriority w:val="99"/>
    <w:rsid w:val="00725486"/>
    <w:rPr>
      <w:rFonts w:ascii="Times New Roman" w:hAnsi="Times New Roman" w:cs="Times New Roman"/>
      <w:spacing w:val="0"/>
      <w:sz w:val="24"/>
      <w:szCs w:val="24"/>
      <w:vertAlign w:val="superscript"/>
      <w:lang w:val="en-US"/>
    </w:rPr>
  </w:style>
  <w:style w:type="paragraph" w:styleId="FootnoteText">
    <w:name w:val="footnote text"/>
    <w:aliases w:val="Car"/>
    <w:basedOn w:val="Normal"/>
    <w:next w:val="CommentText"/>
    <w:link w:val="FootnoteTextChar"/>
    <w:hidden/>
    <w:uiPriority w:val="99"/>
    <w:rsid w:val="00725486"/>
    <w:rPr>
      <w:sz w:val="22"/>
      <w:szCs w:val="22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semiHidden/>
    <w:rsid w:val="00725486"/>
    <w:rPr>
      <w:rFonts w:ascii="Times New Roman" w:hAnsi="Times New Roman" w:cs="Times New Roman"/>
      <w:sz w:val="20"/>
      <w:szCs w:val="20"/>
    </w:rPr>
  </w:style>
  <w:style w:type="paragraph" w:customStyle="1" w:styleId="HeaderNumbers">
    <w:name w:val="HeaderNumbers"/>
    <w:basedOn w:val="Normal"/>
    <w:uiPriority w:val="99"/>
    <w:rsid w:val="00725486"/>
    <w:pPr>
      <w:spacing w:before="720" w:line="480" w:lineRule="exact"/>
      <w:ind w:right="144"/>
      <w:jc w:val="right"/>
    </w:pPr>
  </w:style>
  <w:style w:type="paragraph" w:customStyle="1" w:styleId="LetterClosing">
    <w:name w:val="LetterClosing"/>
    <w:basedOn w:val="Normal"/>
    <w:next w:val="Normal"/>
    <w:uiPriority w:val="99"/>
    <w:rsid w:val="00725486"/>
  </w:style>
  <w:style w:type="paragraph" w:styleId="MacroText">
    <w:name w:val="macro"/>
    <w:next w:val="DocumentMap"/>
    <w:link w:val="MacroTextChar"/>
    <w:hidden/>
    <w:uiPriority w:val="99"/>
    <w:rsid w:val="007254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5486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rsid w:val="00725486"/>
    <w:pPr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uiPriority w:val="99"/>
    <w:rsid w:val="00725486"/>
    <w:pPr>
      <w:keepNext/>
      <w:keepLines/>
      <w:tabs>
        <w:tab w:val="left" w:pos="5040"/>
        <w:tab w:val="right" w:pos="9360"/>
      </w:tabs>
      <w:spacing w:line="240" w:lineRule="exact"/>
      <w:ind w:left="4680"/>
    </w:pPr>
  </w:style>
  <w:style w:type="paragraph" w:styleId="EnvelopeAddress">
    <w:name w:val="envelope address"/>
    <w:basedOn w:val="Normal"/>
    <w:uiPriority w:val="99"/>
    <w:rsid w:val="00725486"/>
    <w:pPr>
      <w:framePr w:w="5760" w:h="2160" w:hRule="exact" w:wrap="auto" w:vAnchor="page" w:hAnchor="page" w:x="6482" w:y="3069"/>
    </w:pPr>
  </w:style>
  <w:style w:type="paragraph" w:customStyle="1" w:styleId="LetterDate">
    <w:name w:val="Letter Date"/>
    <w:basedOn w:val="Normal"/>
    <w:next w:val="DeltaViewTableHeading"/>
    <w:uiPriority w:val="99"/>
    <w:rsid w:val="00725486"/>
  </w:style>
  <w:style w:type="paragraph" w:customStyle="1" w:styleId="LeftHeading">
    <w:name w:val="Left Heading"/>
    <w:basedOn w:val="Normal"/>
    <w:next w:val="Normal"/>
    <w:uiPriority w:val="99"/>
    <w:rsid w:val="00725486"/>
    <w:rPr>
      <w:b/>
      <w:bCs/>
    </w:rPr>
  </w:style>
  <w:style w:type="paragraph" w:customStyle="1" w:styleId="TableofAuthorities1">
    <w:name w:val="Table of Authorities1"/>
    <w:basedOn w:val="Normal"/>
    <w:next w:val="Normal"/>
    <w:hidden/>
    <w:uiPriority w:val="99"/>
    <w:rsid w:val="00725486"/>
    <w:pPr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hidden/>
    <w:uiPriority w:val="99"/>
    <w:rsid w:val="00725486"/>
    <w:pPr>
      <w:keepNext/>
      <w:spacing w:before="120" w:after="120" w:line="240" w:lineRule="exact"/>
      <w:jc w:val="center"/>
    </w:pPr>
    <w:rPr>
      <w:b/>
      <w:bCs/>
      <w:caps/>
    </w:rPr>
  </w:style>
  <w:style w:type="paragraph" w:styleId="PlainText">
    <w:name w:val="Plain Text"/>
    <w:basedOn w:val="Normal"/>
    <w:link w:val="PlainTextChar"/>
    <w:uiPriority w:val="99"/>
    <w:rsid w:val="007254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486"/>
    <w:rPr>
      <w:rFonts w:ascii="Courier New" w:hAnsi="Courier New" w:cs="Courier New"/>
      <w:sz w:val="20"/>
      <w:szCs w:val="20"/>
    </w:rPr>
  </w:style>
  <w:style w:type="character" w:customStyle="1" w:styleId="ParagraphNumber">
    <w:name w:val="ParagraphNumber"/>
    <w:basedOn w:val="DefaultParagraphFont"/>
    <w:uiPriority w:val="99"/>
    <w:rsid w:val="00725486"/>
    <w:rPr>
      <w:rFonts w:ascii="Times New Roman" w:hAnsi="Times New Roman" w:cs="Times New Roman"/>
      <w:spacing w:val="0"/>
      <w:sz w:val="24"/>
      <w:szCs w:val="24"/>
      <w:lang w:val="en-US"/>
    </w:rPr>
  </w:style>
  <w:style w:type="paragraph" w:styleId="TOC1">
    <w:name w:val="toc 1"/>
    <w:basedOn w:val="Normal"/>
    <w:next w:val="TOC2"/>
    <w:autoRedefine/>
    <w:hidden/>
    <w:uiPriority w:val="99"/>
    <w:rsid w:val="0072548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hidden/>
    <w:uiPriority w:val="99"/>
    <w:rsid w:val="0072548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hidden/>
    <w:uiPriority w:val="99"/>
    <w:rsid w:val="00725486"/>
    <w:pPr>
      <w:keepLines/>
      <w:tabs>
        <w:tab w:val="left" w:pos="1200"/>
        <w:tab w:val="right" w:leader="dot" w:pos="9288"/>
        <w:tab w:val="right" w:leader="dot" w:pos="9350"/>
      </w:tabs>
      <w:spacing w:line="360" w:lineRule="auto"/>
      <w:ind w:left="2160" w:right="720" w:hanging="1440"/>
    </w:pPr>
  </w:style>
  <w:style w:type="paragraph" w:styleId="TOC4">
    <w:name w:val="toc 4"/>
    <w:basedOn w:val="Normal"/>
    <w:next w:val="TOC5"/>
    <w:autoRedefine/>
    <w:hidden/>
    <w:uiPriority w:val="99"/>
    <w:rsid w:val="0072548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hidden/>
    <w:uiPriority w:val="99"/>
    <w:rsid w:val="0072548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hidden/>
    <w:uiPriority w:val="99"/>
    <w:rsid w:val="0072548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hidden/>
    <w:uiPriority w:val="99"/>
    <w:rsid w:val="0072548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hidden/>
    <w:uiPriority w:val="99"/>
    <w:rsid w:val="0072548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hidden/>
    <w:uiPriority w:val="99"/>
    <w:rsid w:val="00725486"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uiPriority w:val="99"/>
    <w:rsid w:val="00725486"/>
    <w:pPr>
      <w:spacing w:before="240"/>
    </w:pPr>
    <w:rPr>
      <w:b/>
      <w:bCs/>
      <w:caps/>
    </w:rPr>
  </w:style>
  <w:style w:type="character" w:customStyle="1" w:styleId="zzmpTrailerItem">
    <w:name w:val="zzmpTrailerItem"/>
    <w:basedOn w:val="DefaultParagraphFont"/>
    <w:uiPriority w:val="99"/>
    <w:rsid w:val="00725486"/>
    <w:rPr>
      <w:rFonts w:ascii="Times New Roman" w:hAnsi="Times New Roman" w:cs="Times New Roman"/>
      <w:noProof/>
      <w:color w:val="000000"/>
      <w:spacing w:val="0"/>
      <w:sz w:val="16"/>
      <w:szCs w:val="16"/>
      <w:u w:val="none"/>
      <w:effect w:val="none"/>
    </w:rPr>
  </w:style>
  <w:style w:type="paragraph" w:customStyle="1" w:styleId="DeliveryPhrase">
    <w:name w:val="Delivery Phrase"/>
    <w:basedOn w:val="Normal"/>
    <w:next w:val="Normal"/>
    <w:uiPriority w:val="99"/>
    <w:rsid w:val="00725486"/>
    <w:pPr>
      <w:spacing w:before="240"/>
    </w:pPr>
    <w:rPr>
      <w:b/>
      <w:bCs/>
      <w:caps/>
      <w:u w:val="single"/>
    </w:rPr>
  </w:style>
  <w:style w:type="paragraph" w:customStyle="1" w:styleId="LHFirmName">
    <w:name w:val="LH Firm Name"/>
    <w:basedOn w:val="Normal"/>
    <w:uiPriority w:val="99"/>
    <w:rsid w:val="00725486"/>
    <w:pPr>
      <w:spacing w:after="120"/>
      <w:ind w:left="-720"/>
    </w:pPr>
    <w:rPr>
      <w:rFonts w:ascii="EngravrsRoman BT" w:hAnsi="EngravrsRoman BT" w:cs="EngravrsRoman BT"/>
      <w:b/>
      <w:bCs/>
      <w:spacing w:val="10"/>
      <w:sz w:val="15"/>
      <w:szCs w:val="15"/>
    </w:rPr>
  </w:style>
  <w:style w:type="paragraph" w:customStyle="1" w:styleId="NGEBodyB2">
    <w:name w:val="NGEBody B2"/>
    <w:aliases w:val="b4"/>
    <w:basedOn w:val="Normal"/>
    <w:uiPriority w:val="99"/>
    <w:rsid w:val="00725486"/>
    <w:pPr>
      <w:spacing w:line="480" w:lineRule="auto"/>
    </w:pPr>
  </w:style>
  <w:style w:type="paragraph" w:customStyle="1" w:styleId="NGEBodyIn">
    <w:name w:val="NGEBody In"/>
    <w:aliases w:val="i1"/>
    <w:basedOn w:val="Normal"/>
    <w:uiPriority w:val="99"/>
    <w:rsid w:val="00725486"/>
    <w:pPr>
      <w:spacing w:after="240"/>
      <w:ind w:left="720" w:firstLine="720"/>
    </w:pPr>
  </w:style>
  <w:style w:type="paragraph" w:customStyle="1" w:styleId="NGEBodyIn2">
    <w:name w:val="NGEBody In2"/>
    <w:aliases w:val="i2"/>
    <w:basedOn w:val="Normal"/>
    <w:uiPriority w:val="99"/>
    <w:rsid w:val="00725486"/>
    <w:pPr>
      <w:spacing w:line="480" w:lineRule="auto"/>
      <w:ind w:left="720" w:firstLine="720"/>
    </w:pPr>
  </w:style>
  <w:style w:type="paragraph" w:customStyle="1" w:styleId="NGEBodyInLR">
    <w:name w:val="NGEBody InLR"/>
    <w:aliases w:val="i3"/>
    <w:basedOn w:val="Normal"/>
    <w:uiPriority w:val="99"/>
    <w:rsid w:val="00725486"/>
    <w:pPr>
      <w:spacing w:after="240"/>
      <w:ind w:left="720" w:right="720" w:firstLine="720"/>
    </w:pPr>
  </w:style>
  <w:style w:type="paragraph" w:customStyle="1" w:styleId="NGEBodyInLR2">
    <w:name w:val="NGEBody InLR2"/>
    <w:aliases w:val="i4"/>
    <w:basedOn w:val="Normal"/>
    <w:uiPriority w:val="99"/>
    <w:rsid w:val="00725486"/>
    <w:pPr>
      <w:spacing w:line="480" w:lineRule="auto"/>
      <w:ind w:left="720" w:right="720" w:firstLine="720"/>
    </w:pPr>
  </w:style>
  <w:style w:type="paragraph" w:customStyle="1" w:styleId="NGEBodyL">
    <w:name w:val="NGEBody L"/>
    <w:aliases w:val="l1"/>
    <w:basedOn w:val="Normal"/>
    <w:uiPriority w:val="99"/>
    <w:rsid w:val="00725486"/>
    <w:pPr>
      <w:spacing w:before="240"/>
      <w:ind w:firstLine="720"/>
      <w:jc w:val="left"/>
    </w:pPr>
  </w:style>
  <w:style w:type="paragraph" w:customStyle="1" w:styleId="NGEBodyL2">
    <w:name w:val="NGEBody L2"/>
    <w:aliases w:val="l2"/>
    <w:basedOn w:val="Normal"/>
    <w:uiPriority w:val="99"/>
    <w:rsid w:val="00725486"/>
    <w:pPr>
      <w:spacing w:line="480" w:lineRule="auto"/>
      <w:ind w:firstLine="720"/>
      <w:jc w:val="left"/>
    </w:pPr>
  </w:style>
  <w:style w:type="paragraph" w:customStyle="1" w:styleId="NGEBodyLB">
    <w:name w:val="NGEBody LB"/>
    <w:aliases w:val="l3"/>
    <w:basedOn w:val="Normal"/>
    <w:uiPriority w:val="99"/>
    <w:rsid w:val="00725486"/>
    <w:pPr>
      <w:spacing w:after="240"/>
      <w:jc w:val="left"/>
    </w:pPr>
  </w:style>
  <w:style w:type="paragraph" w:customStyle="1" w:styleId="NGEBodyLB2">
    <w:name w:val="NGEBody LB2"/>
    <w:aliases w:val="l4"/>
    <w:basedOn w:val="Normal"/>
    <w:uiPriority w:val="99"/>
    <w:rsid w:val="00725486"/>
    <w:pPr>
      <w:spacing w:line="480" w:lineRule="auto"/>
      <w:jc w:val="left"/>
    </w:pPr>
  </w:style>
  <w:style w:type="paragraph" w:customStyle="1" w:styleId="NGEBody">
    <w:name w:val="NGEBody"/>
    <w:aliases w:val="b1"/>
    <w:basedOn w:val="Normal"/>
    <w:uiPriority w:val="99"/>
    <w:rsid w:val="00725486"/>
    <w:pPr>
      <w:spacing w:after="240"/>
      <w:ind w:firstLine="720"/>
    </w:pPr>
  </w:style>
  <w:style w:type="paragraph" w:customStyle="1" w:styleId="NGEBody2">
    <w:name w:val="NGEBody2"/>
    <w:aliases w:val="b2"/>
    <w:basedOn w:val="Normal"/>
    <w:uiPriority w:val="99"/>
    <w:rsid w:val="00725486"/>
    <w:pPr>
      <w:spacing w:line="480" w:lineRule="auto"/>
      <w:ind w:firstLine="720"/>
    </w:pPr>
  </w:style>
  <w:style w:type="paragraph" w:customStyle="1" w:styleId="NGEBodyB">
    <w:name w:val="NGEBodyB"/>
    <w:aliases w:val="b3"/>
    <w:basedOn w:val="Normal"/>
    <w:uiPriority w:val="99"/>
    <w:rsid w:val="00725486"/>
    <w:pPr>
      <w:spacing w:after="240"/>
    </w:pPr>
  </w:style>
  <w:style w:type="paragraph" w:customStyle="1" w:styleId="NGECaptionC">
    <w:name w:val="NGECaption C"/>
    <w:aliases w:val="c1"/>
    <w:basedOn w:val="Normal"/>
    <w:next w:val="NGEBody"/>
    <w:uiPriority w:val="99"/>
    <w:rsid w:val="00725486"/>
    <w:pPr>
      <w:keepNext/>
      <w:spacing w:after="240"/>
      <w:jc w:val="center"/>
    </w:pPr>
    <w:rPr>
      <w:rFonts w:ascii="Times New Roman Bold" w:hAnsi="Times New Roman Bold" w:cs="Times New Roman Bold"/>
      <w:b/>
      <w:bCs/>
      <w:caps/>
    </w:rPr>
  </w:style>
  <w:style w:type="paragraph" w:customStyle="1" w:styleId="NGECaptionFL">
    <w:name w:val="NGECaption FL"/>
    <w:aliases w:val="c2"/>
    <w:basedOn w:val="Normal"/>
    <w:next w:val="NGEBody"/>
    <w:uiPriority w:val="99"/>
    <w:rsid w:val="00725486"/>
    <w:pPr>
      <w:keepNext/>
      <w:spacing w:before="240"/>
      <w:jc w:val="left"/>
    </w:pPr>
    <w:rPr>
      <w:rFonts w:ascii="Times New Roman Bold" w:hAnsi="Times New Roman Bold" w:cs="Times New Roman Bold"/>
      <w:b/>
      <w:bCs/>
    </w:rPr>
  </w:style>
  <w:style w:type="paragraph" w:customStyle="1" w:styleId="NGECaptionIn">
    <w:name w:val="NGECaption In"/>
    <w:aliases w:val="c3"/>
    <w:basedOn w:val="Normal"/>
    <w:next w:val="NGEBody"/>
    <w:uiPriority w:val="99"/>
    <w:rsid w:val="00725486"/>
    <w:pPr>
      <w:keepNext/>
      <w:spacing w:after="240"/>
      <w:ind w:left="720"/>
      <w:jc w:val="left"/>
    </w:pPr>
    <w:rPr>
      <w:rFonts w:ascii="Times New Roman Bold" w:hAnsi="Times New Roman Bold" w:cs="Times New Roman Bold"/>
      <w:b/>
      <w:bCs/>
    </w:rPr>
  </w:style>
  <w:style w:type="character" w:customStyle="1" w:styleId="NGEDocID">
    <w:name w:val="NGEDocID"/>
    <w:basedOn w:val="DefaultParagraphFont"/>
    <w:uiPriority w:val="99"/>
    <w:rsid w:val="00725486"/>
    <w:rPr>
      <w:rFonts w:ascii="Times New Roman" w:hAnsi="Times New Roman" w:cs="Times New Roman"/>
      <w:spacing w:val="0"/>
      <w:sz w:val="20"/>
      <w:szCs w:val="20"/>
      <w:lang w:val="en-US"/>
    </w:rPr>
  </w:style>
  <w:style w:type="paragraph" w:customStyle="1" w:styleId="NGEQuote">
    <w:name w:val="NGEQuote"/>
    <w:aliases w:val="q1"/>
    <w:basedOn w:val="Normal"/>
    <w:uiPriority w:val="99"/>
    <w:rsid w:val="00725486"/>
    <w:pPr>
      <w:spacing w:after="240"/>
      <w:ind w:left="1440" w:right="1440"/>
    </w:pPr>
  </w:style>
  <w:style w:type="paragraph" w:customStyle="1" w:styleId="NGEQuote2">
    <w:name w:val="NGEQuote2"/>
    <w:aliases w:val="q2"/>
    <w:basedOn w:val="Normal"/>
    <w:uiPriority w:val="99"/>
    <w:rsid w:val="00725486"/>
    <w:pPr>
      <w:spacing w:after="240"/>
      <w:ind w:left="720" w:right="720"/>
    </w:pPr>
  </w:style>
  <w:style w:type="paragraph" w:customStyle="1" w:styleId="NGESig">
    <w:name w:val="NGESig"/>
    <w:aliases w:val="s1"/>
    <w:basedOn w:val="Normal"/>
    <w:uiPriority w:val="99"/>
    <w:rsid w:val="00725486"/>
    <w:pPr>
      <w:ind w:left="5040"/>
      <w:jc w:val="left"/>
    </w:pPr>
  </w:style>
  <w:style w:type="paragraph" w:customStyle="1" w:styleId="NGETitleFL">
    <w:name w:val="NGETitle FL"/>
    <w:aliases w:val="t2"/>
    <w:basedOn w:val="Normal"/>
    <w:next w:val="NGEBody"/>
    <w:uiPriority w:val="99"/>
    <w:rsid w:val="00725486"/>
    <w:pPr>
      <w:keepNext/>
      <w:spacing w:after="240"/>
      <w:jc w:val="left"/>
    </w:pPr>
    <w:rPr>
      <w:rFonts w:ascii="Times New Roman Bold" w:hAnsi="Times New Roman Bold" w:cs="Times New Roman Bold"/>
      <w:b/>
      <w:bCs/>
    </w:rPr>
  </w:style>
  <w:style w:type="paragraph" w:customStyle="1" w:styleId="NGETitleIn">
    <w:name w:val="NGETitle In"/>
    <w:aliases w:val="t3"/>
    <w:basedOn w:val="Normal"/>
    <w:next w:val="NGEBody"/>
    <w:uiPriority w:val="99"/>
    <w:rsid w:val="00725486"/>
    <w:pPr>
      <w:keepNext/>
      <w:spacing w:after="240"/>
      <w:ind w:left="720"/>
      <w:jc w:val="left"/>
    </w:pPr>
    <w:rPr>
      <w:rFonts w:ascii="Times New Roman Bold" w:hAnsi="Times New Roman Bold" w:cs="Times New Roman Bold"/>
      <w:b/>
      <w:bCs/>
      <w:i/>
      <w:iCs/>
    </w:rPr>
  </w:style>
  <w:style w:type="paragraph" w:customStyle="1" w:styleId="NGETitleC">
    <w:name w:val="NGETitleC"/>
    <w:aliases w:val="t1"/>
    <w:basedOn w:val="Normal"/>
    <w:next w:val="NGEBody"/>
    <w:uiPriority w:val="99"/>
    <w:rsid w:val="00725486"/>
    <w:pPr>
      <w:keepNext/>
      <w:spacing w:after="240"/>
      <w:jc w:val="center"/>
    </w:pPr>
    <w:rPr>
      <w:rFonts w:ascii="Times New Roman Bold" w:hAnsi="Times New Roman Bold" w:cs="Times New Roman Bold"/>
      <w:b/>
      <w:bCs/>
    </w:rPr>
  </w:style>
  <w:style w:type="paragraph" w:styleId="BalloonText">
    <w:name w:val="Balloon Text"/>
    <w:basedOn w:val="Normal"/>
    <w:link w:val="BalloonTextChar"/>
    <w:hidden/>
    <w:uiPriority w:val="99"/>
    <w:rsid w:val="0072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86"/>
    <w:rPr>
      <w:rFonts w:ascii="Tahoma" w:hAnsi="Tahoma" w:cs="Tahoma"/>
      <w:sz w:val="16"/>
      <w:szCs w:val="16"/>
    </w:rPr>
  </w:style>
  <w:style w:type="paragraph" w:customStyle="1" w:styleId="OutlineCont1">
    <w:name w:val="Outline Cont 1"/>
    <w:basedOn w:val="Normal"/>
    <w:uiPriority w:val="99"/>
    <w:rsid w:val="00725486"/>
    <w:pPr>
      <w:spacing w:after="240"/>
      <w:jc w:val="left"/>
    </w:pPr>
  </w:style>
  <w:style w:type="paragraph" w:customStyle="1" w:styleId="NormalWeb">
    <w:name w:val="Normal(Web)"/>
    <w:basedOn w:val="Normal"/>
    <w:uiPriority w:val="99"/>
    <w:rsid w:val="00725486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link w:val="BodyText3Char"/>
    <w:uiPriority w:val="99"/>
    <w:rsid w:val="007254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486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aliases w:val="bt2"/>
    <w:basedOn w:val="Normal"/>
    <w:link w:val="BodyText2Char"/>
    <w:uiPriority w:val="99"/>
    <w:rsid w:val="00725486"/>
    <w:pPr>
      <w:spacing w:after="120" w:line="480" w:lineRule="auto"/>
    </w:pPr>
  </w:style>
  <w:style w:type="character" w:customStyle="1" w:styleId="BodyText2Char">
    <w:name w:val="Body Text 2 Char"/>
    <w:aliases w:val="bt2 Char"/>
    <w:basedOn w:val="DefaultParagraphFont"/>
    <w:link w:val="BodyText2"/>
    <w:uiPriority w:val="99"/>
    <w:semiHidden/>
    <w:rsid w:val="00725486"/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t"/>
    <w:basedOn w:val="Normal"/>
    <w:link w:val="TitleChar"/>
    <w:uiPriority w:val="99"/>
    <w:qFormat/>
    <w:rsid w:val="00725486"/>
    <w:pPr>
      <w:spacing w:line="280" w:lineRule="exact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7254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aliases w:val="sub"/>
    <w:basedOn w:val="Normal"/>
    <w:link w:val="SubtitleChar"/>
    <w:uiPriority w:val="99"/>
    <w:qFormat/>
    <w:rsid w:val="00725486"/>
    <w:pPr>
      <w:spacing w:line="264" w:lineRule="exact"/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aliases w:val="sub Char"/>
    <w:basedOn w:val="DefaultParagraphFont"/>
    <w:link w:val="Subtitle"/>
    <w:uiPriority w:val="11"/>
    <w:rsid w:val="00725486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725486"/>
    <w:rPr>
      <w:rFonts w:ascii="Times New Roman" w:hAnsi="Times New Roman" w:cs="Times New Roman"/>
      <w:color w:val="0000FF"/>
      <w:spacing w:val="0"/>
      <w:sz w:val="24"/>
      <w:szCs w:val="24"/>
      <w:u w:val="single"/>
      <w:lang w:val="en-US"/>
    </w:rPr>
  </w:style>
  <w:style w:type="paragraph" w:styleId="TableofFigures">
    <w:name w:val="table of figures"/>
    <w:basedOn w:val="Normal"/>
    <w:next w:val="Normal"/>
    <w:hidden/>
    <w:uiPriority w:val="99"/>
    <w:rsid w:val="00725486"/>
    <w:pPr>
      <w:ind w:left="480" w:hanging="480"/>
      <w:jc w:val="left"/>
    </w:pPr>
    <w:rPr>
      <w:rFonts w:ascii="Arial" w:hAnsi="Arial" w:cs="Arial"/>
    </w:rPr>
  </w:style>
  <w:style w:type="paragraph" w:customStyle="1" w:styleId="DeltaViewTableHeading">
    <w:name w:val="DeltaView Table Heading"/>
    <w:basedOn w:val="Normal"/>
    <w:uiPriority w:val="99"/>
    <w:rsid w:val="00725486"/>
    <w:pPr>
      <w:widowControl/>
      <w:spacing w:after="120"/>
      <w:jc w:val="left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sid w:val="00725486"/>
    <w:pPr>
      <w:widowControl/>
      <w:jc w:val="left"/>
    </w:pPr>
    <w:rPr>
      <w:rFonts w:ascii="Arial" w:hAnsi="Arial" w:cs="Arial"/>
    </w:rPr>
  </w:style>
  <w:style w:type="paragraph" w:customStyle="1" w:styleId="DeltaViewAnnounce">
    <w:name w:val="DeltaView Announce"/>
    <w:uiPriority w:val="99"/>
    <w:rsid w:val="00725486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sid w:val="00725486"/>
    <w:rPr>
      <w:spacing w:val="0"/>
      <w:sz w:val="16"/>
      <w:szCs w:val="16"/>
    </w:rPr>
  </w:style>
  <w:style w:type="character" w:customStyle="1" w:styleId="DeltaViewInsertion">
    <w:name w:val="DeltaView Insertion"/>
    <w:uiPriority w:val="99"/>
    <w:rsid w:val="00725486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25486"/>
    <w:rPr>
      <w:strike/>
      <w:color w:val="FF0000"/>
      <w:spacing w:val="0"/>
    </w:rPr>
  </w:style>
  <w:style w:type="character" w:customStyle="1" w:styleId="DeltaViewMoveSource">
    <w:name w:val="DeltaView Move Source"/>
    <w:uiPriority w:val="99"/>
    <w:rsid w:val="00725486"/>
    <w:rPr>
      <w:strike/>
      <w:color w:val="00C000"/>
      <w:spacing w:val="0"/>
    </w:rPr>
  </w:style>
  <w:style w:type="character" w:customStyle="1" w:styleId="DeltaViewMoveDestination">
    <w:name w:val="DeltaView Move Destination"/>
    <w:uiPriority w:val="99"/>
    <w:rsid w:val="00725486"/>
    <w:rPr>
      <w:color w:val="00C000"/>
      <w:spacing w:val="0"/>
      <w:u w:val="double"/>
    </w:rPr>
  </w:style>
  <w:style w:type="paragraph" w:styleId="CommentText">
    <w:name w:val="annotation text"/>
    <w:basedOn w:val="Normal"/>
    <w:link w:val="CommentTextChar"/>
    <w:uiPriority w:val="99"/>
    <w:rsid w:val="00725486"/>
    <w:pPr>
      <w:widowControl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486"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sid w:val="00725486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99"/>
    <w:rsid w:val="00725486"/>
    <w:rPr>
      <w:spacing w:val="0"/>
    </w:rPr>
  </w:style>
  <w:style w:type="paragraph" w:styleId="DocumentMap">
    <w:name w:val="Document Map"/>
    <w:basedOn w:val="Normal"/>
    <w:link w:val="DocumentMapChar"/>
    <w:uiPriority w:val="99"/>
    <w:rsid w:val="00725486"/>
    <w:pPr>
      <w:widowControl/>
      <w:shd w:val="clear" w:color="auto" w:fill="00008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5486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725486"/>
    <w:rPr>
      <w:color w:val="000000"/>
      <w:spacing w:val="0"/>
    </w:rPr>
  </w:style>
  <w:style w:type="character" w:customStyle="1" w:styleId="DeltaViewMovedDeletion">
    <w:name w:val="DeltaView Moved Deletion"/>
    <w:uiPriority w:val="99"/>
    <w:rsid w:val="00725486"/>
    <w:rPr>
      <w:strike/>
      <w:color w:val="C08080"/>
      <w:spacing w:val="0"/>
    </w:rPr>
  </w:style>
  <w:style w:type="character" w:customStyle="1" w:styleId="DeltaViewComment">
    <w:name w:val="DeltaView Comment"/>
    <w:basedOn w:val="DefaultParagraphFont"/>
    <w:uiPriority w:val="99"/>
    <w:rsid w:val="00725486"/>
    <w:rPr>
      <w:color w:val="000000"/>
      <w:spacing w:val="0"/>
    </w:rPr>
  </w:style>
  <w:style w:type="character" w:customStyle="1" w:styleId="DeltaViewStyleChangeText">
    <w:name w:val="DeltaView Style Change Text"/>
    <w:uiPriority w:val="99"/>
    <w:rsid w:val="00725486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99"/>
    <w:rsid w:val="00725486"/>
    <w:rPr>
      <w:color w:val="000000"/>
      <w:spacing w:val="0"/>
    </w:rPr>
  </w:style>
  <w:style w:type="character" w:customStyle="1" w:styleId="DeltaViewInsertedComment">
    <w:name w:val="DeltaView Inserted Comment"/>
    <w:basedOn w:val="DeltaViewComment"/>
    <w:uiPriority w:val="99"/>
    <w:rsid w:val="00725486"/>
    <w:rPr>
      <w:color w:val="0000FF"/>
      <w:spacing w:val="0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725486"/>
    <w:rPr>
      <w:strike/>
      <w:color w:val="FF000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T. Gault</dc:creator>
  <cp:lastModifiedBy>Roger T. Gault</cp:lastModifiedBy>
  <cp:revision>2</cp:revision>
  <cp:lastPrinted>2013-12-03T21:50:00Z</cp:lastPrinted>
  <dcterms:created xsi:type="dcterms:W3CDTF">2013-12-10T23:16:00Z</dcterms:created>
  <dcterms:modified xsi:type="dcterms:W3CDTF">2013-12-10T23:16:00Z</dcterms:modified>
</cp:coreProperties>
</file>