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211"/>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809"/>
        <w:gridCol w:w="1799"/>
        <w:gridCol w:w="8822"/>
      </w:tblGrid>
      <w:tr w:rsidR="00DC0941" w:rsidRPr="000307EF" w14:paraId="7D39B2C8" w14:textId="77777777" w:rsidTr="00DC0941">
        <w:trPr>
          <w:cantSplit/>
          <w:tblHeader/>
        </w:trPr>
        <w:tc>
          <w:tcPr>
            <w:tcW w:w="5000" w:type="pct"/>
            <w:gridSpan w:val="4"/>
            <w:tcBorders>
              <w:left w:val="single" w:sz="4" w:space="0" w:color="auto"/>
            </w:tcBorders>
            <w:vAlign w:val="center"/>
          </w:tcPr>
          <w:p w14:paraId="13BBFDAB" w14:textId="77777777" w:rsidR="00DC0941" w:rsidRDefault="00DC0941" w:rsidP="00DC0941">
            <w:pPr>
              <w:pStyle w:val="Heading1"/>
              <w:rPr>
                <w:sz w:val="20"/>
              </w:rPr>
            </w:pPr>
            <w:r>
              <w:rPr>
                <w:sz w:val="20"/>
              </w:rPr>
              <w:t xml:space="preserve">Department of Defense </w:t>
            </w:r>
            <w:r w:rsidRPr="00DF4687">
              <w:rPr>
                <w:sz w:val="20"/>
              </w:rPr>
              <w:t>Comment Matrix</w:t>
            </w:r>
          </w:p>
          <w:p w14:paraId="2DFF4D4F" w14:textId="795F3F59" w:rsidR="00DC0941" w:rsidRPr="00DF4687" w:rsidRDefault="00DC0941" w:rsidP="00DC0941">
            <w:pPr>
              <w:jc w:val="center"/>
            </w:pPr>
            <w:r>
              <w:t>Submitted:</w:t>
            </w:r>
            <w:bookmarkStart w:id="0" w:name="_GoBack"/>
            <w:bookmarkEnd w:id="0"/>
            <w:r w:rsidR="008223D0">
              <w:t xml:space="preserve"> </w:t>
            </w:r>
            <w:r>
              <w:t>07 November</w:t>
            </w:r>
            <w:r w:rsidRPr="00AE6190">
              <w:t xml:space="preserve"> </w:t>
            </w:r>
            <w:r>
              <w:t>2022</w:t>
            </w:r>
          </w:p>
          <w:p w14:paraId="36458E6A" w14:textId="77777777" w:rsidR="00DC0941" w:rsidRDefault="00DC0941" w:rsidP="00DC0941">
            <w:pPr>
              <w:pStyle w:val="Heading1"/>
              <w:rPr>
                <w:sz w:val="20"/>
              </w:rPr>
            </w:pPr>
          </w:p>
          <w:p w14:paraId="2575539F" w14:textId="77777777" w:rsidR="00DC0941" w:rsidRDefault="00DC0941" w:rsidP="00DC0941">
            <w:pPr>
              <w:pStyle w:val="Heading1"/>
              <w:rPr>
                <w:sz w:val="20"/>
              </w:rPr>
            </w:pPr>
            <w:r>
              <w:rPr>
                <w:sz w:val="20"/>
              </w:rPr>
              <w:t xml:space="preserve">California Air Resources Board </w:t>
            </w:r>
          </w:p>
          <w:p w14:paraId="2115CFCF" w14:textId="77777777" w:rsidR="00DC0941" w:rsidRDefault="00DC0941" w:rsidP="00DC0941">
            <w:pPr>
              <w:jc w:val="center"/>
              <w:rPr>
                <w:b/>
              </w:rPr>
            </w:pPr>
            <w:r>
              <w:rPr>
                <w:b/>
              </w:rPr>
              <w:t>Proposed Regulation</w:t>
            </w:r>
            <w:r w:rsidRPr="00DC0941">
              <w:rPr>
                <w:b/>
              </w:rPr>
              <w:t xml:space="preserve"> for In-Use Off-Road Diesel-Fueled Fleets </w:t>
            </w:r>
          </w:p>
          <w:p w14:paraId="5CD1F1E4" w14:textId="77777777" w:rsidR="00DC0941" w:rsidRDefault="00DC0941" w:rsidP="00DC0941">
            <w:pPr>
              <w:jc w:val="center"/>
              <w:rPr>
                <w:b/>
              </w:rPr>
            </w:pPr>
          </w:p>
        </w:tc>
      </w:tr>
      <w:tr w:rsidR="00A04EF6" w:rsidRPr="000307EF" w14:paraId="0A83E167" w14:textId="77777777" w:rsidTr="00DC0941">
        <w:trPr>
          <w:cantSplit/>
          <w:tblHeader/>
        </w:trPr>
        <w:tc>
          <w:tcPr>
            <w:tcW w:w="495" w:type="pct"/>
            <w:vMerge w:val="restart"/>
            <w:tcBorders>
              <w:left w:val="single" w:sz="4" w:space="0" w:color="auto"/>
            </w:tcBorders>
            <w:vAlign w:val="center"/>
          </w:tcPr>
          <w:p w14:paraId="298CA5A2" w14:textId="77777777" w:rsidR="00A04EF6" w:rsidRPr="000307EF" w:rsidRDefault="00A04EF6" w:rsidP="00925D75">
            <w:pPr>
              <w:spacing w:before="60" w:after="60"/>
              <w:jc w:val="center"/>
              <w:rPr>
                <w:b/>
              </w:rPr>
            </w:pPr>
            <w:r>
              <w:rPr>
                <w:b/>
              </w:rPr>
              <w:t xml:space="preserve">Comment </w:t>
            </w:r>
            <w:r w:rsidRPr="000307EF">
              <w:rPr>
                <w:b/>
              </w:rPr>
              <w:t>#</w:t>
            </w:r>
          </w:p>
        </w:tc>
        <w:tc>
          <w:tcPr>
            <w:tcW w:w="1028" w:type="pct"/>
            <w:gridSpan w:val="2"/>
          </w:tcPr>
          <w:p w14:paraId="13BAFED0" w14:textId="77777777" w:rsidR="00A04EF6" w:rsidRPr="000307EF" w:rsidRDefault="00A04EF6" w:rsidP="00925D75">
            <w:pPr>
              <w:spacing w:before="60" w:after="60"/>
              <w:jc w:val="center"/>
              <w:rPr>
                <w:b/>
              </w:rPr>
            </w:pPr>
            <w:r w:rsidRPr="000307EF">
              <w:rPr>
                <w:b/>
              </w:rPr>
              <w:t>Location</w:t>
            </w:r>
          </w:p>
        </w:tc>
        <w:tc>
          <w:tcPr>
            <w:tcW w:w="3477" w:type="pct"/>
            <w:vAlign w:val="center"/>
          </w:tcPr>
          <w:p w14:paraId="07CE2591" w14:textId="77777777" w:rsidR="00DC0941" w:rsidRPr="000307EF" w:rsidRDefault="00A04EF6" w:rsidP="00DC0941">
            <w:pPr>
              <w:spacing w:before="60" w:after="60"/>
              <w:jc w:val="center"/>
              <w:rPr>
                <w:b/>
              </w:rPr>
            </w:pPr>
            <w:r>
              <w:rPr>
                <w:b/>
              </w:rPr>
              <w:t xml:space="preserve">Department of Defense </w:t>
            </w:r>
            <w:r w:rsidRPr="000307EF">
              <w:rPr>
                <w:b/>
              </w:rPr>
              <w:t>Comment</w:t>
            </w:r>
          </w:p>
        </w:tc>
      </w:tr>
      <w:tr w:rsidR="00A04EF6" w:rsidRPr="000307EF" w14:paraId="02894375" w14:textId="77777777" w:rsidTr="00DC0941">
        <w:trPr>
          <w:cantSplit/>
          <w:tblHeader/>
        </w:trPr>
        <w:tc>
          <w:tcPr>
            <w:tcW w:w="495" w:type="pct"/>
            <w:vMerge/>
            <w:tcBorders>
              <w:left w:val="single" w:sz="4" w:space="0" w:color="auto"/>
              <w:bottom w:val="thinThickSmallGap" w:sz="24" w:space="0" w:color="auto"/>
            </w:tcBorders>
            <w:vAlign w:val="center"/>
          </w:tcPr>
          <w:p w14:paraId="006AE8F7" w14:textId="77777777" w:rsidR="00A04EF6" w:rsidRPr="000307EF" w:rsidRDefault="00A04EF6" w:rsidP="00925D75">
            <w:pPr>
              <w:spacing w:before="60" w:after="60"/>
              <w:jc w:val="center"/>
              <w:rPr>
                <w:b/>
              </w:rPr>
            </w:pPr>
          </w:p>
        </w:tc>
        <w:tc>
          <w:tcPr>
            <w:tcW w:w="319" w:type="pct"/>
            <w:tcBorders>
              <w:bottom w:val="thinThickSmallGap" w:sz="24" w:space="0" w:color="auto"/>
            </w:tcBorders>
            <w:vAlign w:val="center"/>
          </w:tcPr>
          <w:p w14:paraId="2077F638" w14:textId="77777777" w:rsidR="00A04EF6" w:rsidRPr="000307EF" w:rsidRDefault="00A04EF6" w:rsidP="00925D75">
            <w:pPr>
              <w:spacing w:before="60" w:after="60"/>
              <w:jc w:val="center"/>
              <w:rPr>
                <w:b/>
              </w:rPr>
            </w:pPr>
            <w:r w:rsidRPr="000307EF">
              <w:rPr>
                <w:b/>
              </w:rPr>
              <w:t>Page</w:t>
            </w:r>
          </w:p>
        </w:tc>
        <w:tc>
          <w:tcPr>
            <w:tcW w:w="709" w:type="pct"/>
            <w:tcBorders>
              <w:bottom w:val="thinThickSmallGap" w:sz="24" w:space="0" w:color="auto"/>
            </w:tcBorders>
            <w:vAlign w:val="center"/>
          </w:tcPr>
          <w:p w14:paraId="352D7572" w14:textId="77777777" w:rsidR="00A04EF6" w:rsidRPr="000307EF" w:rsidRDefault="00A04EF6" w:rsidP="00925D75">
            <w:pPr>
              <w:spacing w:before="60" w:after="60"/>
              <w:jc w:val="center"/>
              <w:rPr>
                <w:b/>
              </w:rPr>
            </w:pPr>
            <w:r w:rsidRPr="000307EF">
              <w:rPr>
                <w:b/>
              </w:rPr>
              <w:t>Section</w:t>
            </w:r>
          </w:p>
        </w:tc>
        <w:tc>
          <w:tcPr>
            <w:tcW w:w="3477" w:type="pct"/>
            <w:tcBorders>
              <w:bottom w:val="thinThickSmallGap" w:sz="24" w:space="0" w:color="auto"/>
            </w:tcBorders>
            <w:vAlign w:val="center"/>
          </w:tcPr>
          <w:p w14:paraId="2BFF771C" w14:textId="77777777" w:rsidR="00A04EF6" w:rsidRPr="000307EF" w:rsidRDefault="00A04EF6" w:rsidP="00925D75">
            <w:pPr>
              <w:spacing w:before="60" w:after="60"/>
              <w:rPr>
                <w:b/>
              </w:rPr>
            </w:pPr>
          </w:p>
        </w:tc>
      </w:tr>
      <w:tr w:rsidR="00A04EF6" w:rsidRPr="000307EF" w14:paraId="3B59CA40" w14:textId="77777777" w:rsidTr="00DC0941">
        <w:trPr>
          <w:cantSplit/>
          <w:trHeight w:val="1257"/>
        </w:trPr>
        <w:tc>
          <w:tcPr>
            <w:tcW w:w="495" w:type="pct"/>
            <w:tcBorders>
              <w:left w:val="single" w:sz="4" w:space="0" w:color="auto"/>
            </w:tcBorders>
          </w:tcPr>
          <w:p w14:paraId="66ED85E7" w14:textId="77777777" w:rsidR="00A04EF6" w:rsidRPr="000307EF" w:rsidRDefault="00A04EF6" w:rsidP="00925D75">
            <w:pPr>
              <w:tabs>
                <w:tab w:val="left" w:pos="102"/>
              </w:tabs>
              <w:spacing w:before="60" w:after="60"/>
              <w:ind w:left="180"/>
              <w:jc w:val="center"/>
            </w:pPr>
            <w:r>
              <w:t>1</w:t>
            </w:r>
          </w:p>
        </w:tc>
        <w:tc>
          <w:tcPr>
            <w:tcW w:w="319" w:type="pct"/>
            <w:tcBorders>
              <w:top w:val="single" w:sz="4" w:space="0" w:color="auto"/>
              <w:bottom w:val="single" w:sz="4" w:space="0" w:color="auto"/>
            </w:tcBorders>
          </w:tcPr>
          <w:p w14:paraId="4136DF6D" w14:textId="77777777" w:rsidR="00A04EF6" w:rsidRPr="000307EF" w:rsidRDefault="00A04EF6" w:rsidP="00925D75">
            <w:pPr>
              <w:spacing w:before="60" w:after="60"/>
              <w:jc w:val="center"/>
            </w:pPr>
            <w:r>
              <w:t xml:space="preserve"> 6</w:t>
            </w:r>
          </w:p>
        </w:tc>
        <w:tc>
          <w:tcPr>
            <w:tcW w:w="709" w:type="pct"/>
          </w:tcPr>
          <w:p w14:paraId="71262BFD" w14:textId="77777777" w:rsidR="00A04EF6" w:rsidRPr="000307EF" w:rsidRDefault="00A04EF6" w:rsidP="000F1063">
            <w:pPr>
              <w:spacing w:before="60" w:after="60"/>
              <w:jc w:val="center"/>
            </w:pPr>
            <w:r>
              <w:t>2449(c)(18)(</w:t>
            </w:r>
            <w:r w:rsidR="007428E2">
              <w:t>A) and (B)</w:t>
            </w:r>
          </w:p>
        </w:tc>
        <w:tc>
          <w:tcPr>
            <w:tcW w:w="3477" w:type="pct"/>
          </w:tcPr>
          <w:p w14:paraId="60728F7B" w14:textId="77777777" w:rsidR="00A04EF6" w:rsidRDefault="00A04EF6" w:rsidP="00CF57E2">
            <w:r>
              <w:t xml:space="preserve">Emergency Operation – The </w:t>
            </w:r>
            <w:r w:rsidR="007428E2">
              <w:t xml:space="preserve">current definition of emergency operation under subsections (A) and (B) both start with, “Any activity </w:t>
            </w:r>
            <w:r w:rsidR="007428E2" w:rsidRPr="007428E2">
              <w:rPr>
                <w:i/>
              </w:rPr>
              <w:t>for a project</w:t>
            </w:r>
            <w:r w:rsidR="007428E2">
              <w:t>”…</w:t>
            </w:r>
          </w:p>
          <w:p w14:paraId="25F74437" w14:textId="77777777" w:rsidR="00A04EF6" w:rsidRDefault="00A04EF6" w:rsidP="00CF57E2"/>
          <w:p w14:paraId="1A00C65A" w14:textId="77777777" w:rsidR="00A04EF6" w:rsidRDefault="007428E2" w:rsidP="00D86460">
            <w:r>
              <w:t>Recommend deleting “for a project” from the</w:t>
            </w:r>
            <w:r w:rsidR="00A04EF6">
              <w:t xml:space="preserve"> definition </w:t>
            </w:r>
            <w:r>
              <w:t xml:space="preserve">in subsections (A) and (B) </w:t>
            </w:r>
            <w:r w:rsidR="00A04EF6">
              <w:t xml:space="preserve">such that facilities operations at </w:t>
            </w:r>
            <w:r>
              <w:t xml:space="preserve">military </w:t>
            </w:r>
            <w:r w:rsidR="00A04EF6">
              <w:t>installations would be included i</w:t>
            </w:r>
            <w:r>
              <w:t>n the event of a power outage,</w:t>
            </w:r>
            <w:r w:rsidR="00A04EF6">
              <w:t xml:space="preserve"> internal power disruption</w:t>
            </w:r>
            <w:r>
              <w:t>, or other emergency as defined (i.e. the definition would not be limited to activities for projects but could apply to activities for facilities as well)</w:t>
            </w:r>
            <w:r w:rsidR="00A04EF6">
              <w:t>:</w:t>
            </w:r>
          </w:p>
          <w:p w14:paraId="2AC63267" w14:textId="77777777" w:rsidR="007428E2" w:rsidRDefault="007428E2" w:rsidP="00D86460"/>
          <w:p w14:paraId="10886CBE" w14:textId="77777777" w:rsidR="007428E2" w:rsidRDefault="007428E2" w:rsidP="007428E2">
            <w:r>
              <w:t xml:space="preserve">(A) Any activity </w:t>
            </w:r>
            <w:r w:rsidRPr="007428E2">
              <w:rPr>
                <w:strike/>
              </w:rPr>
              <w:t>for a project</w:t>
            </w:r>
            <w:r>
              <w:t xml:space="preserve"> conducted during emergency”…;</w:t>
            </w:r>
          </w:p>
          <w:p w14:paraId="5CC067E6" w14:textId="77777777" w:rsidR="007428E2" w:rsidRPr="00CF57E2" w:rsidRDefault="007428E2" w:rsidP="007428E2">
            <w:r>
              <w:t xml:space="preserve">(B) Any activity </w:t>
            </w:r>
            <w:r w:rsidRPr="007428E2">
              <w:rPr>
                <w:strike/>
              </w:rPr>
              <w:t>for a project</w:t>
            </w:r>
            <w:r>
              <w:t xml:space="preserve"> conducted by essential service utilities”…</w:t>
            </w:r>
          </w:p>
          <w:p w14:paraId="5C5EC934" w14:textId="77777777" w:rsidR="00A04EF6" w:rsidRPr="00CF57E2" w:rsidRDefault="00A04EF6" w:rsidP="007428E2"/>
        </w:tc>
      </w:tr>
      <w:tr w:rsidR="00A04EF6" w:rsidRPr="000307EF" w14:paraId="301D9EBF" w14:textId="77777777" w:rsidTr="00DC0941">
        <w:trPr>
          <w:cantSplit/>
        </w:trPr>
        <w:tc>
          <w:tcPr>
            <w:tcW w:w="495" w:type="pct"/>
            <w:tcBorders>
              <w:left w:val="single" w:sz="4" w:space="0" w:color="auto"/>
            </w:tcBorders>
          </w:tcPr>
          <w:p w14:paraId="7EB0C479" w14:textId="77777777" w:rsidR="00A04EF6" w:rsidRDefault="00A04EF6" w:rsidP="00925D75">
            <w:pPr>
              <w:tabs>
                <w:tab w:val="left" w:pos="102"/>
              </w:tabs>
              <w:spacing w:before="60" w:after="60"/>
              <w:ind w:left="180"/>
              <w:jc w:val="center"/>
            </w:pPr>
            <w:r>
              <w:t>2</w:t>
            </w:r>
          </w:p>
        </w:tc>
        <w:tc>
          <w:tcPr>
            <w:tcW w:w="319" w:type="pct"/>
            <w:tcBorders>
              <w:top w:val="single" w:sz="4" w:space="0" w:color="auto"/>
              <w:bottom w:val="single" w:sz="4" w:space="0" w:color="auto"/>
            </w:tcBorders>
          </w:tcPr>
          <w:p w14:paraId="5E6E643F" w14:textId="77777777" w:rsidR="00A04EF6" w:rsidRDefault="00A04EF6" w:rsidP="00925D75">
            <w:pPr>
              <w:spacing w:before="60" w:after="60"/>
              <w:jc w:val="center"/>
            </w:pPr>
            <w:r>
              <w:t>28</w:t>
            </w:r>
          </w:p>
        </w:tc>
        <w:tc>
          <w:tcPr>
            <w:tcW w:w="709" w:type="pct"/>
          </w:tcPr>
          <w:p w14:paraId="4C089C54" w14:textId="77777777" w:rsidR="00A04EF6" w:rsidRPr="001370DF" w:rsidRDefault="00A04EF6" w:rsidP="000F1063">
            <w:pPr>
              <w:spacing w:before="60" w:after="60"/>
              <w:jc w:val="center"/>
            </w:pPr>
            <w:r>
              <w:t>2449(6)(E) and (F)</w:t>
            </w:r>
          </w:p>
        </w:tc>
        <w:tc>
          <w:tcPr>
            <w:tcW w:w="3477" w:type="pct"/>
          </w:tcPr>
          <w:p w14:paraId="01621B62" w14:textId="77777777" w:rsidR="00A04EF6" w:rsidRDefault="007428E2" w:rsidP="000F1063">
            <w:r>
              <w:t>Relevant to the b</w:t>
            </w:r>
            <w:r w:rsidR="00A04EF6" w:rsidRPr="00B460B9">
              <w:t>an on adding Tier 4 interims</w:t>
            </w:r>
            <w:r>
              <w:t xml:space="preserve"> it subsections (E) and (F),</w:t>
            </w:r>
            <w:r w:rsidR="00A04EF6">
              <w:t xml:space="preserve"> </w:t>
            </w:r>
            <w:r w:rsidR="005C6BB9">
              <w:t xml:space="preserve">it is </w:t>
            </w:r>
            <w:r>
              <w:t>r</w:t>
            </w:r>
            <w:r w:rsidR="00A04EF6">
              <w:t>ecommend</w:t>
            </w:r>
            <w:r w:rsidR="005C6BB9">
              <w:t>ed</w:t>
            </w:r>
            <w:r w:rsidR="00A04EF6">
              <w:t xml:space="preserve"> </w:t>
            </w:r>
            <w:r w:rsidR="005C6BB9">
              <w:t>that an exemption be added</w:t>
            </w:r>
            <w:r w:rsidR="00A04EF6">
              <w:t xml:space="preserve"> for engines that do not have a Tier 4 final model available.</w:t>
            </w:r>
          </w:p>
          <w:p w14:paraId="2BC1426A" w14:textId="77777777" w:rsidR="007428E2" w:rsidRPr="00183825" w:rsidRDefault="007428E2" w:rsidP="000F1063"/>
        </w:tc>
      </w:tr>
      <w:tr w:rsidR="00A04EF6" w:rsidRPr="000307EF" w14:paraId="638DFC85" w14:textId="77777777" w:rsidTr="00DC0941">
        <w:trPr>
          <w:cantSplit/>
        </w:trPr>
        <w:tc>
          <w:tcPr>
            <w:tcW w:w="495" w:type="pct"/>
            <w:tcBorders>
              <w:left w:val="single" w:sz="4" w:space="0" w:color="auto"/>
            </w:tcBorders>
          </w:tcPr>
          <w:p w14:paraId="7B5FDA3D" w14:textId="77777777" w:rsidR="00A04EF6" w:rsidRDefault="00946286" w:rsidP="00925D75">
            <w:pPr>
              <w:tabs>
                <w:tab w:val="left" w:pos="102"/>
              </w:tabs>
              <w:spacing w:before="60" w:after="60"/>
              <w:ind w:left="180"/>
              <w:jc w:val="center"/>
            </w:pPr>
            <w:r>
              <w:t>3</w:t>
            </w:r>
          </w:p>
        </w:tc>
        <w:tc>
          <w:tcPr>
            <w:tcW w:w="319" w:type="pct"/>
            <w:tcBorders>
              <w:top w:val="single" w:sz="4" w:space="0" w:color="auto"/>
              <w:bottom w:val="single" w:sz="4" w:space="0" w:color="auto"/>
            </w:tcBorders>
          </w:tcPr>
          <w:p w14:paraId="27445E58" w14:textId="77777777" w:rsidR="00A04EF6" w:rsidRDefault="00A04EF6" w:rsidP="00925D75">
            <w:pPr>
              <w:spacing w:before="60" w:after="60"/>
              <w:jc w:val="center"/>
            </w:pPr>
            <w:r>
              <w:t>40</w:t>
            </w:r>
          </w:p>
        </w:tc>
        <w:tc>
          <w:tcPr>
            <w:tcW w:w="709" w:type="pct"/>
          </w:tcPr>
          <w:p w14:paraId="04E421BA" w14:textId="77777777" w:rsidR="00A04EF6" w:rsidRPr="001370DF" w:rsidRDefault="00A04EF6" w:rsidP="00925D75">
            <w:pPr>
              <w:spacing w:before="60" w:after="60"/>
              <w:jc w:val="center"/>
            </w:pPr>
            <w:r>
              <w:t>2449(e)(14)</w:t>
            </w:r>
          </w:p>
        </w:tc>
        <w:tc>
          <w:tcPr>
            <w:tcW w:w="3477" w:type="pct"/>
          </w:tcPr>
          <w:p w14:paraId="3EEE822F" w14:textId="77777777" w:rsidR="00A04EF6" w:rsidRDefault="00A04EF6" w:rsidP="00D26BD5">
            <w:r w:rsidRPr="004F5F7C">
              <w:t>Two-Engine Vehicles</w:t>
            </w:r>
            <w:r>
              <w:t xml:space="preserve">. The regulation, as is, prohibits two-engine vehicles from operating if either of the vehicle’s engines do not comply with the Tier phase-out schedule. The DoD operates several high-cost cranes with higher tier (i.e., Tier 3 or Tier 4) drive engines and lower tier (i.e., Tier 1 or Tier 2) auxiliary engines that installations would be required to turnover based on the auxiliary engine phase-out date. </w:t>
            </w:r>
            <w:r w:rsidR="00222FC7">
              <w:t>Because it is the drive engines</w:t>
            </w:r>
            <w:r>
              <w:t xml:space="preserve"> that are responsible for the majority of emissions, recommend that two-engine vehicles be required to comply with the Tier phase-out schedule based on the primary drive engine tier or that CARB propose an alternate schedule for two-engine vehicles.</w:t>
            </w:r>
          </w:p>
          <w:p w14:paraId="5F0525F4" w14:textId="77777777" w:rsidR="00A04EF6" w:rsidRPr="00183825" w:rsidRDefault="00A04EF6" w:rsidP="00BF6D08">
            <w:pPr>
              <w:spacing w:before="60" w:after="60"/>
            </w:pPr>
          </w:p>
        </w:tc>
      </w:tr>
      <w:tr w:rsidR="00A04EF6" w:rsidRPr="000307EF" w14:paraId="38A76B60" w14:textId="77777777" w:rsidTr="00DC0941">
        <w:trPr>
          <w:cantSplit/>
        </w:trPr>
        <w:tc>
          <w:tcPr>
            <w:tcW w:w="495" w:type="pct"/>
            <w:tcBorders>
              <w:left w:val="single" w:sz="4" w:space="0" w:color="auto"/>
            </w:tcBorders>
          </w:tcPr>
          <w:p w14:paraId="591D7652" w14:textId="77777777" w:rsidR="00A04EF6" w:rsidRDefault="00946286" w:rsidP="00925D75">
            <w:pPr>
              <w:tabs>
                <w:tab w:val="left" w:pos="102"/>
              </w:tabs>
              <w:spacing w:before="60" w:after="60"/>
              <w:ind w:left="180"/>
              <w:jc w:val="center"/>
            </w:pPr>
            <w:r>
              <w:t>4</w:t>
            </w:r>
          </w:p>
        </w:tc>
        <w:tc>
          <w:tcPr>
            <w:tcW w:w="319" w:type="pct"/>
            <w:tcBorders>
              <w:top w:val="single" w:sz="4" w:space="0" w:color="auto"/>
              <w:bottom w:val="single" w:sz="4" w:space="0" w:color="auto"/>
            </w:tcBorders>
          </w:tcPr>
          <w:p w14:paraId="5A51193B" w14:textId="77777777" w:rsidR="00A04EF6" w:rsidRDefault="00A04EF6" w:rsidP="00925D75">
            <w:pPr>
              <w:spacing w:before="60" w:after="60"/>
              <w:jc w:val="center"/>
            </w:pPr>
            <w:r>
              <w:t>44</w:t>
            </w:r>
          </w:p>
        </w:tc>
        <w:tc>
          <w:tcPr>
            <w:tcW w:w="709" w:type="pct"/>
          </w:tcPr>
          <w:p w14:paraId="7441C66B" w14:textId="77777777" w:rsidR="00A04EF6" w:rsidRPr="001370DF" w:rsidRDefault="00A04EF6" w:rsidP="00925D75">
            <w:pPr>
              <w:spacing w:before="60" w:after="60"/>
              <w:jc w:val="center"/>
            </w:pPr>
            <w:r>
              <w:t>2449(f)(2)</w:t>
            </w:r>
          </w:p>
        </w:tc>
        <w:tc>
          <w:tcPr>
            <w:tcW w:w="3477" w:type="pct"/>
          </w:tcPr>
          <w:p w14:paraId="1A65FCD8" w14:textId="77777777" w:rsidR="00A04EF6" w:rsidRDefault="00A04EF6" w:rsidP="00201343">
            <w:r>
              <w:t>Emission Control Label. In the event that an emission control label is no longer legible, recommend extending the time period that fleets have to contact the manufacturer to 30 days. If the manufacturer is unable to affix the label, recommend extending the time period fleets have to request a replacement label to 60 days. Also, recommend that CARB work with manufacturers to set up a one-stop shop with contact information for each manufacturer to make this process easier and more streamlined for fleets.</w:t>
            </w:r>
          </w:p>
          <w:p w14:paraId="55A1BB9D" w14:textId="77777777" w:rsidR="00A04EF6" w:rsidRPr="00183825" w:rsidRDefault="00A04EF6" w:rsidP="009D71E7">
            <w:pPr>
              <w:spacing w:before="60" w:after="60"/>
            </w:pPr>
          </w:p>
        </w:tc>
      </w:tr>
      <w:tr w:rsidR="00A04EF6" w:rsidRPr="000307EF" w14:paraId="0CB6701B" w14:textId="77777777" w:rsidTr="00DC0941">
        <w:trPr>
          <w:cantSplit/>
        </w:trPr>
        <w:tc>
          <w:tcPr>
            <w:tcW w:w="495" w:type="pct"/>
            <w:tcBorders>
              <w:left w:val="single" w:sz="4" w:space="0" w:color="auto"/>
            </w:tcBorders>
          </w:tcPr>
          <w:p w14:paraId="09CF0696" w14:textId="77777777" w:rsidR="00A04EF6" w:rsidRPr="004118E9" w:rsidRDefault="00946286" w:rsidP="00925D75">
            <w:pPr>
              <w:tabs>
                <w:tab w:val="left" w:pos="102"/>
              </w:tabs>
              <w:spacing w:before="60" w:after="60"/>
              <w:ind w:left="180"/>
              <w:jc w:val="center"/>
            </w:pPr>
            <w:r>
              <w:lastRenderedPageBreak/>
              <w:t>5</w:t>
            </w:r>
          </w:p>
        </w:tc>
        <w:tc>
          <w:tcPr>
            <w:tcW w:w="319" w:type="pct"/>
            <w:tcBorders>
              <w:top w:val="single" w:sz="4" w:space="0" w:color="auto"/>
              <w:bottom w:val="single" w:sz="4" w:space="0" w:color="auto"/>
            </w:tcBorders>
          </w:tcPr>
          <w:p w14:paraId="663C719F" w14:textId="77777777" w:rsidR="00A04EF6" w:rsidRPr="004118E9" w:rsidRDefault="00A04EF6" w:rsidP="00925D75">
            <w:pPr>
              <w:spacing w:before="60" w:after="60"/>
              <w:jc w:val="center"/>
            </w:pPr>
            <w:r w:rsidRPr="004118E9">
              <w:t>51</w:t>
            </w:r>
          </w:p>
        </w:tc>
        <w:tc>
          <w:tcPr>
            <w:tcW w:w="709" w:type="pct"/>
          </w:tcPr>
          <w:p w14:paraId="37DFC564" w14:textId="77777777" w:rsidR="00A04EF6" w:rsidRPr="004118E9" w:rsidRDefault="00A04EF6" w:rsidP="00925D75">
            <w:pPr>
              <w:spacing w:before="60" w:after="60"/>
              <w:jc w:val="center"/>
            </w:pPr>
            <w:r w:rsidRPr="004118E9">
              <w:t>2449(g)</w:t>
            </w:r>
            <w:r>
              <w:t>(2)(C</w:t>
            </w:r>
            <w:r w:rsidRPr="004118E9">
              <w:t>)</w:t>
            </w:r>
          </w:p>
        </w:tc>
        <w:tc>
          <w:tcPr>
            <w:tcW w:w="3477" w:type="pct"/>
          </w:tcPr>
          <w:p w14:paraId="1EA464FF" w14:textId="77777777" w:rsidR="00A04EF6" w:rsidRPr="004118E9" w:rsidRDefault="00A04EF6" w:rsidP="001759FD">
            <w:r w:rsidRPr="004118E9">
              <w:t>Engine Hour Meter Readings. Requires that fleets maintain date stamped photographs or a written log of the reported hour meter readings</w:t>
            </w:r>
            <w:r w:rsidR="00222FC7">
              <w:t xml:space="preserve"> if they do not have access to a camera</w:t>
            </w:r>
            <w:r w:rsidRPr="004118E9">
              <w:t>. Fleets are not required to report the photographs/logs but will be required to provide such documentation upon request from CARB.</w:t>
            </w:r>
          </w:p>
          <w:p w14:paraId="23C3520C" w14:textId="77777777" w:rsidR="00A04EF6" w:rsidRPr="004118E9" w:rsidRDefault="00A04EF6" w:rsidP="001759FD"/>
          <w:p w14:paraId="172F4DCF" w14:textId="77777777" w:rsidR="00A04EF6" w:rsidRDefault="00A04EF6" w:rsidP="00201343">
            <w:r w:rsidRPr="004118E9">
              <w:t xml:space="preserve">Recommend </w:t>
            </w:r>
            <w:r>
              <w:t>the written log option be made explicitly available to those who choose not to take photos (for security purposes or other reasons) in addition to those without access to a camera.</w:t>
            </w:r>
          </w:p>
          <w:p w14:paraId="0CC8C190" w14:textId="77777777" w:rsidR="00222FC7" w:rsidRPr="004118E9" w:rsidRDefault="00222FC7" w:rsidP="00201343"/>
        </w:tc>
      </w:tr>
      <w:tr w:rsidR="00A04EF6" w:rsidRPr="000307EF" w14:paraId="09B6574C" w14:textId="77777777" w:rsidTr="00DC0941">
        <w:trPr>
          <w:cantSplit/>
        </w:trPr>
        <w:tc>
          <w:tcPr>
            <w:tcW w:w="495" w:type="pct"/>
            <w:tcBorders>
              <w:left w:val="single" w:sz="4" w:space="0" w:color="auto"/>
            </w:tcBorders>
          </w:tcPr>
          <w:p w14:paraId="4DF77787" w14:textId="77777777" w:rsidR="00A04EF6" w:rsidRDefault="00946286" w:rsidP="00925D75">
            <w:pPr>
              <w:tabs>
                <w:tab w:val="left" w:pos="102"/>
              </w:tabs>
              <w:spacing w:before="60" w:after="60"/>
              <w:ind w:left="180"/>
              <w:jc w:val="center"/>
            </w:pPr>
            <w:r>
              <w:t>6</w:t>
            </w:r>
          </w:p>
        </w:tc>
        <w:tc>
          <w:tcPr>
            <w:tcW w:w="319" w:type="pct"/>
            <w:tcBorders>
              <w:top w:val="single" w:sz="4" w:space="0" w:color="auto"/>
              <w:bottom w:val="single" w:sz="4" w:space="0" w:color="auto"/>
            </w:tcBorders>
          </w:tcPr>
          <w:p w14:paraId="29B146F8" w14:textId="77777777" w:rsidR="00A04EF6" w:rsidRDefault="00A04EF6" w:rsidP="00925D75">
            <w:pPr>
              <w:spacing w:before="60" w:after="60"/>
              <w:jc w:val="center"/>
            </w:pPr>
            <w:r>
              <w:t>76</w:t>
            </w:r>
          </w:p>
        </w:tc>
        <w:tc>
          <w:tcPr>
            <w:tcW w:w="709" w:type="pct"/>
          </w:tcPr>
          <w:p w14:paraId="10FC522B" w14:textId="77777777" w:rsidR="00A04EF6" w:rsidRDefault="00A04EF6" w:rsidP="00925D75">
            <w:pPr>
              <w:spacing w:before="60" w:after="60"/>
              <w:jc w:val="center"/>
            </w:pPr>
            <w:r>
              <w:t>2449.1(c)</w:t>
            </w:r>
          </w:p>
        </w:tc>
        <w:tc>
          <w:tcPr>
            <w:tcW w:w="3477" w:type="pct"/>
          </w:tcPr>
          <w:p w14:paraId="3AE8E655" w14:textId="6DD81D43" w:rsidR="00A04EF6" w:rsidRDefault="00A04EF6" w:rsidP="000E5773">
            <w:r w:rsidRPr="006B14A6">
              <w:t>Tier Phase-Out Requirements</w:t>
            </w:r>
            <w:r>
              <w:t>. Meeting Tier 0 phase-out deadline of January 1, 2024 would be difficult for the Department of Defense (DoD) installations since budgets are submitted for Congress</w:t>
            </w:r>
            <w:r w:rsidR="00672D1E">
              <w:t>ional</w:t>
            </w:r>
            <w:r>
              <w:t xml:space="preserve"> approval three years in advance. Recommend</w:t>
            </w:r>
            <w:r w:rsidR="00672D1E">
              <w:t xml:space="preserve"> phasing this requirement in for federal fleets in fiscal year number 3 after the rule implementation. </w:t>
            </w:r>
          </w:p>
          <w:p w14:paraId="13D912E3" w14:textId="77777777" w:rsidR="00A04EF6" w:rsidRDefault="00A04EF6" w:rsidP="00E11FED"/>
        </w:tc>
      </w:tr>
      <w:tr w:rsidR="00A04EF6" w:rsidRPr="000307EF" w14:paraId="088234CE" w14:textId="77777777" w:rsidTr="00DC0941">
        <w:trPr>
          <w:cantSplit/>
        </w:trPr>
        <w:tc>
          <w:tcPr>
            <w:tcW w:w="495" w:type="pct"/>
            <w:tcBorders>
              <w:left w:val="single" w:sz="4" w:space="0" w:color="auto"/>
            </w:tcBorders>
          </w:tcPr>
          <w:p w14:paraId="333FC75E" w14:textId="77777777" w:rsidR="00A04EF6" w:rsidRDefault="00946286" w:rsidP="00925D75">
            <w:pPr>
              <w:tabs>
                <w:tab w:val="left" w:pos="102"/>
              </w:tabs>
              <w:spacing w:before="60" w:after="60"/>
              <w:ind w:left="180"/>
              <w:jc w:val="center"/>
            </w:pPr>
            <w:r>
              <w:t>7</w:t>
            </w:r>
          </w:p>
        </w:tc>
        <w:tc>
          <w:tcPr>
            <w:tcW w:w="319" w:type="pct"/>
            <w:tcBorders>
              <w:top w:val="single" w:sz="4" w:space="0" w:color="auto"/>
              <w:bottom w:val="single" w:sz="4" w:space="0" w:color="auto"/>
            </w:tcBorders>
          </w:tcPr>
          <w:p w14:paraId="30D022F0" w14:textId="77777777" w:rsidR="00A04EF6" w:rsidRDefault="00A04EF6" w:rsidP="00925D75">
            <w:pPr>
              <w:spacing w:before="60" w:after="60"/>
              <w:jc w:val="center"/>
            </w:pPr>
            <w:r>
              <w:t>84</w:t>
            </w:r>
          </w:p>
        </w:tc>
        <w:tc>
          <w:tcPr>
            <w:tcW w:w="709" w:type="pct"/>
          </w:tcPr>
          <w:p w14:paraId="3BD91719" w14:textId="77777777" w:rsidR="00A04EF6" w:rsidRDefault="00A04EF6" w:rsidP="00925D75">
            <w:pPr>
              <w:spacing w:before="60" w:after="60"/>
              <w:jc w:val="center"/>
            </w:pPr>
            <w:r>
              <w:t>2449.1(f)</w:t>
            </w:r>
          </w:p>
        </w:tc>
        <w:tc>
          <w:tcPr>
            <w:tcW w:w="3477" w:type="pct"/>
          </w:tcPr>
          <w:p w14:paraId="1257DF9E" w14:textId="49CB1523" w:rsidR="00A04EF6" w:rsidRDefault="00A04EF6" w:rsidP="004F1601">
            <w:r w:rsidRPr="00BD3712">
              <w:t>Renewable Diesel Requirements</w:t>
            </w:r>
            <w:r>
              <w:t xml:space="preserve">. Recommend that </w:t>
            </w:r>
            <w:r w:rsidR="00672D1E">
              <w:t xml:space="preserve">federal </w:t>
            </w:r>
            <w:r>
              <w:t xml:space="preserve">fleets </w:t>
            </w:r>
            <w:r w:rsidRPr="00683DC5">
              <w:t>be given a transitional</w:t>
            </w:r>
            <w:r>
              <w:t xml:space="preserve"> period from January 1, 2024, to January 1, 2025 to switch to renewable diesel </w:t>
            </w:r>
            <w:r w:rsidR="00E74B35">
              <w:t>based on anticipated challenges related to DoD procurement</w:t>
            </w:r>
            <w:r w:rsidRPr="00A76983">
              <w:t xml:space="preserve"> </w:t>
            </w:r>
            <w:r w:rsidR="00E74B35">
              <w:t xml:space="preserve">of </w:t>
            </w:r>
            <w:r w:rsidRPr="00A04EF6">
              <w:t xml:space="preserve">sufficient renewable diesel </w:t>
            </w:r>
            <w:r w:rsidR="00E74B35">
              <w:t>supply</w:t>
            </w:r>
            <w:r w:rsidRPr="00A04EF6">
              <w:t xml:space="preserve"> </w:t>
            </w:r>
            <w:r w:rsidR="00E74B35">
              <w:t xml:space="preserve">and additional necessary supply equipment (i.e. </w:t>
            </w:r>
            <w:proofErr w:type="spellStart"/>
            <w:r w:rsidRPr="00A04EF6">
              <w:t>refuelers</w:t>
            </w:r>
            <w:proofErr w:type="spellEnd"/>
            <w:r w:rsidRPr="00A04EF6">
              <w:t xml:space="preserve"> and/or tanks</w:t>
            </w:r>
            <w:r w:rsidR="00E74B35">
              <w:t>)</w:t>
            </w:r>
            <w:r w:rsidR="00E74B35">
              <w:rPr>
                <w:strike/>
              </w:rPr>
              <w:t>.</w:t>
            </w:r>
          </w:p>
          <w:p w14:paraId="502A7974" w14:textId="77777777" w:rsidR="00A04EF6" w:rsidRDefault="00A04EF6" w:rsidP="00E11FED"/>
        </w:tc>
      </w:tr>
    </w:tbl>
    <w:p w14:paraId="06307843" w14:textId="77777777" w:rsidR="00C66BB8" w:rsidRDefault="00C66BB8"/>
    <w:sectPr w:rsidR="00C66BB8" w:rsidSect="00661F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07221"/>
    <w:multiLevelType w:val="hybridMultilevel"/>
    <w:tmpl w:val="4FC83DFE"/>
    <w:lvl w:ilvl="0" w:tplc="70F6E994">
      <w:start w:val="20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D8"/>
    <w:rsid w:val="00007FFB"/>
    <w:rsid w:val="00032245"/>
    <w:rsid w:val="0004062A"/>
    <w:rsid w:val="000454B2"/>
    <w:rsid w:val="000511BE"/>
    <w:rsid w:val="00053180"/>
    <w:rsid w:val="00061FA3"/>
    <w:rsid w:val="00075C24"/>
    <w:rsid w:val="000A7520"/>
    <w:rsid w:val="000C6B8A"/>
    <w:rsid w:val="000E530C"/>
    <w:rsid w:val="000E5773"/>
    <w:rsid w:val="000F1063"/>
    <w:rsid w:val="00103F59"/>
    <w:rsid w:val="00133861"/>
    <w:rsid w:val="00151AF2"/>
    <w:rsid w:val="001759FD"/>
    <w:rsid w:val="0019155D"/>
    <w:rsid w:val="0019557F"/>
    <w:rsid w:val="001A1CEE"/>
    <w:rsid w:val="001B02A0"/>
    <w:rsid w:val="001E6094"/>
    <w:rsid w:val="00201343"/>
    <w:rsid w:val="00222FC7"/>
    <w:rsid w:val="00246B8B"/>
    <w:rsid w:val="00275E46"/>
    <w:rsid w:val="0028054B"/>
    <w:rsid w:val="002A0A17"/>
    <w:rsid w:val="002A6566"/>
    <w:rsid w:val="002A7EB3"/>
    <w:rsid w:val="002D3BA6"/>
    <w:rsid w:val="002F67B1"/>
    <w:rsid w:val="00302A09"/>
    <w:rsid w:val="00305661"/>
    <w:rsid w:val="0031448E"/>
    <w:rsid w:val="00315CD6"/>
    <w:rsid w:val="00337A70"/>
    <w:rsid w:val="00356654"/>
    <w:rsid w:val="00363644"/>
    <w:rsid w:val="0036399E"/>
    <w:rsid w:val="00365B00"/>
    <w:rsid w:val="00376B47"/>
    <w:rsid w:val="00380174"/>
    <w:rsid w:val="003A11C9"/>
    <w:rsid w:val="003C1B9B"/>
    <w:rsid w:val="003C4B7E"/>
    <w:rsid w:val="003D7926"/>
    <w:rsid w:val="003E7649"/>
    <w:rsid w:val="003F4327"/>
    <w:rsid w:val="0040581C"/>
    <w:rsid w:val="004118E9"/>
    <w:rsid w:val="00422A85"/>
    <w:rsid w:val="00431BE1"/>
    <w:rsid w:val="004559AC"/>
    <w:rsid w:val="00463C1C"/>
    <w:rsid w:val="00467C08"/>
    <w:rsid w:val="0048375B"/>
    <w:rsid w:val="00487466"/>
    <w:rsid w:val="004A5E32"/>
    <w:rsid w:val="004B66D9"/>
    <w:rsid w:val="004C70E4"/>
    <w:rsid w:val="004F1601"/>
    <w:rsid w:val="004F67E1"/>
    <w:rsid w:val="00506AEB"/>
    <w:rsid w:val="00522C0C"/>
    <w:rsid w:val="0052674C"/>
    <w:rsid w:val="00530CC1"/>
    <w:rsid w:val="0056780D"/>
    <w:rsid w:val="0058555B"/>
    <w:rsid w:val="005A034C"/>
    <w:rsid w:val="005B4729"/>
    <w:rsid w:val="005B698B"/>
    <w:rsid w:val="005C6BB9"/>
    <w:rsid w:val="005C7CD2"/>
    <w:rsid w:val="005D62C0"/>
    <w:rsid w:val="005F088A"/>
    <w:rsid w:val="00614D8D"/>
    <w:rsid w:val="00617638"/>
    <w:rsid w:val="00627E8B"/>
    <w:rsid w:val="006339F3"/>
    <w:rsid w:val="00642F2B"/>
    <w:rsid w:val="00643889"/>
    <w:rsid w:val="00651B5C"/>
    <w:rsid w:val="00661FD8"/>
    <w:rsid w:val="00672BEB"/>
    <w:rsid w:val="00672D1E"/>
    <w:rsid w:val="006731E5"/>
    <w:rsid w:val="00683BE9"/>
    <w:rsid w:val="00690D06"/>
    <w:rsid w:val="0069405F"/>
    <w:rsid w:val="006B4163"/>
    <w:rsid w:val="006D5EEC"/>
    <w:rsid w:val="0071027C"/>
    <w:rsid w:val="0071463A"/>
    <w:rsid w:val="00725C80"/>
    <w:rsid w:val="007428E2"/>
    <w:rsid w:val="00767BFA"/>
    <w:rsid w:val="00781D6E"/>
    <w:rsid w:val="007A0251"/>
    <w:rsid w:val="007A1B91"/>
    <w:rsid w:val="007F10C6"/>
    <w:rsid w:val="008012D4"/>
    <w:rsid w:val="0080519C"/>
    <w:rsid w:val="00814B95"/>
    <w:rsid w:val="008223D0"/>
    <w:rsid w:val="00842C9C"/>
    <w:rsid w:val="0084695E"/>
    <w:rsid w:val="00873C47"/>
    <w:rsid w:val="00876861"/>
    <w:rsid w:val="00890851"/>
    <w:rsid w:val="00890EBF"/>
    <w:rsid w:val="008A2EA8"/>
    <w:rsid w:val="008B0473"/>
    <w:rsid w:val="008B3D7C"/>
    <w:rsid w:val="008B5CE0"/>
    <w:rsid w:val="008C6E9E"/>
    <w:rsid w:val="008E6C90"/>
    <w:rsid w:val="00910162"/>
    <w:rsid w:val="00917FDC"/>
    <w:rsid w:val="009249B2"/>
    <w:rsid w:val="00925D75"/>
    <w:rsid w:val="00934C1C"/>
    <w:rsid w:val="0093580B"/>
    <w:rsid w:val="00946286"/>
    <w:rsid w:val="00960591"/>
    <w:rsid w:val="009637DC"/>
    <w:rsid w:val="00970A1D"/>
    <w:rsid w:val="009A5BD8"/>
    <w:rsid w:val="009C1BAA"/>
    <w:rsid w:val="009C57E4"/>
    <w:rsid w:val="009D3D92"/>
    <w:rsid w:val="009D71E7"/>
    <w:rsid w:val="009E30AA"/>
    <w:rsid w:val="009E5CBA"/>
    <w:rsid w:val="00A04EF6"/>
    <w:rsid w:val="00A078E3"/>
    <w:rsid w:val="00A43470"/>
    <w:rsid w:val="00A553F3"/>
    <w:rsid w:val="00A61EEC"/>
    <w:rsid w:val="00A81644"/>
    <w:rsid w:val="00A846D3"/>
    <w:rsid w:val="00A85ED4"/>
    <w:rsid w:val="00AA2E06"/>
    <w:rsid w:val="00AB5D06"/>
    <w:rsid w:val="00AD1944"/>
    <w:rsid w:val="00B16474"/>
    <w:rsid w:val="00B22776"/>
    <w:rsid w:val="00B334DB"/>
    <w:rsid w:val="00B3683A"/>
    <w:rsid w:val="00B41124"/>
    <w:rsid w:val="00B4427E"/>
    <w:rsid w:val="00B45956"/>
    <w:rsid w:val="00B8073F"/>
    <w:rsid w:val="00B84EED"/>
    <w:rsid w:val="00B9643D"/>
    <w:rsid w:val="00BB30B4"/>
    <w:rsid w:val="00BC25D4"/>
    <w:rsid w:val="00BC46CA"/>
    <w:rsid w:val="00BD2E9D"/>
    <w:rsid w:val="00BE5366"/>
    <w:rsid w:val="00BF303A"/>
    <w:rsid w:val="00BF6D08"/>
    <w:rsid w:val="00C0527A"/>
    <w:rsid w:val="00C110AC"/>
    <w:rsid w:val="00C16000"/>
    <w:rsid w:val="00C21E4B"/>
    <w:rsid w:val="00C33326"/>
    <w:rsid w:val="00C66BB8"/>
    <w:rsid w:val="00C76B9C"/>
    <w:rsid w:val="00C83401"/>
    <w:rsid w:val="00C86E1E"/>
    <w:rsid w:val="00C87765"/>
    <w:rsid w:val="00C87D41"/>
    <w:rsid w:val="00CB5143"/>
    <w:rsid w:val="00CC206A"/>
    <w:rsid w:val="00CC40D6"/>
    <w:rsid w:val="00CE28DC"/>
    <w:rsid w:val="00CE6804"/>
    <w:rsid w:val="00CF201D"/>
    <w:rsid w:val="00CF2786"/>
    <w:rsid w:val="00CF57E2"/>
    <w:rsid w:val="00D076A9"/>
    <w:rsid w:val="00D17B68"/>
    <w:rsid w:val="00D26BD5"/>
    <w:rsid w:val="00D31BA7"/>
    <w:rsid w:val="00D66C74"/>
    <w:rsid w:val="00D86460"/>
    <w:rsid w:val="00D8697F"/>
    <w:rsid w:val="00DC0941"/>
    <w:rsid w:val="00E11FED"/>
    <w:rsid w:val="00E36569"/>
    <w:rsid w:val="00E3745A"/>
    <w:rsid w:val="00E37A4D"/>
    <w:rsid w:val="00E4669B"/>
    <w:rsid w:val="00E66BA4"/>
    <w:rsid w:val="00E7085B"/>
    <w:rsid w:val="00E74B35"/>
    <w:rsid w:val="00EC1151"/>
    <w:rsid w:val="00ED3969"/>
    <w:rsid w:val="00EE658D"/>
    <w:rsid w:val="00F222AC"/>
    <w:rsid w:val="00F3327F"/>
    <w:rsid w:val="00F436C6"/>
    <w:rsid w:val="00F500AE"/>
    <w:rsid w:val="00F6029F"/>
    <w:rsid w:val="00F65024"/>
    <w:rsid w:val="00F76E7F"/>
    <w:rsid w:val="00F84404"/>
    <w:rsid w:val="00F93765"/>
    <w:rsid w:val="00FA1729"/>
    <w:rsid w:val="00FC405C"/>
    <w:rsid w:val="00FC58FC"/>
    <w:rsid w:val="00FE29A0"/>
    <w:rsid w:val="00FF34FC"/>
    <w:rsid w:val="00FF7131"/>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1E68"/>
  <w15:chartTrackingRefBased/>
  <w15:docId w15:val="{E4D17353-1F98-45AB-B3DA-DE5373BE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F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1FD8"/>
    <w:pPr>
      <w:keepNext/>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FD8"/>
    <w:rPr>
      <w:rFonts w:ascii="Times New Roman" w:eastAsia="Times New Roman" w:hAnsi="Times New Roman" w:cs="Times New Roman"/>
      <w:b/>
      <w:bCs/>
      <w:szCs w:val="20"/>
    </w:rPr>
  </w:style>
  <w:style w:type="character" w:styleId="CommentReference">
    <w:name w:val="annotation reference"/>
    <w:basedOn w:val="DefaultParagraphFont"/>
    <w:uiPriority w:val="99"/>
    <w:semiHidden/>
    <w:unhideWhenUsed/>
    <w:rsid w:val="00151AF2"/>
    <w:rPr>
      <w:sz w:val="16"/>
      <w:szCs w:val="16"/>
    </w:rPr>
  </w:style>
  <w:style w:type="paragraph" w:styleId="CommentText">
    <w:name w:val="annotation text"/>
    <w:basedOn w:val="Normal"/>
    <w:link w:val="CommentTextChar"/>
    <w:uiPriority w:val="99"/>
    <w:semiHidden/>
    <w:unhideWhenUsed/>
    <w:rsid w:val="00151AF2"/>
  </w:style>
  <w:style w:type="character" w:customStyle="1" w:styleId="CommentTextChar">
    <w:name w:val="Comment Text Char"/>
    <w:basedOn w:val="DefaultParagraphFont"/>
    <w:link w:val="CommentText"/>
    <w:uiPriority w:val="99"/>
    <w:semiHidden/>
    <w:rsid w:val="00151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AF2"/>
    <w:rPr>
      <w:b/>
      <w:bCs/>
    </w:rPr>
  </w:style>
  <w:style w:type="character" w:customStyle="1" w:styleId="CommentSubjectChar">
    <w:name w:val="Comment Subject Char"/>
    <w:basedOn w:val="CommentTextChar"/>
    <w:link w:val="CommentSubject"/>
    <w:uiPriority w:val="99"/>
    <w:semiHidden/>
    <w:rsid w:val="00151A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1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AF2"/>
    <w:rPr>
      <w:rFonts w:ascii="Segoe UI" w:eastAsia="Times New Roman" w:hAnsi="Segoe UI" w:cs="Segoe UI"/>
      <w:sz w:val="18"/>
      <w:szCs w:val="18"/>
    </w:rPr>
  </w:style>
  <w:style w:type="paragraph" w:styleId="ListParagraph">
    <w:name w:val="List Paragraph"/>
    <w:basedOn w:val="Normal"/>
    <w:uiPriority w:val="34"/>
    <w:qFormat/>
    <w:rsid w:val="00767BF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Lanzl, Caylyn A CIV USN FLTREADCEN SW SAN CA (USA)</dc:creator>
  <cp:keywords/>
  <dc:description/>
  <cp:lastModifiedBy>Palmer, Jessica N CIV USN (USA)</cp:lastModifiedBy>
  <cp:revision>2</cp:revision>
  <dcterms:created xsi:type="dcterms:W3CDTF">2022-11-07T23:31:00Z</dcterms:created>
  <dcterms:modified xsi:type="dcterms:W3CDTF">2022-11-07T23:31:00Z</dcterms:modified>
</cp:coreProperties>
</file>