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43823" w14:textId="0963A8F0" w:rsidR="00C86B94" w:rsidRPr="00025FA9" w:rsidRDefault="00BE464E" w:rsidP="006539F4">
      <w:pPr>
        <w:jc w:val="right"/>
        <w:rPr>
          <w:rFonts w:asciiTheme="minorHAnsi" w:hAnsiTheme="minorHAnsi"/>
        </w:rPr>
      </w:pPr>
      <w:r w:rsidRPr="00025FA9">
        <w:rPr>
          <w:rFonts w:asciiTheme="minorHAnsi" w:hAnsiTheme="minorHAnsi"/>
          <w:sz w:val="24"/>
        </w:rPr>
        <w:t xml:space="preserve">                                </w:t>
      </w:r>
      <w:r w:rsidR="006539F4" w:rsidRPr="00025FA9">
        <w:rPr>
          <w:rFonts w:asciiTheme="minorHAnsi" w:hAnsiTheme="minorHAnsi"/>
        </w:rPr>
        <w:tab/>
      </w:r>
      <w:r w:rsidR="006539F4" w:rsidRPr="00025FA9">
        <w:rPr>
          <w:rFonts w:asciiTheme="minorHAnsi" w:hAnsiTheme="minorHAnsi"/>
        </w:rPr>
        <w:tab/>
      </w:r>
      <w:r w:rsidR="006539F4" w:rsidRPr="00025FA9">
        <w:rPr>
          <w:rFonts w:asciiTheme="minorHAnsi" w:hAnsiTheme="minorHAnsi"/>
        </w:rPr>
        <w:tab/>
      </w:r>
      <w:r w:rsidR="00D4007E">
        <w:rPr>
          <w:rFonts w:asciiTheme="minorHAnsi" w:hAnsiTheme="minorHAnsi"/>
        </w:rPr>
        <w:t>July 8</w:t>
      </w:r>
      <w:r w:rsidR="00740C3C" w:rsidRPr="00025FA9">
        <w:rPr>
          <w:rFonts w:asciiTheme="minorHAnsi" w:hAnsiTheme="minorHAnsi"/>
        </w:rPr>
        <w:t xml:space="preserve">, </w:t>
      </w:r>
      <w:r w:rsidR="006539F4" w:rsidRPr="00025FA9">
        <w:rPr>
          <w:rFonts w:asciiTheme="minorHAnsi" w:hAnsiTheme="minorHAnsi"/>
        </w:rPr>
        <w:t>201</w:t>
      </w:r>
      <w:r w:rsidR="00627584" w:rsidRPr="00025FA9">
        <w:rPr>
          <w:rFonts w:asciiTheme="minorHAnsi" w:hAnsiTheme="minorHAnsi"/>
        </w:rPr>
        <w:t>5</w:t>
      </w:r>
    </w:p>
    <w:p w14:paraId="516A4D1D" w14:textId="77777777" w:rsidR="006539F4" w:rsidRPr="00025FA9" w:rsidRDefault="006539F4" w:rsidP="00223965">
      <w:pPr>
        <w:rPr>
          <w:rFonts w:asciiTheme="minorHAnsi" w:hAnsiTheme="minorHAnsi"/>
        </w:rPr>
      </w:pPr>
    </w:p>
    <w:p w14:paraId="761D266D" w14:textId="77777777" w:rsidR="00BD1419" w:rsidRPr="00025FA9" w:rsidRDefault="00BD1419" w:rsidP="00223965">
      <w:pPr>
        <w:rPr>
          <w:rFonts w:asciiTheme="minorHAnsi" w:hAnsiTheme="minorHAnsi"/>
        </w:rPr>
      </w:pPr>
      <w:r w:rsidRPr="00025FA9">
        <w:rPr>
          <w:rFonts w:asciiTheme="minorHAnsi" w:hAnsiTheme="minorHAnsi"/>
        </w:rPr>
        <w:t>Richard Corey</w:t>
      </w:r>
    </w:p>
    <w:p w14:paraId="57581C15" w14:textId="77777777" w:rsidR="00223965" w:rsidRPr="00025FA9" w:rsidRDefault="00BD1419" w:rsidP="00223965">
      <w:pPr>
        <w:rPr>
          <w:rFonts w:asciiTheme="minorHAnsi" w:hAnsiTheme="minorHAnsi"/>
        </w:rPr>
      </w:pPr>
      <w:r w:rsidRPr="00025FA9">
        <w:rPr>
          <w:rFonts w:asciiTheme="minorHAnsi" w:hAnsiTheme="minorHAnsi"/>
        </w:rPr>
        <w:t xml:space="preserve">Executive Officer </w:t>
      </w:r>
    </w:p>
    <w:p w14:paraId="6A3A2E76" w14:textId="77777777" w:rsidR="00BD1419" w:rsidRPr="00025FA9" w:rsidRDefault="00BD1419" w:rsidP="00BD1419">
      <w:pPr>
        <w:rPr>
          <w:rFonts w:asciiTheme="minorHAnsi" w:hAnsiTheme="minorHAnsi"/>
        </w:rPr>
      </w:pPr>
      <w:r w:rsidRPr="00025FA9">
        <w:rPr>
          <w:rFonts w:asciiTheme="minorHAnsi" w:hAnsiTheme="minorHAnsi"/>
        </w:rPr>
        <w:t>California Air Resources Board</w:t>
      </w:r>
    </w:p>
    <w:p w14:paraId="55156717" w14:textId="77777777" w:rsidR="00223965" w:rsidRPr="00025FA9" w:rsidRDefault="00C86B94" w:rsidP="00223965">
      <w:pPr>
        <w:rPr>
          <w:rFonts w:asciiTheme="minorHAnsi" w:hAnsiTheme="minorHAnsi"/>
        </w:rPr>
      </w:pPr>
      <w:r w:rsidRPr="00025FA9">
        <w:rPr>
          <w:rFonts w:asciiTheme="minorHAnsi" w:hAnsiTheme="minorHAnsi"/>
        </w:rPr>
        <w:t>1001 “I” Street</w:t>
      </w:r>
    </w:p>
    <w:p w14:paraId="3120D1B8" w14:textId="77777777" w:rsidR="00C86B94" w:rsidRPr="00025FA9" w:rsidRDefault="00C86B94" w:rsidP="00223965">
      <w:pPr>
        <w:rPr>
          <w:rFonts w:asciiTheme="minorHAnsi" w:hAnsiTheme="minorHAnsi"/>
        </w:rPr>
      </w:pPr>
      <w:r w:rsidRPr="00025FA9">
        <w:rPr>
          <w:rFonts w:asciiTheme="minorHAnsi" w:hAnsiTheme="minorHAnsi"/>
        </w:rPr>
        <w:t>Sacramento, CA 95814</w:t>
      </w:r>
    </w:p>
    <w:p w14:paraId="531A5D0E" w14:textId="77777777" w:rsidR="00C86B94" w:rsidRPr="00025FA9" w:rsidRDefault="00C86B94" w:rsidP="00223965">
      <w:pPr>
        <w:rPr>
          <w:rFonts w:asciiTheme="minorHAnsi" w:hAnsiTheme="minorHAnsi"/>
        </w:rPr>
      </w:pPr>
    </w:p>
    <w:p w14:paraId="3570BA6D" w14:textId="1E344673" w:rsidR="00223965" w:rsidRPr="00025FA9" w:rsidRDefault="00223965" w:rsidP="00223965">
      <w:pPr>
        <w:ind w:firstLine="720"/>
        <w:rPr>
          <w:rFonts w:asciiTheme="minorHAnsi" w:hAnsiTheme="minorHAnsi"/>
        </w:rPr>
      </w:pPr>
      <w:r w:rsidRPr="00025FA9">
        <w:rPr>
          <w:rFonts w:asciiTheme="minorHAnsi" w:hAnsiTheme="minorHAnsi"/>
        </w:rPr>
        <w:t xml:space="preserve">Re: </w:t>
      </w:r>
      <w:r w:rsidR="00F704CE" w:rsidRPr="005027A5">
        <w:rPr>
          <w:rFonts w:asciiTheme="minorHAnsi" w:hAnsiTheme="minorHAnsi"/>
        </w:rPr>
        <w:t xml:space="preserve">Comments on </w:t>
      </w:r>
      <w:r w:rsidR="005027A5" w:rsidRPr="00025FA9">
        <w:rPr>
          <w:rFonts w:asciiTheme="minorHAnsi" w:hAnsiTheme="minorHAnsi"/>
        </w:rPr>
        <w:t xml:space="preserve">ARB’s “Attachment A: </w:t>
      </w:r>
      <w:r w:rsidR="005027A5" w:rsidRPr="00983232">
        <w:rPr>
          <w:rFonts w:asciiTheme="minorHAnsi" w:hAnsiTheme="minorHAnsi"/>
          <w:u w:val="single"/>
        </w:rPr>
        <w:t>Second</w:t>
      </w:r>
      <w:r w:rsidR="005027A5" w:rsidRPr="00025FA9">
        <w:rPr>
          <w:rFonts w:asciiTheme="minorHAnsi" w:hAnsiTheme="minorHAnsi"/>
        </w:rPr>
        <w:t xml:space="preserve"> 15-Day </w:t>
      </w:r>
      <w:r w:rsidR="005027A5">
        <w:rPr>
          <w:rFonts w:asciiTheme="minorHAnsi" w:hAnsiTheme="minorHAnsi"/>
        </w:rPr>
        <w:t xml:space="preserve">Modified </w:t>
      </w:r>
      <w:r w:rsidR="005027A5" w:rsidRPr="00025FA9">
        <w:rPr>
          <w:rFonts w:asciiTheme="minorHAnsi" w:hAnsiTheme="minorHAnsi"/>
        </w:rPr>
        <w:t>Regulation Order</w:t>
      </w:r>
      <w:r w:rsidR="005027A5">
        <w:rPr>
          <w:rFonts w:asciiTheme="minorHAnsi" w:hAnsiTheme="minorHAnsi"/>
        </w:rPr>
        <w:t>”</w:t>
      </w:r>
      <w:r w:rsidR="00631825">
        <w:rPr>
          <w:rFonts w:asciiTheme="minorHAnsi" w:hAnsiTheme="minorHAnsi"/>
        </w:rPr>
        <w:t xml:space="preserve"> (L</w:t>
      </w:r>
      <w:r w:rsidR="005027A5">
        <w:rPr>
          <w:rFonts w:asciiTheme="minorHAnsi" w:hAnsiTheme="minorHAnsi"/>
        </w:rPr>
        <w:t>CFS</w:t>
      </w:r>
      <w:r w:rsidR="00631825">
        <w:rPr>
          <w:rFonts w:asciiTheme="minorHAnsi" w:hAnsiTheme="minorHAnsi"/>
        </w:rPr>
        <w:t>)</w:t>
      </w:r>
    </w:p>
    <w:p w14:paraId="40ACC75B" w14:textId="77777777" w:rsidR="00223965" w:rsidRPr="00025FA9" w:rsidRDefault="00223965" w:rsidP="00223965">
      <w:pPr>
        <w:rPr>
          <w:rFonts w:asciiTheme="minorHAnsi" w:hAnsiTheme="minorHAnsi"/>
        </w:rPr>
      </w:pPr>
    </w:p>
    <w:p w14:paraId="3F68CD25" w14:textId="77777777" w:rsidR="00223965" w:rsidRPr="00025FA9" w:rsidRDefault="00223965" w:rsidP="00223965">
      <w:pPr>
        <w:rPr>
          <w:rFonts w:asciiTheme="minorHAnsi" w:hAnsiTheme="minorHAnsi"/>
        </w:rPr>
      </w:pPr>
      <w:r w:rsidRPr="00025FA9">
        <w:rPr>
          <w:rFonts w:asciiTheme="minorHAnsi" w:hAnsiTheme="minorHAnsi"/>
        </w:rPr>
        <w:t>Dear</w:t>
      </w:r>
      <w:r w:rsidR="00BD1419" w:rsidRPr="00025FA9">
        <w:rPr>
          <w:rFonts w:asciiTheme="minorHAnsi" w:hAnsiTheme="minorHAnsi"/>
        </w:rPr>
        <w:t xml:space="preserve"> </w:t>
      </w:r>
      <w:r w:rsidR="0099429C" w:rsidRPr="00025FA9">
        <w:rPr>
          <w:rFonts w:asciiTheme="minorHAnsi" w:hAnsiTheme="minorHAnsi"/>
        </w:rPr>
        <w:t xml:space="preserve">Executive Officer </w:t>
      </w:r>
      <w:r w:rsidR="00BD1419" w:rsidRPr="00025FA9">
        <w:rPr>
          <w:rFonts w:asciiTheme="minorHAnsi" w:hAnsiTheme="minorHAnsi"/>
        </w:rPr>
        <w:t>Corey</w:t>
      </w:r>
      <w:r w:rsidRPr="00025FA9">
        <w:rPr>
          <w:rFonts w:asciiTheme="minorHAnsi" w:hAnsiTheme="minorHAnsi"/>
        </w:rPr>
        <w:t>:</w:t>
      </w:r>
    </w:p>
    <w:p w14:paraId="3292CB2D" w14:textId="77777777" w:rsidR="00223965" w:rsidRPr="00025FA9" w:rsidRDefault="00223965" w:rsidP="00223965">
      <w:pPr>
        <w:rPr>
          <w:rFonts w:asciiTheme="minorHAnsi" w:hAnsiTheme="minorHAnsi"/>
        </w:rPr>
      </w:pPr>
    </w:p>
    <w:p w14:paraId="448942CE" w14:textId="3027E234" w:rsidR="00740C3C" w:rsidRPr="00025FA9" w:rsidRDefault="00C2319E" w:rsidP="00740C3C">
      <w:pPr>
        <w:spacing w:after="120"/>
        <w:jc w:val="both"/>
        <w:rPr>
          <w:rFonts w:asciiTheme="minorHAnsi" w:hAnsiTheme="minorHAnsi"/>
        </w:rPr>
      </w:pPr>
      <w:r w:rsidRPr="00025FA9">
        <w:rPr>
          <w:rFonts w:asciiTheme="minorHAnsi" w:hAnsiTheme="minorHAnsi"/>
        </w:rPr>
        <w:t>The California Natural Gas Vehicle Coalition (CNGVC)</w:t>
      </w:r>
      <w:r w:rsidR="004B60B2" w:rsidRPr="00025FA9">
        <w:rPr>
          <w:rFonts w:asciiTheme="minorHAnsi" w:hAnsiTheme="minorHAnsi"/>
        </w:rPr>
        <w:t xml:space="preserve">, </w:t>
      </w:r>
      <w:r w:rsidRPr="00025FA9">
        <w:rPr>
          <w:rFonts w:asciiTheme="minorHAnsi" w:hAnsiTheme="minorHAnsi"/>
        </w:rPr>
        <w:t>NGVAmerica (NGVA)</w:t>
      </w:r>
      <w:r w:rsidR="004B60B2" w:rsidRPr="00025FA9">
        <w:rPr>
          <w:rFonts w:asciiTheme="minorHAnsi" w:hAnsiTheme="minorHAnsi"/>
        </w:rPr>
        <w:t>, and the Coalition for Renewable Natural Gas (RNG</w:t>
      </w:r>
      <w:r w:rsidR="00E20352" w:rsidRPr="00025FA9">
        <w:rPr>
          <w:rFonts w:asciiTheme="minorHAnsi" w:hAnsiTheme="minorHAnsi"/>
        </w:rPr>
        <w:t>C</w:t>
      </w:r>
      <w:r w:rsidR="004B60B2" w:rsidRPr="00025FA9">
        <w:rPr>
          <w:rFonts w:asciiTheme="minorHAnsi" w:hAnsiTheme="minorHAnsi"/>
        </w:rPr>
        <w:t>)</w:t>
      </w:r>
      <w:r w:rsidR="00437B0D" w:rsidRPr="00025FA9">
        <w:rPr>
          <w:rStyle w:val="FootnoteReference"/>
          <w:rFonts w:asciiTheme="minorHAnsi" w:hAnsiTheme="minorHAnsi"/>
        </w:rPr>
        <w:footnoteReference w:id="1"/>
      </w:r>
      <w:r w:rsidRPr="00025FA9">
        <w:rPr>
          <w:rFonts w:asciiTheme="minorHAnsi" w:hAnsiTheme="minorHAnsi"/>
        </w:rPr>
        <w:t xml:space="preserve"> </w:t>
      </w:r>
      <w:r w:rsidR="0099429C" w:rsidRPr="00025FA9">
        <w:rPr>
          <w:rFonts w:asciiTheme="minorHAnsi" w:hAnsiTheme="minorHAnsi"/>
        </w:rPr>
        <w:t>are</w:t>
      </w:r>
      <w:r w:rsidR="00EB68D4" w:rsidRPr="00025FA9">
        <w:rPr>
          <w:rFonts w:asciiTheme="minorHAnsi" w:hAnsiTheme="minorHAnsi"/>
        </w:rPr>
        <w:t xml:space="preserve"> pleased to provide these </w:t>
      </w:r>
      <w:r w:rsidR="00794CCC" w:rsidRPr="00025FA9">
        <w:rPr>
          <w:rFonts w:asciiTheme="minorHAnsi" w:hAnsiTheme="minorHAnsi"/>
        </w:rPr>
        <w:t xml:space="preserve">joint </w:t>
      </w:r>
      <w:r w:rsidRPr="00025FA9">
        <w:rPr>
          <w:rFonts w:asciiTheme="minorHAnsi" w:hAnsiTheme="minorHAnsi"/>
        </w:rPr>
        <w:t>comment</w:t>
      </w:r>
      <w:r w:rsidR="00083584" w:rsidRPr="00025FA9">
        <w:rPr>
          <w:rFonts w:asciiTheme="minorHAnsi" w:hAnsiTheme="minorHAnsi"/>
        </w:rPr>
        <w:t xml:space="preserve">s </w:t>
      </w:r>
      <w:r w:rsidR="00EB68D4" w:rsidRPr="00025FA9">
        <w:rPr>
          <w:rFonts w:asciiTheme="minorHAnsi" w:hAnsiTheme="minorHAnsi"/>
        </w:rPr>
        <w:t xml:space="preserve">regarding </w:t>
      </w:r>
      <w:r w:rsidR="00FD6559" w:rsidRPr="00025FA9">
        <w:rPr>
          <w:rFonts w:asciiTheme="minorHAnsi" w:hAnsiTheme="minorHAnsi"/>
        </w:rPr>
        <w:t>ARB</w:t>
      </w:r>
      <w:r w:rsidR="00EB68D4" w:rsidRPr="00025FA9">
        <w:rPr>
          <w:rFonts w:asciiTheme="minorHAnsi" w:hAnsiTheme="minorHAnsi"/>
        </w:rPr>
        <w:t xml:space="preserve">’s </w:t>
      </w:r>
      <w:r w:rsidRPr="00025FA9">
        <w:rPr>
          <w:rFonts w:asciiTheme="minorHAnsi" w:hAnsiTheme="minorHAnsi"/>
        </w:rPr>
        <w:t xml:space="preserve">proposed </w:t>
      </w:r>
      <w:r w:rsidR="00BA69DF" w:rsidRPr="00025FA9">
        <w:rPr>
          <w:rFonts w:asciiTheme="minorHAnsi" w:hAnsiTheme="minorHAnsi"/>
        </w:rPr>
        <w:t>re</w:t>
      </w:r>
      <w:r w:rsidR="00A67228" w:rsidRPr="00025FA9">
        <w:rPr>
          <w:rFonts w:asciiTheme="minorHAnsi" w:hAnsiTheme="minorHAnsi"/>
        </w:rPr>
        <w:t xml:space="preserve">-adoption </w:t>
      </w:r>
      <w:r w:rsidR="00BA69DF" w:rsidRPr="00025FA9">
        <w:rPr>
          <w:rFonts w:asciiTheme="minorHAnsi" w:hAnsiTheme="minorHAnsi"/>
        </w:rPr>
        <w:t>of the Low Carbon Fuel Standard (LCFS) regulation</w:t>
      </w:r>
      <w:r w:rsidR="00740C3C" w:rsidRPr="00025FA9">
        <w:rPr>
          <w:rFonts w:asciiTheme="minorHAnsi" w:hAnsiTheme="minorHAnsi"/>
        </w:rPr>
        <w:t xml:space="preserve">.  Specifically, this letter provides our detailed joint comments on ARB’s </w:t>
      </w:r>
      <w:r w:rsidR="00437B0D" w:rsidRPr="00025FA9">
        <w:rPr>
          <w:rFonts w:asciiTheme="minorHAnsi" w:hAnsiTheme="minorHAnsi"/>
        </w:rPr>
        <w:t xml:space="preserve">“Attachment A: </w:t>
      </w:r>
      <w:r w:rsidR="00983232" w:rsidRPr="00983232">
        <w:rPr>
          <w:rFonts w:asciiTheme="minorHAnsi" w:hAnsiTheme="minorHAnsi"/>
          <w:u w:val="single"/>
        </w:rPr>
        <w:t>Second</w:t>
      </w:r>
      <w:r w:rsidR="0087100F" w:rsidRPr="00025FA9">
        <w:rPr>
          <w:rFonts w:asciiTheme="minorHAnsi" w:hAnsiTheme="minorHAnsi"/>
        </w:rPr>
        <w:t xml:space="preserve"> 15-Day </w:t>
      </w:r>
      <w:r w:rsidR="00D4007E">
        <w:rPr>
          <w:rFonts w:asciiTheme="minorHAnsi" w:hAnsiTheme="minorHAnsi"/>
        </w:rPr>
        <w:t xml:space="preserve">Modified </w:t>
      </w:r>
      <w:r w:rsidR="0087100F" w:rsidRPr="00025FA9">
        <w:rPr>
          <w:rFonts w:asciiTheme="minorHAnsi" w:hAnsiTheme="minorHAnsi"/>
        </w:rPr>
        <w:t>Regulation Order</w:t>
      </w:r>
      <w:r w:rsidR="00437B0D" w:rsidRPr="00025FA9">
        <w:rPr>
          <w:rFonts w:asciiTheme="minorHAnsi" w:hAnsiTheme="minorHAnsi"/>
        </w:rPr>
        <w:t>,”</w:t>
      </w:r>
      <w:r w:rsidR="0087100F" w:rsidRPr="00025FA9">
        <w:rPr>
          <w:rFonts w:asciiTheme="minorHAnsi" w:hAnsiTheme="minorHAnsi"/>
        </w:rPr>
        <w:t xml:space="preserve"> </w:t>
      </w:r>
      <w:r w:rsidR="00437B0D" w:rsidRPr="00025FA9">
        <w:rPr>
          <w:rFonts w:asciiTheme="minorHAnsi" w:hAnsiTheme="minorHAnsi"/>
        </w:rPr>
        <w:t xml:space="preserve">which was </w:t>
      </w:r>
      <w:r w:rsidR="0087100F" w:rsidRPr="00025FA9">
        <w:rPr>
          <w:rFonts w:asciiTheme="minorHAnsi" w:hAnsiTheme="minorHAnsi"/>
        </w:rPr>
        <w:t xml:space="preserve">released </w:t>
      </w:r>
      <w:r w:rsidR="00437B0D" w:rsidRPr="00025FA9">
        <w:rPr>
          <w:rFonts w:asciiTheme="minorHAnsi" w:hAnsiTheme="minorHAnsi"/>
        </w:rPr>
        <w:t xml:space="preserve">for public comment </w:t>
      </w:r>
      <w:r w:rsidR="0087100F" w:rsidRPr="00025FA9">
        <w:rPr>
          <w:rFonts w:asciiTheme="minorHAnsi" w:hAnsiTheme="minorHAnsi"/>
        </w:rPr>
        <w:t xml:space="preserve">on June </w:t>
      </w:r>
      <w:r w:rsidR="00983232">
        <w:rPr>
          <w:rFonts w:asciiTheme="minorHAnsi" w:hAnsiTheme="minorHAnsi"/>
        </w:rPr>
        <w:t>23</w:t>
      </w:r>
      <w:r w:rsidR="0087100F" w:rsidRPr="00025FA9">
        <w:rPr>
          <w:rFonts w:asciiTheme="minorHAnsi" w:hAnsiTheme="minorHAnsi"/>
        </w:rPr>
        <w:t>, 2015</w:t>
      </w:r>
      <w:r w:rsidR="00740C3C" w:rsidRPr="00025FA9">
        <w:rPr>
          <w:rFonts w:asciiTheme="minorHAnsi" w:hAnsiTheme="minorHAnsi"/>
        </w:rPr>
        <w:t xml:space="preserve">.   </w:t>
      </w:r>
      <w:r w:rsidR="00740C3C" w:rsidRPr="00025FA9">
        <w:rPr>
          <w:rFonts w:asciiTheme="minorHAnsi" w:eastAsia="Calibri" w:hAnsiTheme="minorHAnsi"/>
        </w:rPr>
        <w:t xml:space="preserve">    </w:t>
      </w:r>
      <w:bookmarkStart w:id="0" w:name="_GoBack"/>
      <w:bookmarkEnd w:id="0"/>
    </w:p>
    <w:p w14:paraId="1CC176E8" w14:textId="0C0646AC" w:rsidR="00983232" w:rsidRDefault="004D1DE0" w:rsidP="00BA69DF">
      <w:pPr>
        <w:jc w:val="both"/>
        <w:rPr>
          <w:rFonts w:asciiTheme="minorHAnsi" w:hAnsiTheme="minorHAnsi"/>
        </w:rPr>
      </w:pPr>
      <w:r w:rsidRPr="00025FA9">
        <w:rPr>
          <w:rFonts w:asciiTheme="minorHAnsi" w:hAnsiTheme="minorHAnsi"/>
        </w:rPr>
        <w:t xml:space="preserve">Below, we present our joint, detailed </w:t>
      </w:r>
      <w:r w:rsidR="00437B0D" w:rsidRPr="00025FA9">
        <w:rPr>
          <w:rFonts w:asciiTheme="minorHAnsi" w:hAnsiTheme="minorHAnsi"/>
        </w:rPr>
        <w:t>comment</w:t>
      </w:r>
      <w:r w:rsidRPr="00025FA9">
        <w:rPr>
          <w:rFonts w:asciiTheme="minorHAnsi" w:hAnsiTheme="minorHAnsi"/>
        </w:rPr>
        <w:t>s</w:t>
      </w:r>
      <w:r w:rsidR="00437B0D" w:rsidRPr="00025FA9">
        <w:rPr>
          <w:rFonts w:asciiTheme="minorHAnsi" w:hAnsiTheme="minorHAnsi"/>
        </w:rPr>
        <w:t xml:space="preserve"> and recommendations</w:t>
      </w:r>
      <w:r w:rsidRPr="00025FA9">
        <w:rPr>
          <w:rFonts w:asciiTheme="minorHAnsi" w:hAnsiTheme="minorHAnsi"/>
        </w:rPr>
        <w:t xml:space="preserve">.  </w:t>
      </w:r>
      <w:r w:rsidR="00983232">
        <w:rPr>
          <w:rFonts w:asciiTheme="minorHAnsi" w:hAnsiTheme="minorHAnsi"/>
        </w:rPr>
        <w:t>Many of these comments reiterate issues that were raised in our June 19</w:t>
      </w:r>
      <w:r w:rsidR="00983232" w:rsidRPr="00983232">
        <w:rPr>
          <w:rFonts w:asciiTheme="minorHAnsi" w:hAnsiTheme="minorHAnsi"/>
          <w:vertAlign w:val="superscript"/>
        </w:rPr>
        <w:t>th</w:t>
      </w:r>
      <w:r w:rsidR="00983232">
        <w:rPr>
          <w:rFonts w:asciiTheme="minorHAnsi" w:hAnsiTheme="minorHAnsi"/>
        </w:rPr>
        <w:t xml:space="preserve"> letter regarding the previous 15-day comment period.  While ARB has addressed the critical issue of “provisional credits,” we remain concerned about many issues that were not addressed in the most recent </w:t>
      </w:r>
      <w:r w:rsidR="00D4007E">
        <w:rPr>
          <w:rFonts w:asciiTheme="minorHAnsi" w:hAnsiTheme="minorHAnsi"/>
        </w:rPr>
        <w:t>Modified Regulation O</w:t>
      </w:r>
      <w:r w:rsidR="00983232">
        <w:rPr>
          <w:rFonts w:asciiTheme="minorHAnsi" w:hAnsiTheme="minorHAnsi"/>
        </w:rPr>
        <w:t>rder.</w:t>
      </w:r>
    </w:p>
    <w:p w14:paraId="797780C0" w14:textId="77777777" w:rsidR="00983232" w:rsidRDefault="00983232" w:rsidP="00BA69DF">
      <w:pPr>
        <w:jc w:val="both"/>
        <w:rPr>
          <w:rFonts w:asciiTheme="minorHAnsi" w:hAnsiTheme="minorHAnsi"/>
        </w:rPr>
      </w:pPr>
    </w:p>
    <w:p w14:paraId="60D4C149" w14:textId="51C93CA2" w:rsidR="00CF1B22" w:rsidRPr="00025FA9" w:rsidRDefault="004D1DE0" w:rsidP="00BA69DF">
      <w:pPr>
        <w:jc w:val="both"/>
        <w:rPr>
          <w:rFonts w:asciiTheme="minorHAnsi" w:hAnsiTheme="minorHAnsi"/>
        </w:rPr>
      </w:pPr>
      <w:r w:rsidRPr="00025FA9">
        <w:rPr>
          <w:rFonts w:asciiTheme="minorHAnsi" w:hAnsiTheme="minorHAnsi"/>
        </w:rPr>
        <w:t>W</w:t>
      </w:r>
      <w:r w:rsidR="00437B0D" w:rsidRPr="00025FA9">
        <w:rPr>
          <w:rFonts w:asciiTheme="minorHAnsi" w:hAnsiTheme="minorHAnsi"/>
        </w:rPr>
        <w:t>e want to be clear that o</w:t>
      </w:r>
      <w:r w:rsidR="0087100F" w:rsidRPr="00025FA9">
        <w:rPr>
          <w:rFonts w:asciiTheme="minorHAnsi" w:hAnsiTheme="minorHAnsi"/>
        </w:rPr>
        <w:t>ur three organizations</w:t>
      </w:r>
      <w:r w:rsidR="00437B0D" w:rsidRPr="00025FA9">
        <w:rPr>
          <w:rFonts w:asciiTheme="minorHAnsi" w:hAnsiTheme="minorHAnsi"/>
        </w:rPr>
        <w:t xml:space="preserve"> continue to </w:t>
      </w:r>
      <w:r w:rsidR="00EB68D4" w:rsidRPr="00025FA9">
        <w:rPr>
          <w:rFonts w:asciiTheme="minorHAnsi" w:hAnsiTheme="minorHAnsi"/>
        </w:rPr>
        <w:t xml:space="preserve">support </w:t>
      </w:r>
      <w:r w:rsidR="00FD6559" w:rsidRPr="00025FA9">
        <w:rPr>
          <w:rFonts w:asciiTheme="minorHAnsi" w:hAnsiTheme="minorHAnsi"/>
        </w:rPr>
        <w:t>ARB</w:t>
      </w:r>
      <w:r w:rsidR="00EB68D4" w:rsidRPr="00025FA9">
        <w:rPr>
          <w:rFonts w:asciiTheme="minorHAnsi" w:hAnsiTheme="minorHAnsi"/>
        </w:rPr>
        <w:t xml:space="preserve">’s </w:t>
      </w:r>
      <w:r w:rsidR="0087100F" w:rsidRPr="00025FA9">
        <w:rPr>
          <w:rFonts w:asciiTheme="minorHAnsi" w:hAnsiTheme="minorHAnsi"/>
        </w:rPr>
        <w:t xml:space="preserve">proposed </w:t>
      </w:r>
      <w:r w:rsidR="00EB68D4" w:rsidRPr="00025FA9">
        <w:rPr>
          <w:rFonts w:asciiTheme="minorHAnsi" w:hAnsiTheme="minorHAnsi"/>
        </w:rPr>
        <w:t>re-a</w:t>
      </w:r>
      <w:r w:rsidR="0087100F" w:rsidRPr="00025FA9">
        <w:rPr>
          <w:rFonts w:asciiTheme="minorHAnsi" w:hAnsiTheme="minorHAnsi"/>
        </w:rPr>
        <w:t xml:space="preserve">doption </w:t>
      </w:r>
      <w:r w:rsidR="00EB68D4" w:rsidRPr="00025FA9">
        <w:rPr>
          <w:rFonts w:asciiTheme="minorHAnsi" w:hAnsiTheme="minorHAnsi"/>
        </w:rPr>
        <w:t>of the LCFS regulation</w:t>
      </w:r>
      <w:r w:rsidR="00CE44D2" w:rsidRPr="00025FA9">
        <w:rPr>
          <w:rFonts w:asciiTheme="minorHAnsi" w:hAnsiTheme="minorHAnsi"/>
        </w:rPr>
        <w:t>.</w:t>
      </w:r>
      <w:r w:rsidR="003602C7" w:rsidRPr="00025FA9">
        <w:rPr>
          <w:rFonts w:asciiTheme="minorHAnsi" w:hAnsiTheme="minorHAnsi"/>
        </w:rPr>
        <w:t xml:space="preserve"> </w:t>
      </w:r>
      <w:r w:rsidR="0087100F" w:rsidRPr="00025FA9">
        <w:rPr>
          <w:rFonts w:asciiTheme="minorHAnsi" w:hAnsiTheme="minorHAnsi"/>
        </w:rPr>
        <w:t xml:space="preserve">We greatly appreciate the time and effort put forth by ARB staff over the last several months to meet with our representatives and address our specific concerns.  ARB has made </w:t>
      </w:r>
      <w:r w:rsidR="00983232">
        <w:rPr>
          <w:rFonts w:asciiTheme="minorHAnsi" w:hAnsiTheme="minorHAnsi"/>
        </w:rPr>
        <w:t xml:space="preserve">several </w:t>
      </w:r>
      <w:r w:rsidR="0087100F" w:rsidRPr="00025FA9">
        <w:rPr>
          <w:rFonts w:asciiTheme="minorHAnsi" w:hAnsiTheme="minorHAnsi"/>
        </w:rPr>
        <w:t xml:space="preserve">changes that corrected erroneous information and updated obsolete inputs </w:t>
      </w:r>
      <w:r w:rsidRPr="00025FA9">
        <w:rPr>
          <w:rFonts w:asciiTheme="minorHAnsi" w:hAnsiTheme="minorHAnsi"/>
        </w:rPr>
        <w:t xml:space="preserve">in </w:t>
      </w:r>
      <w:r w:rsidR="0087100F" w:rsidRPr="00025FA9">
        <w:rPr>
          <w:rFonts w:asciiTheme="minorHAnsi" w:hAnsiTheme="minorHAnsi"/>
        </w:rPr>
        <w:t xml:space="preserve">early drafts of </w:t>
      </w:r>
      <w:r w:rsidRPr="00025FA9">
        <w:rPr>
          <w:rFonts w:asciiTheme="minorHAnsi" w:hAnsiTheme="minorHAnsi"/>
        </w:rPr>
        <w:t xml:space="preserve">the proposed </w:t>
      </w:r>
      <w:r w:rsidR="0087100F" w:rsidRPr="00025FA9">
        <w:rPr>
          <w:rFonts w:asciiTheme="minorHAnsi" w:hAnsiTheme="minorHAnsi"/>
        </w:rPr>
        <w:t xml:space="preserve">CA-GREET </w:t>
      </w:r>
      <w:r w:rsidRPr="00025FA9">
        <w:rPr>
          <w:rFonts w:asciiTheme="minorHAnsi" w:hAnsiTheme="minorHAnsi"/>
        </w:rPr>
        <w:t xml:space="preserve">model revision (version </w:t>
      </w:r>
      <w:r w:rsidR="0087100F" w:rsidRPr="00025FA9">
        <w:rPr>
          <w:rFonts w:asciiTheme="minorHAnsi" w:hAnsiTheme="minorHAnsi"/>
        </w:rPr>
        <w:t>2.0</w:t>
      </w:r>
      <w:r w:rsidRPr="00025FA9">
        <w:rPr>
          <w:rFonts w:asciiTheme="minorHAnsi" w:hAnsiTheme="minorHAnsi"/>
        </w:rPr>
        <w:t>)</w:t>
      </w:r>
      <w:r w:rsidR="0087100F" w:rsidRPr="00025FA9">
        <w:rPr>
          <w:rFonts w:asciiTheme="minorHAnsi" w:hAnsiTheme="minorHAnsi"/>
        </w:rPr>
        <w:t xml:space="preserve">. </w:t>
      </w:r>
      <w:r w:rsidR="00D4007E">
        <w:rPr>
          <w:rFonts w:asciiTheme="minorHAnsi" w:hAnsiTheme="minorHAnsi"/>
        </w:rPr>
        <w:t xml:space="preserve"> </w:t>
      </w:r>
      <w:r w:rsidR="00CE44D2" w:rsidRPr="00025FA9">
        <w:rPr>
          <w:rFonts w:asciiTheme="minorHAnsi" w:hAnsiTheme="minorHAnsi"/>
        </w:rPr>
        <w:t>W</w:t>
      </w:r>
      <w:r w:rsidR="000A72EA" w:rsidRPr="00025FA9">
        <w:rPr>
          <w:rFonts w:asciiTheme="minorHAnsi" w:hAnsiTheme="minorHAnsi"/>
        </w:rPr>
        <w:t xml:space="preserve">e </w:t>
      </w:r>
      <w:r w:rsidR="00D4007E">
        <w:rPr>
          <w:rFonts w:asciiTheme="minorHAnsi" w:hAnsiTheme="minorHAnsi"/>
        </w:rPr>
        <w:t>remain</w:t>
      </w:r>
      <w:r w:rsidR="000A72EA" w:rsidRPr="00025FA9">
        <w:rPr>
          <w:rFonts w:asciiTheme="minorHAnsi" w:hAnsiTheme="minorHAnsi"/>
        </w:rPr>
        <w:t xml:space="preserve"> committed to </w:t>
      </w:r>
      <w:r w:rsidR="00CE44D2" w:rsidRPr="00025FA9">
        <w:rPr>
          <w:rFonts w:asciiTheme="minorHAnsi" w:hAnsiTheme="minorHAnsi"/>
        </w:rPr>
        <w:t xml:space="preserve">continue </w:t>
      </w:r>
      <w:r w:rsidR="000A72EA" w:rsidRPr="00025FA9">
        <w:rPr>
          <w:rFonts w:asciiTheme="minorHAnsi" w:hAnsiTheme="minorHAnsi"/>
        </w:rPr>
        <w:t>work</w:t>
      </w:r>
      <w:r w:rsidR="00CE44D2" w:rsidRPr="00025FA9">
        <w:rPr>
          <w:rFonts w:asciiTheme="minorHAnsi" w:hAnsiTheme="minorHAnsi"/>
        </w:rPr>
        <w:t>ing</w:t>
      </w:r>
      <w:r w:rsidR="000A72EA" w:rsidRPr="00025FA9">
        <w:rPr>
          <w:rFonts w:asciiTheme="minorHAnsi" w:hAnsiTheme="minorHAnsi"/>
        </w:rPr>
        <w:t xml:space="preserve"> closely with </w:t>
      </w:r>
      <w:r w:rsidR="00FD6559" w:rsidRPr="00025FA9">
        <w:rPr>
          <w:rFonts w:asciiTheme="minorHAnsi" w:hAnsiTheme="minorHAnsi"/>
        </w:rPr>
        <w:t>ARB</w:t>
      </w:r>
      <w:r w:rsidR="000A72EA" w:rsidRPr="00025FA9">
        <w:rPr>
          <w:rFonts w:asciiTheme="minorHAnsi" w:hAnsiTheme="minorHAnsi"/>
        </w:rPr>
        <w:t xml:space="preserve"> staff</w:t>
      </w:r>
      <w:r w:rsidRPr="00025FA9">
        <w:rPr>
          <w:rFonts w:asciiTheme="minorHAnsi" w:hAnsiTheme="minorHAnsi"/>
        </w:rPr>
        <w:t xml:space="preserve">, right up until </w:t>
      </w:r>
      <w:r w:rsidR="00437B0D" w:rsidRPr="00025FA9">
        <w:rPr>
          <w:rFonts w:asciiTheme="minorHAnsi" w:hAnsiTheme="minorHAnsi"/>
        </w:rPr>
        <w:t>the LCFS program re-</w:t>
      </w:r>
      <w:r w:rsidR="00CE44D2" w:rsidRPr="00025FA9">
        <w:rPr>
          <w:rFonts w:asciiTheme="minorHAnsi" w:hAnsiTheme="minorHAnsi"/>
        </w:rPr>
        <w:t>adoption i</w:t>
      </w:r>
      <w:r w:rsidRPr="00025FA9">
        <w:rPr>
          <w:rFonts w:asciiTheme="minorHAnsi" w:hAnsiTheme="minorHAnsi"/>
        </w:rPr>
        <w:t xml:space="preserve">s anticipated at the Board’s </w:t>
      </w:r>
      <w:r w:rsidR="00CE44D2" w:rsidRPr="00025FA9">
        <w:rPr>
          <w:rFonts w:asciiTheme="minorHAnsi" w:hAnsiTheme="minorHAnsi"/>
        </w:rPr>
        <w:t xml:space="preserve">July </w:t>
      </w:r>
      <w:r w:rsidRPr="00025FA9">
        <w:rPr>
          <w:rFonts w:asciiTheme="minorHAnsi" w:hAnsiTheme="minorHAnsi"/>
        </w:rPr>
        <w:t xml:space="preserve">23, </w:t>
      </w:r>
      <w:r w:rsidR="00CE44D2" w:rsidRPr="00025FA9">
        <w:rPr>
          <w:rFonts w:asciiTheme="minorHAnsi" w:hAnsiTheme="minorHAnsi"/>
        </w:rPr>
        <w:t>2015</w:t>
      </w:r>
      <w:r w:rsidR="00437B0D" w:rsidRPr="00025FA9">
        <w:rPr>
          <w:rFonts w:asciiTheme="minorHAnsi" w:hAnsiTheme="minorHAnsi"/>
        </w:rPr>
        <w:t xml:space="preserve"> </w:t>
      </w:r>
      <w:r w:rsidRPr="00025FA9">
        <w:rPr>
          <w:rFonts w:asciiTheme="minorHAnsi" w:hAnsiTheme="minorHAnsi"/>
        </w:rPr>
        <w:t>meeting</w:t>
      </w:r>
      <w:r w:rsidR="00CE44D2" w:rsidRPr="00025FA9">
        <w:rPr>
          <w:rFonts w:asciiTheme="minorHAnsi" w:hAnsiTheme="minorHAnsi"/>
        </w:rPr>
        <w:t>.</w:t>
      </w:r>
      <w:r w:rsidR="003602C7" w:rsidRPr="00025FA9">
        <w:rPr>
          <w:rFonts w:asciiTheme="minorHAnsi" w:hAnsiTheme="minorHAnsi"/>
        </w:rPr>
        <w:t xml:space="preserve"> </w:t>
      </w:r>
      <w:r w:rsidR="00EB68D4" w:rsidRPr="00025FA9">
        <w:rPr>
          <w:rFonts w:asciiTheme="minorHAnsi" w:hAnsiTheme="minorHAnsi"/>
        </w:rPr>
        <w:t xml:space="preserve"> </w:t>
      </w:r>
    </w:p>
    <w:p w14:paraId="5D07EF4D" w14:textId="77777777" w:rsidR="0087100F" w:rsidRPr="00025FA9" w:rsidRDefault="0087100F" w:rsidP="0087100F">
      <w:pPr>
        <w:jc w:val="both"/>
        <w:rPr>
          <w:rFonts w:asciiTheme="minorHAnsi" w:hAnsiTheme="minorHAnsi"/>
          <w:u w:val="single"/>
        </w:rPr>
      </w:pPr>
    </w:p>
    <w:p w14:paraId="14743863" w14:textId="3AFA57B7" w:rsidR="0087100F" w:rsidRPr="00025FA9" w:rsidRDefault="0087100F" w:rsidP="00F9638B">
      <w:pPr>
        <w:pStyle w:val="ListParagraph"/>
        <w:numPr>
          <w:ilvl w:val="0"/>
          <w:numId w:val="23"/>
        </w:numPr>
        <w:jc w:val="both"/>
        <w:rPr>
          <w:rFonts w:asciiTheme="minorHAnsi" w:hAnsiTheme="minorHAnsi"/>
          <w:sz w:val="28"/>
        </w:rPr>
      </w:pPr>
      <w:r w:rsidRPr="00025FA9">
        <w:rPr>
          <w:rFonts w:asciiTheme="minorHAnsi" w:hAnsiTheme="minorHAnsi"/>
          <w:sz w:val="28"/>
        </w:rPr>
        <w:t>Comments</w:t>
      </w:r>
      <w:r w:rsidR="00740C3C" w:rsidRPr="00025FA9">
        <w:rPr>
          <w:rFonts w:asciiTheme="minorHAnsi" w:hAnsiTheme="minorHAnsi"/>
          <w:sz w:val="28"/>
        </w:rPr>
        <w:t xml:space="preserve"> on Proposed LCFS Regulatory Changes</w:t>
      </w:r>
    </w:p>
    <w:p w14:paraId="49A3F885" w14:textId="77777777" w:rsidR="0087100F" w:rsidRPr="00025FA9" w:rsidRDefault="0087100F" w:rsidP="00BA69DF">
      <w:pPr>
        <w:jc w:val="both"/>
        <w:rPr>
          <w:rFonts w:asciiTheme="minorHAnsi" w:hAnsiTheme="minorHAnsi"/>
        </w:rPr>
      </w:pPr>
    </w:p>
    <w:p w14:paraId="750E3383" w14:textId="0C8BF332" w:rsidR="004D1DE0" w:rsidRPr="00025FA9" w:rsidRDefault="004D1DE0" w:rsidP="00BA69DF">
      <w:pPr>
        <w:jc w:val="both"/>
        <w:rPr>
          <w:rFonts w:asciiTheme="minorHAnsi" w:hAnsiTheme="minorHAnsi"/>
        </w:rPr>
      </w:pPr>
      <w:r w:rsidRPr="00025FA9">
        <w:rPr>
          <w:rFonts w:asciiTheme="minorHAnsi" w:hAnsiTheme="minorHAnsi"/>
        </w:rPr>
        <w:t xml:space="preserve">Our detailed comments </w:t>
      </w:r>
      <w:r w:rsidR="00F9638B" w:rsidRPr="00025FA9">
        <w:rPr>
          <w:rFonts w:asciiTheme="minorHAnsi" w:hAnsiTheme="minorHAnsi"/>
        </w:rPr>
        <w:t xml:space="preserve">regarding ARB’s </w:t>
      </w:r>
      <w:r w:rsidRPr="00025FA9">
        <w:rPr>
          <w:rFonts w:asciiTheme="minorHAnsi" w:hAnsiTheme="minorHAnsi"/>
          <w:u w:val="single"/>
        </w:rPr>
        <w:t>proposed LCFS regulatory changes</w:t>
      </w:r>
      <w:r w:rsidRPr="00025FA9">
        <w:rPr>
          <w:rFonts w:asciiTheme="minorHAnsi" w:hAnsiTheme="minorHAnsi"/>
        </w:rPr>
        <w:t xml:space="preserve"> </w:t>
      </w:r>
      <w:r w:rsidR="00F9638B" w:rsidRPr="00025FA9">
        <w:rPr>
          <w:rFonts w:asciiTheme="minorHAnsi" w:hAnsiTheme="minorHAnsi"/>
        </w:rPr>
        <w:t xml:space="preserve">are presented below, in </w:t>
      </w:r>
      <w:r w:rsidR="0088534D" w:rsidRPr="00025FA9">
        <w:rPr>
          <w:rFonts w:asciiTheme="minorHAnsi" w:hAnsiTheme="minorHAnsi"/>
        </w:rPr>
        <w:t>six</w:t>
      </w:r>
      <w:r w:rsidRPr="00025FA9">
        <w:rPr>
          <w:rFonts w:asciiTheme="minorHAnsi" w:hAnsiTheme="minorHAnsi"/>
        </w:rPr>
        <w:t xml:space="preserve"> specific areas.</w:t>
      </w:r>
    </w:p>
    <w:p w14:paraId="3CDB2B31" w14:textId="77777777" w:rsidR="004D1DE0" w:rsidRPr="00025FA9" w:rsidRDefault="004D1DE0" w:rsidP="00BA69DF">
      <w:pPr>
        <w:jc w:val="both"/>
        <w:rPr>
          <w:rFonts w:asciiTheme="minorHAnsi" w:hAnsiTheme="minorHAnsi"/>
        </w:rPr>
      </w:pPr>
    </w:p>
    <w:p w14:paraId="3281D5E4" w14:textId="39750FF2" w:rsidR="00740C3C" w:rsidRPr="00025FA9" w:rsidRDefault="004D1DE0" w:rsidP="00740C3C">
      <w:pPr>
        <w:numPr>
          <w:ilvl w:val="0"/>
          <w:numId w:val="20"/>
        </w:numPr>
        <w:spacing w:after="200" w:line="276" w:lineRule="auto"/>
        <w:contextualSpacing/>
        <w:jc w:val="both"/>
        <w:rPr>
          <w:rFonts w:asciiTheme="minorHAnsi" w:eastAsia="Calibri" w:hAnsiTheme="minorHAnsi"/>
          <w:b/>
          <w:sz w:val="24"/>
        </w:rPr>
      </w:pPr>
      <w:r w:rsidRPr="00025FA9">
        <w:rPr>
          <w:rFonts w:asciiTheme="minorHAnsi" w:eastAsia="Calibri" w:hAnsiTheme="minorHAnsi"/>
          <w:b/>
          <w:sz w:val="24"/>
        </w:rPr>
        <w:t>Provisional Pathway P</w:t>
      </w:r>
      <w:r w:rsidR="00740C3C" w:rsidRPr="00025FA9">
        <w:rPr>
          <w:rFonts w:asciiTheme="minorHAnsi" w:eastAsia="Calibri" w:hAnsiTheme="minorHAnsi"/>
          <w:b/>
          <w:sz w:val="24"/>
        </w:rPr>
        <w:t>rocess</w:t>
      </w:r>
    </w:p>
    <w:p w14:paraId="1017E3E8" w14:textId="25B016E8" w:rsidR="00AB0930" w:rsidRDefault="00983232" w:rsidP="0040265D">
      <w:pPr>
        <w:spacing w:after="200" w:line="276" w:lineRule="auto"/>
        <w:jc w:val="both"/>
        <w:rPr>
          <w:rFonts w:asciiTheme="minorHAnsi" w:eastAsia="Calibri" w:hAnsiTheme="minorHAnsi"/>
        </w:rPr>
      </w:pPr>
      <w:r>
        <w:rPr>
          <w:rFonts w:asciiTheme="minorHAnsi" w:eastAsia="Calibri" w:hAnsiTheme="minorHAnsi"/>
        </w:rPr>
        <w:t xml:space="preserve">We would like to thank Staff for addressing the concerns of many stakeholders by allowing the credits </w:t>
      </w:r>
      <w:r w:rsidR="00D4007E">
        <w:rPr>
          <w:rFonts w:asciiTheme="minorHAnsi" w:eastAsia="Calibri" w:hAnsiTheme="minorHAnsi"/>
        </w:rPr>
        <w:t xml:space="preserve">generated </w:t>
      </w:r>
      <w:r>
        <w:rPr>
          <w:rFonts w:asciiTheme="minorHAnsi" w:eastAsia="Calibri" w:hAnsiTheme="minorHAnsi"/>
        </w:rPr>
        <w:t xml:space="preserve">under the Provisional Pathway process to be </w:t>
      </w:r>
      <w:r w:rsidR="00D4007E">
        <w:rPr>
          <w:rFonts w:asciiTheme="minorHAnsi" w:eastAsia="Calibri" w:hAnsiTheme="minorHAnsi"/>
        </w:rPr>
        <w:t xml:space="preserve">immediately and </w:t>
      </w:r>
      <w:r>
        <w:rPr>
          <w:rFonts w:asciiTheme="minorHAnsi" w:eastAsia="Calibri" w:hAnsiTheme="minorHAnsi"/>
        </w:rPr>
        <w:t>fully tradeable.  This change is crucial to support the continued development of low</w:t>
      </w:r>
      <w:r w:rsidR="00D4007E">
        <w:rPr>
          <w:rFonts w:asciiTheme="minorHAnsi" w:eastAsia="Calibri" w:hAnsiTheme="minorHAnsi"/>
        </w:rPr>
        <w:t xml:space="preserve"> carbon fuels</w:t>
      </w:r>
      <w:r>
        <w:rPr>
          <w:rFonts w:asciiTheme="minorHAnsi" w:eastAsia="Calibri" w:hAnsiTheme="minorHAnsi"/>
        </w:rPr>
        <w:t xml:space="preserve"> in the California marketplace.</w:t>
      </w:r>
    </w:p>
    <w:p w14:paraId="4F54A34D" w14:textId="77777777" w:rsidR="00D4007E" w:rsidRPr="00025FA9" w:rsidRDefault="00D4007E" w:rsidP="0040265D">
      <w:pPr>
        <w:spacing w:after="200" w:line="276" w:lineRule="auto"/>
        <w:jc w:val="both"/>
        <w:rPr>
          <w:rFonts w:asciiTheme="minorHAnsi" w:eastAsia="Calibri" w:hAnsiTheme="minorHAnsi"/>
        </w:rPr>
      </w:pPr>
    </w:p>
    <w:p w14:paraId="44AC0BDB" w14:textId="77777777" w:rsidR="00740C3C" w:rsidRPr="00025FA9" w:rsidRDefault="00740C3C" w:rsidP="00740C3C">
      <w:pPr>
        <w:numPr>
          <w:ilvl w:val="0"/>
          <w:numId w:val="20"/>
        </w:numPr>
        <w:spacing w:after="200" w:line="276" w:lineRule="auto"/>
        <w:contextualSpacing/>
        <w:jc w:val="both"/>
        <w:rPr>
          <w:rFonts w:asciiTheme="minorHAnsi" w:eastAsia="Calibri" w:hAnsiTheme="minorHAnsi"/>
          <w:b/>
          <w:sz w:val="24"/>
        </w:rPr>
      </w:pPr>
      <w:r w:rsidRPr="00025FA9">
        <w:rPr>
          <w:rFonts w:asciiTheme="minorHAnsi" w:eastAsia="Calibri" w:hAnsiTheme="minorHAnsi"/>
          <w:b/>
          <w:sz w:val="24"/>
        </w:rPr>
        <w:lastRenderedPageBreak/>
        <w:t>Temporary FPC Values</w:t>
      </w:r>
    </w:p>
    <w:p w14:paraId="2644D602" w14:textId="52948D48" w:rsidR="00BC5FF3" w:rsidRPr="00025FA9" w:rsidRDefault="00740C3C" w:rsidP="00740C3C">
      <w:pPr>
        <w:spacing w:before="240" w:after="200" w:line="276" w:lineRule="auto"/>
        <w:jc w:val="both"/>
        <w:rPr>
          <w:rFonts w:asciiTheme="minorHAnsi" w:eastAsia="Calibri" w:hAnsiTheme="minorHAnsi"/>
        </w:rPr>
      </w:pPr>
      <w:r w:rsidRPr="00025FA9">
        <w:rPr>
          <w:rFonts w:asciiTheme="minorHAnsi" w:eastAsia="Calibri" w:hAnsiTheme="minorHAnsi"/>
        </w:rPr>
        <w:t>Table 7 of the regulation proposes temporary carbon intensities for fuels where a specific fuel pathway cannot be identified.  These may also potentially be used as “default” value</w:t>
      </w:r>
      <w:r w:rsidR="004D1DE0" w:rsidRPr="00025FA9">
        <w:rPr>
          <w:rFonts w:asciiTheme="minorHAnsi" w:eastAsia="Calibri" w:hAnsiTheme="minorHAnsi"/>
        </w:rPr>
        <w:t>s</w:t>
      </w:r>
      <w:r w:rsidRPr="00025FA9">
        <w:rPr>
          <w:rFonts w:asciiTheme="minorHAnsi" w:eastAsia="Calibri" w:hAnsiTheme="minorHAnsi"/>
        </w:rPr>
        <w:t xml:space="preserve"> for facilities awaiting application approval or in the beginning stages of the Provisional Pathway process.  Hence, the values in Table 7 have a material impact on the credits and deficits generated under the LCFS.  Despite t</w:t>
      </w:r>
      <w:r w:rsidR="004D1DE0" w:rsidRPr="00025FA9">
        <w:rPr>
          <w:rFonts w:asciiTheme="minorHAnsi" w:eastAsia="Calibri" w:hAnsiTheme="minorHAnsi"/>
        </w:rPr>
        <w:t xml:space="preserve">he importance of these values, </w:t>
      </w:r>
      <w:r w:rsidRPr="00025FA9">
        <w:rPr>
          <w:rFonts w:asciiTheme="minorHAnsi" w:eastAsia="Calibri" w:hAnsiTheme="minorHAnsi"/>
        </w:rPr>
        <w:t>ARB staff have not provided information regarding the underlying assumptions used to determine most of the values in Table 7 (excluding the CIs for diesel and CARBOB, which are clearly documented elsewhere).  We believe that the values in Table 7 are not consistent with typical values expected for natural gas pathways providing fuel to California.  In fact, values for LNG</w:t>
      </w:r>
      <w:r w:rsidR="004759E5" w:rsidRPr="00025FA9">
        <w:rPr>
          <w:rFonts w:asciiTheme="minorHAnsi" w:eastAsia="Calibri" w:hAnsiTheme="minorHAnsi"/>
        </w:rPr>
        <w:t xml:space="preserve"> from North American natural gas</w:t>
      </w:r>
      <w:r w:rsidRPr="00025FA9">
        <w:rPr>
          <w:rFonts w:asciiTheme="minorHAnsi" w:eastAsia="Calibri" w:hAnsiTheme="minorHAnsi"/>
        </w:rPr>
        <w:t>, and CNG or LNG derived from landfill gas are significantly higher than the i</w:t>
      </w:r>
      <w:r w:rsidR="004D1DE0" w:rsidRPr="00025FA9">
        <w:rPr>
          <w:rFonts w:asciiTheme="minorHAnsi" w:eastAsia="Calibri" w:hAnsiTheme="minorHAnsi"/>
        </w:rPr>
        <w:t xml:space="preserve">llustrative values provided by </w:t>
      </w:r>
      <w:r w:rsidRPr="00025FA9">
        <w:rPr>
          <w:rFonts w:asciiTheme="minorHAnsi" w:eastAsia="Calibri" w:hAnsiTheme="minorHAnsi"/>
        </w:rPr>
        <w:t xml:space="preserve">ARB staff </w:t>
      </w:r>
      <w:r w:rsidR="004D1DE0" w:rsidRPr="00025FA9">
        <w:rPr>
          <w:rFonts w:asciiTheme="minorHAnsi" w:eastAsia="Calibri" w:hAnsiTheme="minorHAnsi"/>
        </w:rPr>
        <w:t xml:space="preserve">at the </w:t>
      </w:r>
      <w:r w:rsidRPr="00025FA9">
        <w:rPr>
          <w:rFonts w:asciiTheme="minorHAnsi" w:eastAsia="Calibri" w:hAnsiTheme="minorHAnsi"/>
        </w:rPr>
        <w:t>April 3</w:t>
      </w:r>
      <w:r w:rsidRPr="00025FA9">
        <w:rPr>
          <w:rFonts w:asciiTheme="minorHAnsi" w:eastAsia="Calibri" w:hAnsiTheme="minorHAnsi"/>
          <w:vertAlign w:val="superscript"/>
        </w:rPr>
        <w:t>rd</w:t>
      </w:r>
      <w:r w:rsidRPr="00025FA9">
        <w:rPr>
          <w:rFonts w:asciiTheme="minorHAnsi" w:eastAsia="Calibri" w:hAnsiTheme="minorHAnsi"/>
        </w:rPr>
        <w:t xml:space="preserve"> workshop</w:t>
      </w:r>
      <w:r w:rsidR="004D1DE0" w:rsidRPr="00025FA9">
        <w:rPr>
          <w:rFonts w:asciiTheme="minorHAnsi" w:eastAsia="Calibri" w:hAnsiTheme="minorHAnsi"/>
        </w:rPr>
        <w:t xml:space="preserve"> </w:t>
      </w:r>
      <w:r w:rsidR="00BC5FF3" w:rsidRPr="00025FA9">
        <w:rPr>
          <w:rFonts w:asciiTheme="minorHAnsi" w:eastAsia="Calibri" w:hAnsiTheme="minorHAnsi"/>
        </w:rPr>
        <w:t xml:space="preserve">at which </w:t>
      </w:r>
      <w:r w:rsidR="004D1DE0" w:rsidRPr="00025FA9">
        <w:rPr>
          <w:rFonts w:asciiTheme="minorHAnsi" w:hAnsiTheme="minorHAnsi"/>
        </w:rPr>
        <w:t xml:space="preserve">updates to </w:t>
      </w:r>
      <w:r w:rsidR="00BC5FF3" w:rsidRPr="00025FA9">
        <w:rPr>
          <w:rFonts w:asciiTheme="minorHAnsi" w:hAnsiTheme="minorHAnsi"/>
        </w:rPr>
        <w:t>CA-GREET 2.0 were extensively discussed</w:t>
      </w:r>
      <w:r w:rsidRPr="00025FA9">
        <w:rPr>
          <w:rFonts w:asciiTheme="minorHAnsi" w:eastAsia="Calibri" w:hAnsiTheme="minorHAnsi"/>
        </w:rPr>
        <w:t xml:space="preserve">.  </w:t>
      </w:r>
    </w:p>
    <w:p w14:paraId="174F96FE" w14:textId="2C295463" w:rsidR="00740C3C" w:rsidRPr="00025FA9" w:rsidRDefault="00BC5FF3" w:rsidP="00740C3C">
      <w:pPr>
        <w:spacing w:before="240" w:after="200" w:line="276" w:lineRule="auto"/>
        <w:jc w:val="both"/>
        <w:rPr>
          <w:rFonts w:asciiTheme="minorHAnsi" w:eastAsia="Calibri" w:hAnsiTheme="minorHAnsi"/>
        </w:rPr>
      </w:pPr>
      <w:r w:rsidRPr="00025FA9">
        <w:rPr>
          <w:rFonts w:asciiTheme="minorHAnsi" w:eastAsia="Calibri" w:hAnsiTheme="minorHAnsi"/>
        </w:rPr>
        <w:t>In sum, t</w:t>
      </w:r>
      <w:r w:rsidR="00740C3C" w:rsidRPr="00025FA9">
        <w:rPr>
          <w:rFonts w:asciiTheme="minorHAnsi" w:eastAsia="Calibri" w:hAnsiTheme="minorHAnsi"/>
        </w:rPr>
        <w:t xml:space="preserve">he currently proposed revisions to Table 7 further increase the CIs for natural gas pathways above values </w:t>
      </w:r>
      <w:r w:rsidRPr="00025FA9">
        <w:rPr>
          <w:rFonts w:asciiTheme="minorHAnsi" w:eastAsia="Calibri" w:hAnsiTheme="minorHAnsi"/>
        </w:rPr>
        <w:t xml:space="preserve">previously </w:t>
      </w:r>
      <w:r w:rsidR="00740C3C" w:rsidRPr="00025FA9">
        <w:rPr>
          <w:rFonts w:asciiTheme="minorHAnsi" w:eastAsia="Calibri" w:hAnsiTheme="minorHAnsi"/>
        </w:rPr>
        <w:t xml:space="preserve">proposed </w:t>
      </w:r>
      <w:r w:rsidRPr="00025FA9">
        <w:rPr>
          <w:rFonts w:asciiTheme="minorHAnsi" w:eastAsia="Calibri" w:hAnsiTheme="minorHAnsi"/>
        </w:rPr>
        <w:t xml:space="preserve">by staff, and these increases do not </w:t>
      </w:r>
      <w:r w:rsidR="00740C3C" w:rsidRPr="00025FA9">
        <w:rPr>
          <w:rFonts w:asciiTheme="minorHAnsi" w:eastAsia="Calibri" w:hAnsiTheme="minorHAnsi"/>
        </w:rPr>
        <w:t>appear to be explain</w:t>
      </w:r>
      <w:r w:rsidRPr="00025FA9">
        <w:rPr>
          <w:rFonts w:asciiTheme="minorHAnsi" w:eastAsia="Calibri" w:hAnsiTheme="minorHAnsi"/>
        </w:rPr>
        <w:t xml:space="preserve">able </w:t>
      </w:r>
      <w:r w:rsidR="00740C3C" w:rsidRPr="00025FA9">
        <w:rPr>
          <w:rFonts w:asciiTheme="minorHAnsi" w:eastAsia="Calibri" w:hAnsiTheme="minorHAnsi"/>
        </w:rPr>
        <w:t xml:space="preserve">by documented revisions to the CA-GREET model.  We believe that it is inappropriate to further increase the values in Table 7 without providing details on the assumptions underlying these changes. </w:t>
      </w:r>
      <w:r w:rsidR="00F43566" w:rsidRPr="00025FA9">
        <w:rPr>
          <w:rFonts w:asciiTheme="minorHAnsi" w:eastAsia="Calibri" w:hAnsiTheme="minorHAnsi"/>
        </w:rPr>
        <w:t xml:space="preserve"> Consequently, we request that </w:t>
      </w:r>
      <w:r w:rsidR="00740C3C" w:rsidRPr="00025FA9">
        <w:rPr>
          <w:rFonts w:asciiTheme="minorHAnsi" w:eastAsia="Calibri" w:hAnsiTheme="minorHAnsi"/>
        </w:rPr>
        <w:t xml:space="preserve">ARB staff not modify the values in Table 7 from the values proposed in February.  At the very least, </w:t>
      </w:r>
      <w:r w:rsidRPr="00025FA9">
        <w:rPr>
          <w:rFonts w:asciiTheme="minorHAnsi" w:eastAsia="Calibri" w:hAnsiTheme="minorHAnsi"/>
        </w:rPr>
        <w:t xml:space="preserve">we </w:t>
      </w:r>
      <w:r w:rsidR="00740C3C" w:rsidRPr="00025FA9">
        <w:rPr>
          <w:rFonts w:asciiTheme="minorHAnsi" w:eastAsia="Calibri" w:hAnsiTheme="minorHAnsi"/>
        </w:rPr>
        <w:t xml:space="preserve">believe that any modifications to the values in Table 7 </w:t>
      </w:r>
      <w:r w:rsidRPr="00025FA9">
        <w:rPr>
          <w:rFonts w:asciiTheme="minorHAnsi" w:eastAsia="Calibri" w:hAnsiTheme="minorHAnsi"/>
        </w:rPr>
        <w:t xml:space="preserve">should </w:t>
      </w:r>
      <w:r w:rsidR="00740C3C" w:rsidRPr="00025FA9">
        <w:rPr>
          <w:rFonts w:asciiTheme="minorHAnsi" w:eastAsia="Calibri" w:hAnsiTheme="minorHAnsi"/>
        </w:rPr>
        <w:t xml:space="preserve">be </w:t>
      </w:r>
      <w:r w:rsidRPr="00025FA9">
        <w:rPr>
          <w:rFonts w:asciiTheme="minorHAnsi" w:eastAsia="Calibri" w:hAnsiTheme="minorHAnsi"/>
        </w:rPr>
        <w:t>clear</w:t>
      </w:r>
      <w:r w:rsidR="00F43566" w:rsidRPr="00025FA9">
        <w:rPr>
          <w:rFonts w:asciiTheme="minorHAnsi" w:eastAsia="Calibri" w:hAnsiTheme="minorHAnsi"/>
        </w:rPr>
        <w:t>ly</w:t>
      </w:r>
      <w:r w:rsidRPr="00025FA9">
        <w:rPr>
          <w:rFonts w:asciiTheme="minorHAnsi" w:eastAsia="Calibri" w:hAnsiTheme="minorHAnsi"/>
        </w:rPr>
        <w:t xml:space="preserve"> link</w:t>
      </w:r>
      <w:r w:rsidR="00F43566" w:rsidRPr="00025FA9">
        <w:rPr>
          <w:rFonts w:asciiTheme="minorHAnsi" w:eastAsia="Calibri" w:hAnsiTheme="minorHAnsi"/>
        </w:rPr>
        <w:t>ed</w:t>
      </w:r>
      <w:r w:rsidRPr="00025FA9">
        <w:rPr>
          <w:rFonts w:asciiTheme="minorHAnsi" w:eastAsia="Calibri" w:hAnsiTheme="minorHAnsi"/>
        </w:rPr>
        <w:t xml:space="preserve"> to documented changes and updates </w:t>
      </w:r>
      <w:r w:rsidR="00740C3C" w:rsidRPr="00025FA9">
        <w:rPr>
          <w:rFonts w:asciiTheme="minorHAnsi" w:eastAsia="Calibri" w:hAnsiTheme="minorHAnsi"/>
        </w:rPr>
        <w:t xml:space="preserve">to the CA-GREET model.  </w:t>
      </w:r>
    </w:p>
    <w:p w14:paraId="63605E38" w14:textId="77777777" w:rsidR="00740C3C" w:rsidRPr="00025FA9" w:rsidRDefault="00740C3C" w:rsidP="00740C3C">
      <w:pPr>
        <w:numPr>
          <w:ilvl w:val="0"/>
          <w:numId w:val="20"/>
        </w:numPr>
        <w:spacing w:after="200" w:line="276" w:lineRule="auto"/>
        <w:contextualSpacing/>
        <w:jc w:val="both"/>
        <w:rPr>
          <w:rFonts w:asciiTheme="minorHAnsi" w:eastAsia="Calibri" w:hAnsiTheme="minorHAnsi"/>
          <w:b/>
          <w:sz w:val="24"/>
        </w:rPr>
      </w:pPr>
      <w:r w:rsidRPr="00025FA9">
        <w:rPr>
          <w:rFonts w:asciiTheme="minorHAnsi" w:eastAsia="Calibri" w:hAnsiTheme="minorHAnsi"/>
          <w:b/>
          <w:sz w:val="24"/>
        </w:rPr>
        <w:t>Application Review Timeline</w:t>
      </w:r>
    </w:p>
    <w:p w14:paraId="6767BCEF" w14:textId="23F4C1B5" w:rsidR="00F43566" w:rsidRPr="00025FA9" w:rsidRDefault="00F43566" w:rsidP="00740C3C">
      <w:pPr>
        <w:spacing w:before="240" w:after="200" w:line="276" w:lineRule="auto"/>
        <w:jc w:val="both"/>
        <w:rPr>
          <w:rFonts w:asciiTheme="minorHAnsi" w:eastAsia="Calibri" w:hAnsiTheme="minorHAnsi"/>
        </w:rPr>
      </w:pPr>
      <w:r w:rsidRPr="00025FA9">
        <w:rPr>
          <w:rFonts w:asciiTheme="minorHAnsi" w:eastAsia="Calibri" w:hAnsiTheme="minorHAnsi"/>
        </w:rPr>
        <w:t>S</w:t>
      </w:r>
      <w:r w:rsidR="00740C3C" w:rsidRPr="00025FA9">
        <w:rPr>
          <w:rFonts w:asciiTheme="minorHAnsi" w:eastAsia="Calibri" w:hAnsiTheme="minorHAnsi"/>
        </w:rPr>
        <w:t>ection 95488(c</w:t>
      </w:r>
      <w:proofErr w:type="gramStart"/>
      <w:r w:rsidR="00740C3C" w:rsidRPr="00025FA9">
        <w:rPr>
          <w:rFonts w:asciiTheme="minorHAnsi" w:eastAsia="Calibri" w:hAnsiTheme="minorHAnsi"/>
        </w:rPr>
        <w:t>)(</w:t>
      </w:r>
      <w:proofErr w:type="gramEnd"/>
      <w:r w:rsidR="00740C3C" w:rsidRPr="00025FA9">
        <w:rPr>
          <w:rFonts w:asciiTheme="minorHAnsi" w:eastAsia="Calibri" w:hAnsiTheme="minorHAnsi"/>
        </w:rPr>
        <w:t>5)(B)</w:t>
      </w:r>
      <w:r w:rsidRPr="00025FA9">
        <w:rPr>
          <w:rFonts w:asciiTheme="minorHAnsi" w:eastAsia="Calibri" w:hAnsiTheme="minorHAnsi"/>
        </w:rPr>
        <w:t xml:space="preserve"> </w:t>
      </w:r>
      <w:r w:rsidR="00740C3C" w:rsidRPr="00025FA9">
        <w:rPr>
          <w:rFonts w:asciiTheme="minorHAnsi" w:eastAsia="Calibri" w:hAnsiTheme="minorHAnsi"/>
        </w:rPr>
        <w:t>propos</w:t>
      </w:r>
      <w:r w:rsidRPr="00025FA9">
        <w:rPr>
          <w:rFonts w:asciiTheme="minorHAnsi" w:eastAsia="Calibri" w:hAnsiTheme="minorHAnsi"/>
        </w:rPr>
        <w:t>es</w:t>
      </w:r>
      <w:r w:rsidR="00740C3C" w:rsidRPr="00025FA9">
        <w:rPr>
          <w:rFonts w:asciiTheme="minorHAnsi" w:eastAsia="Calibri" w:hAnsiTheme="minorHAnsi"/>
        </w:rPr>
        <w:t xml:space="preserve"> to eliminate the 60-day deadline for </w:t>
      </w:r>
      <w:r w:rsidRPr="00025FA9">
        <w:rPr>
          <w:rFonts w:asciiTheme="minorHAnsi" w:eastAsia="Calibri" w:hAnsiTheme="minorHAnsi"/>
        </w:rPr>
        <w:t>ARB</w:t>
      </w:r>
      <w:r w:rsidR="00740C3C" w:rsidRPr="00025FA9">
        <w:rPr>
          <w:rFonts w:asciiTheme="minorHAnsi" w:eastAsia="Calibri" w:hAnsiTheme="minorHAnsi"/>
        </w:rPr>
        <w:t xml:space="preserve"> staff to review an application and notify the applicant </w:t>
      </w:r>
      <w:r w:rsidRPr="00025FA9">
        <w:rPr>
          <w:rFonts w:asciiTheme="minorHAnsi" w:eastAsia="Calibri" w:hAnsiTheme="minorHAnsi"/>
        </w:rPr>
        <w:t xml:space="preserve">about its </w:t>
      </w:r>
      <w:r w:rsidR="00740C3C" w:rsidRPr="00025FA9">
        <w:rPr>
          <w:rFonts w:asciiTheme="minorHAnsi" w:eastAsia="Calibri" w:hAnsiTheme="minorHAnsi"/>
        </w:rPr>
        <w:t xml:space="preserve">completeness.  However, </w:t>
      </w:r>
      <w:r w:rsidR="004759E5" w:rsidRPr="00025FA9">
        <w:rPr>
          <w:rFonts w:asciiTheme="minorHAnsi" w:eastAsia="Calibri" w:hAnsiTheme="minorHAnsi"/>
        </w:rPr>
        <w:t>S</w:t>
      </w:r>
      <w:r w:rsidR="00740C3C" w:rsidRPr="00025FA9">
        <w:rPr>
          <w:rFonts w:asciiTheme="minorHAnsi" w:eastAsia="Calibri" w:hAnsiTheme="minorHAnsi"/>
        </w:rPr>
        <w:t xml:space="preserve">taff </w:t>
      </w:r>
      <w:r w:rsidRPr="00025FA9">
        <w:rPr>
          <w:rFonts w:asciiTheme="minorHAnsi" w:eastAsia="Calibri" w:hAnsiTheme="minorHAnsi"/>
        </w:rPr>
        <w:t>is</w:t>
      </w:r>
      <w:r w:rsidR="00740C3C" w:rsidRPr="00025FA9">
        <w:rPr>
          <w:rFonts w:asciiTheme="minorHAnsi" w:eastAsia="Calibri" w:hAnsiTheme="minorHAnsi"/>
        </w:rPr>
        <w:t xml:space="preserve"> not proposing to modify the 180-day deadline for an applicant to provide a complete application.  Staff note</w:t>
      </w:r>
      <w:r w:rsidRPr="00025FA9">
        <w:rPr>
          <w:rFonts w:asciiTheme="minorHAnsi" w:eastAsia="Calibri" w:hAnsiTheme="minorHAnsi"/>
        </w:rPr>
        <w:t>s</w:t>
      </w:r>
      <w:r w:rsidR="00740C3C" w:rsidRPr="00025FA9">
        <w:rPr>
          <w:rFonts w:asciiTheme="minorHAnsi" w:eastAsia="Calibri" w:hAnsiTheme="minorHAnsi"/>
        </w:rPr>
        <w:t xml:space="preserve"> that this change is being proposed to eliminate “unrealistic deadlines”</w:t>
      </w:r>
      <w:r w:rsidRPr="00025FA9">
        <w:rPr>
          <w:rFonts w:asciiTheme="minorHAnsi" w:eastAsia="Calibri" w:hAnsiTheme="minorHAnsi"/>
        </w:rPr>
        <w:t xml:space="preserve"> during times when </w:t>
      </w:r>
      <w:r w:rsidR="004759E5" w:rsidRPr="00025FA9">
        <w:rPr>
          <w:rFonts w:asciiTheme="minorHAnsi" w:eastAsia="Calibri" w:hAnsiTheme="minorHAnsi"/>
        </w:rPr>
        <w:t>S</w:t>
      </w:r>
      <w:r w:rsidR="00740C3C" w:rsidRPr="00025FA9">
        <w:rPr>
          <w:rFonts w:asciiTheme="minorHAnsi" w:eastAsia="Calibri" w:hAnsiTheme="minorHAnsi"/>
        </w:rPr>
        <w:t xml:space="preserve">taff </w:t>
      </w:r>
      <w:r w:rsidRPr="00025FA9">
        <w:rPr>
          <w:rFonts w:asciiTheme="minorHAnsi" w:eastAsia="Calibri" w:hAnsiTheme="minorHAnsi"/>
        </w:rPr>
        <w:t xml:space="preserve">will be </w:t>
      </w:r>
      <w:r w:rsidR="00740C3C" w:rsidRPr="00025FA9">
        <w:rPr>
          <w:rFonts w:asciiTheme="minorHAnsi" w:eastAsia="Calibri" w:hAnsiTheme="minorHAnsi"/>
        </w:rPr>
        <w:t>work</w:t>
      </w:r>
      <w:r w:rsidRPr="00025FA9">
        <w:rPr>
          <w:rFonts w:asciiTheme="minorHAnsi" w:eastAsia="Calibri" w:hAnsiTheme="minorHAnsi"/>
        </w:rPr>
        <w:t>ing</w:t>
      </w:r>
      <w:r w:rsidR="00740C3C" w:rsidRPr="00025FA9">
        <w:rPr>
          <w:rFonts w:asciiTheme="minorHAnsi" w:eastAsia="Calibri" w:hAnsiTheme="minorHAnsi"/>
        </w:rPr>
        <w:t xml:space="preserve"> to recertify hundreds of existing pathways.  </w:t>
      </w:r>
    </w:p>
    <w:p w14:paraId="030B8348" w14:textId="60487929" w:rsidR="00740C3C" w:rsidRPr="00025FA9" w:rsidRDefault="00F43566" w:rsidP="00740C3C">
      <w:pPr>
        <w:spacing w:before="240" w:after="200" w:line="276" w:lineRule="auto"/>
        <w:jc w:val="both"/>
        <w:rPr>
          <w:rFonts w:asciiTheme="minorHAnsi" w:eastAsia="Calibri" w:hAnsiTheme="minorHAnsi"/>
        </w:rPr>
      </w:pPr>
      <w:r w:rsidRPr="00025FA9">
        <w:rPr>
          <w:rFonts w:asciiTheme="minorHAnsi" w:eastAsia="Calibri" w:hAnsiTheme="minorHAnsi"/>
        </w:rPr>
        <w:t>T</w:t>
      </w:r>
      <w:r w:rsidR="00740C3C" w:rsidRPr="00025FA9">
        <w:rPr>
          <w:rFonts w:asciiTheme="minorHAnsi" w:eastAsia="Calibri" w:hAnsiTheme="minorHAnsi"/>
        </w:rPr>
        <w:t xml:space="preserve">his </w:t>
      </w:r>
      <w:r w:rsidRPr="00025FA9">
        <w:rPr>
          <w:rFonts w:asciiTheme="minorHAnsi" w:eastAsia="Calibri" w:hAnsiTheme="minorHAnsi"/>
        </w:rPr>
        <w:t xml:space="preserve">removal of the 60-day deadline </w:t>
      </w:r>
      <w:r w:rsidR="00740C3C" w:rsidRPr="00025FA9">
        <w:rPr>
          <w:rFonts w:asciiTheme="minorHAnsi" w:eastAsia="Calibri" w:hAnsiTheme="minorHAnsi"/>
        </w:rPr>
        <w:t>may be acceptable for applications covered by an existing pathway and able to generate credits as late as December 31, 2016</w:t>
      </w:r>
      <w:r w:rsidRPr="00025FA9">
        <w:rPr>
          <w:rFonts w:asciiTheme="minorHAnsi" w:eastAsia="Calibri" w:hAnsiTheme="minorHAnsi"/>
        </w:rPr>
        <w:t>.  However</w:t>
      </w:r>
      <w:r w:rsidR="00740C3C" w:rsidRPr="00025FA9">
        <w:rPr>
          <w:rFonts w:asciiTheme="minorHAnsi" w:eastAsia="Calibri" w:hAnsiTheme="minorHAnsi"/>
        </w:rPr>
        <w:t xml:space="preserve">, the </w:t>
      </w:r>
      <w:r w:rsidRPr="00025FA9">
        <w:rPr>
          <w:rFonts w:asciiTheme="minorHAnsi" w:eastAsia="Calibri" w:hAnsiTheme="minorHAnsi"/>
        </w:rPr>
        <w:t xml:space="preserve">proposed </w:t>
      </w:r>
      <w:r w:rsidR="00740C3C" w:rsidRPr="00025FA9">
        <w:rPr>
          <w:rFonts w:asciiTheme="minorHAnsi" w:eastAsia="Calibri" w:hAnsiTheme="minorHAnsi"/>
        </w:rPr>
        <w:t xml:space="preserve">change </w:t>
      </w:r>
      <w:r w:rsidR="00740C3C" w:rsidRPr="00025FA9">
        <w:rPr>
          <w:rFonts w:asciiTheme="minorHAnsi" w:eastAsia="Calibri" w:hAnsiTheme="minorHAnsi"/>
          <w:u w:val="single"/>
        </w:rPr>
        <w:t>is not acceptable for new applications</w:t>
      </w:r>
      <w:r w:rsidR="00740C3C" w:rsidRPr="00025FA9">
        <w:rPr>
          <w:rFonts w:asciiTheme="minorHAnsi" w:eastAsia="Calibri" w:hAnsiTheme="minorHAnsi"/>
        </w:rPr>
        <w:t xml:space="preserve">.  It is crucial that </w:t>
      </w:r>
      <w:r w:rsidRPr="00025FA9">
        <w:rPr>
          <w:rFonts w:asciiTheme="minorHAnsi" w:eastAsia="Calibri" w:hAnsiTheme="minorHAnsi"/>
        </w:rPr>
        <w:t>ARB</w:t>
      </w:r>
      <w:r w:rsidR="00740C3C" w:rsidRPr="00025FA9">
        <w:rPr>
          <w:rFonts w:asciiTheme="minorHAnsi" w:eastAsia="Calibri" w:hAnsiTheme="minorHAnsi"/>
        </w:rPr>
        <w:t xml:space="preserve"> continue to provide timely feedback to applicants </w:t>
      </w:r>
      <w:r w:rsidRPr="00025FA9">
        <w:rPr>
          <w:rFonts w:asciiTheme="minorHAnsi" w:eastAsia="Calibri" w:hAnsiTheme="minorHAnsi"/>
        </w:rPr>
        <w:t xml:space="preserve">regarding </w:t>
      </w:r>
      <w:r w:rsidR="00740C3C" w:rsidRPr="00025FA9">
        <w:rPr>
          <w:rFonts w:asciiTheme="minorHAnsi" w:eastAsia="Calibri" w:hAnsiTheme="minorHAnsi"/>
        </w:rPr>
        <w:t xml:space="preserve">the completeness of their applications and any deficiencies that must be addressed.  Delays in the review process can translate directly into lost credit generation, the associated revenue, and verified carbon reductions.  </w:t>
      </w:r>
    </w:p>
    <w:p w14:paraId="6BB81B13" w14:textId="77777777" w:rsidR="00740C3C" w:rsidRPr="00025FA9" w:rsidRDefault="00740C3C" w:rsidP="00740C3C">
      <w:pPr>
        <w:spacing w:after="200" w:line="276" w:lineRule="auto"/>
        <w:jc w:val="both"/>
        <w:rPr>
          <w:rFonts w:asciiTheme="minorHAnsi" w:eastAsia="Calibri" w:hAnsiTheme="minorHAnsi"/>
        </w:rPr>
      </w:pPr>
      <w:r w:rsidRPr="00025FA9">
        <w:rPr>
          <w:rFonts w:asciiTheme="minorHAnsi" w:eastAsia="Calibri" w:hAnsiTheme="minorHAnsi"/>
        </w:rPr>
        <w:t>Further, we note that the removal of the 60-day requirement is not limited to the 2016 timeframe.  It is inappropriate to establish a regulation in which Staff have no obligation to complete a timely review of an application but where the applicant is simultaneously constrained to a fixed deadline and dependent on Staff’s review of the application.</w:t>
      </w:r>
    </w:p>
    <w:p w14:paraId="3DD60C4F" w14:textId="20DA5059" w:rsidR="00A05051" w:rsidRPr="00025FA9" w:rsidRDefault="00A05051" w:rsidP="00740C3C">
      <w:pPr>
        <w:spacing w:after="200" w:line="276" w:lineRule="auto"/>
        <w:jc w:val="both"/>
        <w:rPr>
          <w:rFonts w:asciiTheme="minorHAnsi" w:eastAsia="Calibri" w:hAnsiTheme="minorHAnsi"/>
        </w:rPr>
      </w:pPr>
      <w:r w:rsidRPr="00025FA9">
        <w:rPr>
          <w:rFonts w:asciiTheme="minorHAnsi" w:eastAsia="Calibri" w:hAnsiTheme="minorHAnsi"/>
        </w:rPr>
        <w:t>Similarly, Staff propose to remove the 15-day deadline for review and notification of completeness of a fuel transport mode as defined in Section 95488(e</w:t>
      </w:r>
      <w:proofErr w:type="gramStart"/>
      <w:r w:rsidRPr="00025FA9">
        <w:rPr>
          <w:rFonts w:asciiTheme="minorHAnsi" w:eastAsia="Calibri" w:hAnsiTheme="minorHAnsi"/>
        </w:rPr>
        <w:t>)(</w:t>
      </w:r>
      <w:proofErr w:type="gramEnd"/>
      <w:r w:rsidRPr="00025FA9">
        <w:rPr>
          <w:rFonts w:asciiTheme="minorHAnsi" w:eastAsia="Calibri" w:hAnsiTheme="minorHAnsi"/>
        </w:rPr>
        <w:t>5).   We have similar concerns and objections to the removal of this requirement for timely review of the fuel transport mode application as we do for the pathway application review process in Section 95488(c</w:t>
      </w:r>
      <w:proofErr w:type="gramStart"/>
      <w:r w:rsidRPr="00025FA9">
        <w:rPr>
          <w:rFonts w:asciiTheme="minorHAnsi" w:eastAsia="Calibri" w:hAnsiTheme="minorHAnsi"/>
        </w:rPr>
        <w:t>)(</w:t>
      </w:r>
      <w:proofErr w:type="gramEnd"/>
      <w:r w:rsidRPr="00025FA9">
        <w:rPr>
          <w:rFonts w:asciiTheme="minorHAnsi" w:eastAsia="Calibri" w:hAnsiTheme="minorHAnsi"/>
        </w:rPr>
        <w:t xml:space="preserve">5).  </w:t>
      </w:r>
    </w:p>
    <w:p w14:paraId="10F39168" w14:textId="17BEC08F" w:rsidR="00740C3C" w:rsidRPr="00025FA9" w:rsidRDefault="00740C3C" w:rsidP="00740C3C">
      <w:pPr>
        <w:spacing w:after="200" w:line="276" w:lineRule="auto"/>
        <w:jc w:val="both"/>
        <w:rPr>
          <w:rFonts w:asciiTheme="minorHAnsi" w:eastAsia="Calibri" w:hAnsiTheme="minorHAnsi"/>
        </w:rPr>
      </w:pPr>
      <w:r w:rsidRPr="00025FA9">
        <w:rPr>
          <w:rFonts w:asciiTheme="minorHAnsi" w:eastAsia="Calibri" w:hAnsiTheme="minorHAnsi"/>
        </w:rPr>
        <w:lastRenderedPageBreak/>
        <w:t xml:space="preserve">We urge Staff to retain the 60-day </w:t>
      </w:r>
      <w:r w:rsidR="00A05051" w:rsidRPr="00025FA9">
        <w:rPr>
          <w:rFonts w:asciiTheme="minorHAnsi" w:eastAsia="Calibri" w:hAnsiTheme="minorHAnsi"/>
        </w:rPr>
        <w:t>and 15-day deadlines in Sections 95488(c</w:t>
      </w:r>
      <w:proofErr w:type="gramStart"/>
      <w:r w:rsidR="00A05051" w:rsidRPr="00025FA9">
        <w:rPr>
          <w:rFonts w:asciiTheme="minorHAnsi" w:eastAsia="Calibri" w:hAnsiTheme="minorHAnsi"/>
        </w:rPr>
        <w:t>)(</w:t>
      </w:r>
      <w:proofErr w:type="gramEnd"/>
      <w:r w:rsidR="00A05051" w:rsidRPr="00025FA9">
        <w:rPr>
          <w:rFonts w:asciiTheme="minorHAnsi" w:eastAsia="Calibri" w:hAnsiTheme="minorHAnsi"/>
        </w:rPr>
        <w:t>5)(B) and 95488(e)(5), respectively, a</w:t>
      </w:r>
      <w:r w:rsidRPr="00025FA9">
        <w:rPr>
          <w:rFonts w:asciiTheme="minorHAnsi" w:eastAsia="Calibri" w:hAnsiTheme="minorHAnsi"/>
        </w:rPr>
        <w:t xml:space="preserve">nd to provide the LCFS program the necessary resources to </w:t>
      </w:r>
      <w:r w:rsidR="00A05051" w:rsidRPr="00025FA9">
        <w:rPr>
          <w:rFonts w:asciiTheme="minorHAnsi" w:eastAsia="Calibri" w:hAnsiTheme="minorHAnsi"/>
        </w:rPr>
        <w:t>conduct</w:t>
      </w:r>
      <w:r w:rsidRPr="00025FA9">
        <w:rPr>
          <w:rFonts w:asciiTheme="minorHAnsi" w:eastAsia="Calibri" w:hAnsiTheme="minorHAnsi"/>
        </w:rPr>
        <w:t xml:space="preserve"> timely review of applications during the 2016 timeframe.  </w:t>
      </w:r>
      <w:r w:rsidR="00391A2E">
        <w:rPr>
          <w:rFonts w:asciiTheme="minorHAnsi" w:eastAsia="Calibri" w:hAnsiTheme="minorHAnsi"/>
        </w:rPr>
        <w:t>I</w:t>
      </w:r>
      <w:r w:rsidR="00935180">
        <w:rPr>
          <w:rFonts w:asciiTheme="minorHAnsi" w:eastAsia="Calibri" w:hAnsiTheme="minorHAnsi"/>
        </w:rPr>
        <w:t>t is critically important that industry has a process for application review that includes firm deadlines for ARB’s actions</w:t>
      </w:r>
      <w:r w:rsidR="00391A2E">
        <w:rPr>
          <w:rFonts w:asciiTheme="minorHAnsi" w:eastAsia="Calibri" w:hAnsiTheme="minorHAnsi"/>
        </w:rPr>
        <w:t xml:space="preserve">.  </w:t>
      </w:r>
    </w:p>
    <w:p w14:paraId="6B1E03BE" w14:textId="77777777" w:rsidR="00740C3C" w:rsidRPr="00025FA9" w:rsidRDefault="00740C3C" w:rsidP="00740C3C">
      <w:pPr>
        <w:numPr>
          <w:ilvl w:val="0"/>
          <w:numId w:val="20"/>
        </w:numPr>
        <w:spacing w:after="200" w:line="276" w:lineRule="auto"/>
        <w:contextualSpacing/>
        <w:jc w:val="both"/>
        <w:rPr>
          <w:rFonts w:asciiTheme="minorHAnsi" w:eastAsia="Calibri" w:hAnsiTheme="minorHAnsi"/>
          <w:b/>
          <w:sz w:val="24"/>
        </w:rPr>
      </w:pPr>
      <w:r w:rsidRPr="00025FA9">
        <w:rPr>
          <w:rFonts w:asciiTheme="minorHAnsi" w:eastAsia="Calibri" w:hAnsiTheme="minorHAnsi"/>
          <w:b/>
          <w:sz w:val="24"/>
        </w:rPr>
        <w:t>Treatment of Business Confidential Information</w:t>
      </w:r>
    </w:p>
    <w:p w14:paraId="79827C5E" w14:textId="051823DC" w:rsidR="00740C3C" w:rsidRPr="00025FA9" w:rsidRDefault="00740C3C" w:rsidP="00740C3C">
      <w:pPr>
        <w:spacing w:before="240" w:after="200" w:line="276" w:lineRule="auto"/>
        <w:jc w:val="both"/>
        <w:rPr>
          <w:rFonts w:asciiTheme="minorHAnsi" w:eastAsia="Calibri" w:hAnsiTheme="minorHAnsi"/>
        </w:rPr>
      </w:pPr>
      <w:r w:rsidRPr="00025FA9">
        <w:rPr>
          <w:rFonts w:asciiTheme="minorHAnsi" w:eastAsia="Calibri" w:hAnsiTheme="minorHAnsi"/>
        </w:rPr>
        <w:t>Staff are proposing to eliminate language providing protection of credit transaction data as Business Confidential information.  Section 95487(c</w:t>
      </w:r>
      <w:proofErr w:type="gramStart"/>
      <w:r w:rsidRPr="00025FA9">
        <w:rPr>
          <w:rFonts w:asciiTheme="minorHAnsi" w:eastAsia="Calibri" w:hAnsiTheme="minorHAnsi"/>
        </w:rPr>
        <w:t>)(</w:t>
      </w:r>
      <w:proofErr w:type="gramEnd"/>
      <w:r w:rsidRPr="00025FA9">
        <w:rPr>
          <w:rFonts w:asciiTheme="minorHAnsi" w:eastAsia="Calibri" w:hAnsiTheme="minorHAnsi"/>
        </w:rPr>
        <w:t xml:space="preserve">1)(B) currently requires </w:t>
      </w:r>
      <w:r w:rsidR="00F43566" w:rsidRPr="00025FA9">
        <w:rPr>
          <w:rFonts w:asciiTheme="minorHAnsi" w:eastAsia="Calibri" w:hAnsiTheme="minorHAnsi"/>
        </w:rPr>
        <w:t>ARB</w:t>
      </w:r>
      <w:r w:rsidRPr="00025FA9">
        <w:rPr>
          <w:rFonts w:asciiTheme="minorHAnsi" w:eastAsia="Calibri" w:hAnsiTheme="minorHAnsi"/>
        </w:rPr>
        <w:t xml:space="preserve"> to treat all data reported in Credit Transfer Forms as business confidential, with limited exceptions for reporting of aggregated data described in Section 95487(d).  </w:t>
      </w:r>
    </w:p>
    <w:p w14:paraId="1DEA152A" w14:textId="77777777" w:rsidR="00740C3C" w:rsidRPr="00025FA9" w:rsidRDefault="00740C3C" w:rsidP="00740C3C">
      <w:pPr>
        <w:spacing w:after="120" w:line="276" w:lineRule="auto"/>
        <w:jc w:val="both"/>
        <w:rPr>
          <w:rFonts w:asciiTheme="minorHAnsi" w:eastAsia="Calibri" w:hAnsiTheme="minorHAnsi"/>
        </w:rPr>
      </w:pPr>
      <w:r w:rsidRPr="00025FA9">
        <w:rPr>
          <w:rFonts w:asciiTheme="minorHAnsi" w:eastAsia="Calibri" w:hAnsiTheme="minorHAnsi"/>
        </w:rPr>
        <w:t>Credit Transfer Forms contain a number of sensitive pieces of information including, but not limited to:</w:t>
      </w:r>
    </w:p>
    <w:p w14:paraId="383ABF34" w14:textId="260FC46B" w:rsidR="00740C3C" w:rsidRPr="00025FA9" w:rsidRDefault="006F2D99" w:rsidP="00740C3C">
      <w:pPr>
        <w:numPr>
          <w:ilvl w:val="0"/>
          <w:numId w:val="21"/>
        </w:numPr>
        <w:spacing w:after="200" w:line="276" w:lineRule="auto"/>
        <w:contextualSpacing/>
        <w:jc w:val="both"/>
        <w:rPr>
          <w:rFonts w:asciiTheme="minorHAnsi" w:eastAsia="Calibri" w:hAnsiTheme="minorHAnsi"/>
        </w:rPr>
      </w:pPr>
      <w:r w:rsidRPr="00025FA9">
        <w:rPr>
          <w:rFonts w:asciiTheme="minorHAnsi" w:eastAsia="Calibri" w:hAnsiTheme="minorHAnsi"/>
        </w:rPr>
        <w:t>N</w:t>
      </w:r>
      <w:r w:rsidR="00740C3C" w:rsidRPr="00025FA9">
        <w:rPr>
          <w:rFonts w:asciiTheme="minorHAnsi" w:eastAsia="Calibri" w:hAnsiTheme="minorHAnsi"/>
        </w:rPr>
        <w:t>ames and contact information of individuals at companies involved in the transaction;</w:t>
      </w:r>
    </w:p>
    <w:p w14:paraId="40C60AA7" w14:textId="1B0637B5" w:rsidR="00740C3C" w:rsidRPr="00025FA9" w:rsidRDefault="006F2D99" w:rsidP="00740C3C">
      <w:pPr>
        <w:numPr>
          <w:ilvl w:val="0"/>
          <w:numId w:val="21"/>
        </w:numPr>
        <w:spacing w:after="200" w:line="276" w:lineRule="auto"/>
        <w:contextualSpacing/>
        <w:jc w:val="both"/>
        <w:rPr>
          <w:rFonts w:asciiTheme="minorHAnsi" w:eastAsia="Calibri" w:hAnsiTheme="minorHAnsi"/>
        </w:rPr>
      </w:pPr>
      <w:r w:rsidRPr="00025FA9">
        <w:rPr>
          <w:rFonts w:asciiTheme="minorHAnsi" w:eastAsia="Calibri" w:hAnsiTheme="minorHAnsi"/>
        </w:rPr>
        <w:t>Pa</w:t>
      </w:r>
      <w:r w:rsidR="00740C3C" w:rsidRPr="00025FA9">
        <w:rPr>
          <w:rFonts w:asciiTheme="minorHAnsi" w:eastAsia="Calibri" w:hAnsiTheme="minorHAnsi"/>
        </w:rPr>
        <w:t>rties to specific transactions;</w:t>
      </w:r>
    </w:p>
    <w:p w14:paraId="08937D91" w14:textId="16F70631" w:rsidR="00740C3C" w:rsidRPr="00025FA9" w:rsidRDefault="006F2D99" w:rsidP="00740C3C">
      <w:pPr>
        <w:numPr>
          <w:ilvl w:val="0"/>
          <w:numId w:val="21"/>
        </w:numPr>
        <w:spacing w:after="200" w:line="276" w:lineRule="auto"/>
        <w:jc w:val="both"/>
        <w:rPr>
          <w:rFonts w:asciiTheme="minorHAnsi" w:eastAsia="Calibri" w:hAnsiTheme="minorHAnsi"/>
        </w:rPr>
      </w:pPr>
      <w:r w:rsidRPr="00025FA9">
        <w:rPr>
          <w:rFonts w:asciiTheme="minorHAnsi" w:eastAsia="Calibri" w:hAnsiTheme="minorHAnsi"/>
        </w:rPr>
        <w:t>P</w:t>
      </w:r>
      <w:r w:rsidR="00740C3C" w:rsidRPr="00025FA9">
        <w:rPr>
          <w:rFonts w:asciiTheme="minorHAnsi" w:eastAsia="Calibri" w:hAnsiTheme="minorHAnsi"/>
        </w:rPr>
        <w:t>rice and number of credits involved with a specific transaction.</w:t>
      </w:r>
    </w:p>
    <w:p w14:paraId="1D44CF70" w14:textId="7242C617" w:rsidR="00740C3C" w:rsidRPr="00025FA9" w:rsidRDefault="00740C3C" w:rsidP="00391A2E">
      <w:pPr>
        <w:spacing w:before="240" w:after="200" w:line="276" w:lineRule="auto"/>
        <w:jc w:val="both"/>
        <w:rPr>
          <w:rFonts w:asciiTheme="minorHAnsi" w:eastAsia="Calibri" w:hAnsiTheme="minorHAnsi"/>
        </w:rPr>
      </w:pPr>
      <w:r w:rsidRPr="00025FA9">
        <w:rPr>
          <w:rFonts w:asciiTheme="minorHAnsi" w:eastAsia="Calibri" w:hAnsiTheme="minorHAnsi"/>
        </w:rPr>
        <w:t xml:space="preserve">There </w:t>
      </w:r>
      <w:r w:rsidR="00391A2E">
        <w:rPr>
          <w:rFonts w:asciiTheme="minorHAnsi" w:eastAsia="Calibri" w:hAnsiTheme="minorHAnsi"/>
        </w:rPr>
        <w:t xml:space="preserve">is </w:t>
      </w:r>
      <w:r w:rsidRPr="00025FA9">
        <w:rPr>
          <w:rFonts w:asciiTheme="minorHAnsi" w:eastAsia="Calibri" w:hAnsiTheme="minorHAnsi"/>
        </w:rPr>
        <w:t>no basis for broad public disclosure of the names and contact information of private persons, particularly when they are acting simply in an administrative role for a private organization.  Further, the disclosure of the parties, pricing, types of credits, and number of credits associated with a particular transaction can be damaging to the business interests of regulated parties.  The disclosure of such sensitive information is not consistent with other regulatory programs including the US EPA’s Renewable Fuel Standard.</w:t>
      </w:r>
    </w:p>
    <w:p w14:paraId="73D6B228" w14:textId="1FFD5E25" w:rsidR="00740C3C" w:rsidRPr="00025FA9" w:rsidRDefault="00740C3C" w:rsidP="00740C3C">
      <w:pPr>
        <w:spacing w:after="200" w:line="276" w:lineRule="auto"/>
        <w:jc w:val="both"/>
        <w:rPr>
          <w:rFonts w:asciiTheme="minorHAnsi" w:eastAsia="Calibri" w:hAnsiTheme="minorHAnsi"/>
        </w:rPr>
      </w:pPr>
      <w:r w:rsidRPr="00025FA9">
        <w:rPr>
          <w:rFonts w:asciiTheme="minorHAnsi" w:eastAsia="Calibri" w:hAnsiTheme="minorHAnsi"/>
        </w:rPr>
        <w:t>It should also be noted that, while the regulation allows brokers to facilitate “blind transactions,” the disclosure of data in the Credit Transfer Forms would undermine blind transactions for any transactions where the broker does not first aggregate the credits from multiple buyers or sellers.</w:t>
      </w:r>
      <w:r w:rsidR="00D56B10">
        <w:rPr>
          <w:rFonts w:asciiTheme="minorHAnsi" w:eastAsia="Calibri" w:hAnsiTheme="minorHAnsi"/>
        </w:rPr>
        <w:t xml:space="preserve">  </w:t>
      </w:r>
    </w:p>
    <w:p w14:paraId="0E7DAAC3" w14:textId="5A191006" w:rsidR="00740C3C" w:rsidRDefault="00740C3C" w:rsidP="00740C3C">
      <w:pPr>
        <w:spacing w:after="200" w:line="276" w:lineRule="auto"/>
        <w:jc w:val="both"/>
        <w:rPr>
          <w:rFonts w:eastAsia="Calibri"/>
        </w:rPr>
      </w:pPr>
      <w:r w:rsidRPr="00025FA9">
        <w:rPr>
          <w:rFonts w:asciiTheme="minorHAnsi" w:eastAsia="Calibri" w:hAnsiTheme="minorHAnsi"/>
        </w:rPr>
        <w:t>We urge Staff to retain the Business Confidential protection language in Section 95487(c</w:t>
      </w:r>
      <w:proofErr w:type="gramStart"/>
      <w:r w:rsidRPr="00025FA9">
        <w:rPr>
          <w:rFonts w:asciiTheme="minorHAnsi" w:eastAsia="Calibri" w:hAnsiTheme="minorHAnsi"/>
        </w:rPr>
        <w:t>)(</w:t>
      </w:r>
      <w:proofErr w:type="gramEnd"/>
      <w:r w:rsidRPr="00025FA9">
        <w:rPr>
          <w:rFonts w:asciiTheme="minorHAnsi" w:eastAsia="Calibri" w:hAnsiTheme="minorHAnsi"/>
        </w:rPr>
        <w:t>1)(B).</w:t>
      </w:r>
      <w:r w:rsidR="00D56B10">
        <w:rPr>
          <w:rFonts w:asciiTheme="minorHAnsi" w:eastAsia="Calibri" w:hAnsiTheme="minorHAnsi"/>
        </w:rPr>
        <w:t xml:space="preserve">  </w:t>
      </w:r>
      <w:r w:rsidR="00D56B10">
        <w:rPr>
          <w:rFonts w:eastAsia="Calibri"/>
        </w:rPr>
        <w:t xml:space="preserve">Confidentiality provisions are the industry standard for commodity transactions.  However, we can support providing information for the sole purpose of calculating a published index.  </w:t>
      </w:r>
    </w:p>
    <w:p w14:paraId="060CA2A1" w14:textId="77777777" w:rsidR="00740C3C" w:rsidRPr="00025FA9" w:rsidRDefault="00740C3C" w:rsidP="00740C3C">
      <w:pPr>
        <w:numPr>
          <w:ilvl w:val="0"/>
          <w:numId w:val="20"/>
        </w:numPr>
        <w:spacing w:after="200" w:line="276" w:lineRule="auto"/>
        <w:contextualSpacing/>
        <w:jc w:val="both"/>
        <w:rPr>
          <w:rFonts w:asciiTheme="minorHAnsi" w:eastAsia="Calibri" w:hAnsiTheme="minorHAnsi"/>
          <w:b/>
          <w:sz w:val="24"/>
        </w:rPr>
      </w:pPr>
      <w:r w:rsidRPr="00025FA9">
        <w:rPr>
          <w:rFonts w:asciiTheme="minorHAnsi" w:eastAsia="Calibri" w:hAnsiTheme="minorHAnsi"/>
          <w:b/>
          <w:sz w:val="24"/>
        </w:rPr>
        <w:t>Definition of L-CNG and Bio-L-CNG</w:t>
      </w:r>
    </w:p>
    <w:p w14:paraId="2DC7BF46" w14:textId="02404113" w:rsidR="00740C3C" w:rsidRPr="00025FA9" w:rsidRDefault="00740C3C" w:rsidP="00740C3C">
      <w:pPr>
        <w:spacing w:before="240" w:after="200" w:line="276" w:lineRule="auto"/>
        <w:jc w:val="both"/>
        <w:rPr>
          <w:rFonts w:asciiTheme="minorHAnsi" w:eastAsia="Calibri" w:hAnsiTheme="minorHAnsi"/>
        </w:rPr>
      </w:pPr>
      <w:r w:rsidRPr="00025FA9">
        <w:rPr>
          <w:rFonts w:asciiTheme="minorHAnsi" w:eastAsia="Calibri" w:hAnsiTheme="minorHAnsi"/>
        </w:rPr>
        <w:t>The proposed regulatory text currently defines L-CNG as “LNG that has been liquefied and transported to a dispensing station where it was then re-gasified and compressed to a pressure greater than ambient pressure</w:t>
      </w:r>
      <w:r w:rsidR="00CB0E00" w:rsidRPr="00025FA9">
        <w:rPr>
          <w:rFonts w:asciiTheme="minorHAnsi" w:eastAsia="Calibri" w:hAnsiTheme="minorHAnsi"/>
        </w:rPr>
        <w:t>.</w:t>
      </w:r>
      <w:r w:rsidRPr="00025FA9">
        <w:rPr>
          <w:rFonts w:asciiTheme="minorHAnsi" w:eastAsia="Calibri" w:hAnsiTheme="minorHAnsi"/>
        </w:rPr>
        <w:t>”</w:t>
      </w:r>
    </w:p>
    <w:p w14:paraId="6301B087" w14:textId="1020A934" w:rsidR="00740C3C" w:rsidRPr="00025FA9" w:rsidRDefault="00740C3C" w:rsidP="00740C3C">
      <w:pPr>
        <w:spacing w:after="200" w:line="276" w:lineRule="auto"/>
        <w:jc w:val="both"/>
        <w:rPr>
          <w:rFonts w:asciiTheme="minorHAnsi" w:eastAsia="Calibri" w:hAnsiTheme="minorHAnsi"/>
        </w:rPr>
      </w:pPr>
      <w:r w:rsidRPr="00025FA9">
        <w:rPr>
          <w:rFonts w:asciiTheme="minorHAnsi" w:eastAsia="Calibri" w:hAnsiTheme="minorHAnsi"/>
        </w:rPr>
        <w:t>Similarly, Bio-L-CNG is defined as “biogas-derived biomethane which has been compressed, liquefied, re-gasified, and re-compressed into L-CNG, and has performance characteristics at least equivalent to fossil L-CNG.</w:t>
      </w:r>
      <w:r w:rsidR="00CB0E00" w:rsidRPr="00025FA9">
        <w:rPr>
          <w:rFonts w:asciiTheme="minorHAnsi" w:eastAsia="Calibri" w:hAnsiTheme="minorHAnsi"/>
        </w:rPr>
        <w:t>”</w:t>
      </w:r>
    </w:p>
    <w:p w14:paraId="52DE0B8D" w14:textId="5B5F4B29" w:rsidR="00740C3C" w:rsidRPr="00025FA9" w:rsidRDefault="00740C3C" w:rsidP="00740C3C">
      <w:pPr>
        <w:spacing w:after="200" w:line="276" w:lineRule="auto"/>
        <w:jc w:val="both"/>
        <w:rPr>
          <w:rFonts w:asciiTheme="minorHAnsi" w:eastAsia="Calibri" w:hAnsiTheme="minorHAnsi"/>
        </w:rPr>
      </w:pPr>
      <w:r w:rsidRPr="00025FA9">
        <w:rPr>
          <w:rFonts w:asciiTheme="minorHAnsi" w:eastAsia="Calibri" w:hAnsiTheme="minorHAnsi"/>
        </w:rPr>
        <w:t>In both definitions, it is assumed that L-CNG is created by gasifying LNG and then compressing the resulting gas to pressures suitable for CNG, typically 3,600 psi.  This is not an accurate description for most L-CNG and Bio-L-CNG facilities.  The pumping of liquids to high pressures is much less energy intensive tha</w:t>
      </w:r>
      <w:r w:rsidR="00CB0E00" w:rsidRPr="00025FA9">
        <w:rPr>
          <w:rFonts w:asciiTheme="minorHAnsi" w:eastAsia="Calibri" w:hAnsiTheme="minorHAnsi"/>
        </w:rPr>
        <w:t>n</w:t>
      </w:r>
      <w:r w:rsidRPr="00025FA9">
        <w:rPr>
          <w:rFonts w:asciiTheme="minorHAnsi" w:eastAsia="Calibri" w:hAnsiTheme="minorHAnsi"/>
        </w:rPr>
        <w:t xml:space="preserve"> the </w:t>
      </w:r>
      <w:r w:rsidRPr="00025FA9">
        <w:rPr>
          <w:rFonts w:asciiTheme="minorHAnsi" w:eastAsia="Calibri" w:hAnsiTheme="minorHAnsi"/>
        </w:rPr>
        <w:lastRenderedPageBreak/>
        <w:t xml:space="preserve">compression of gas.  Most L-CNG facilities take advantage of this fact by first pumping LNG to high pressures and then re-gasifying the LNG at pressure, ultimately producing CNG without the need for a gas compression process.  Such a distinction is important because it has a meaningful impact on the carbon intensity for L-CNG fuels.  We note that this issue was raised in our comments submitted to </w:t>
      </w:r>
      <w:r w:rsidR="00F43566" w:rsidRPr="00025FA9">
        <w:rPr>
          <w:rFonts w:asciiTheme="minorHAnsi" w:eastAsia="Calibri" w:hAnsiTheme="minorHAnsi"/>
        </w:rPr>
        <w:t>ARB</w:t>
      </w:r>
      <w:r w:rsidRPr="00025FA9">
        <w:rPr>
          <w:rFonts w:asciiTheme="minorHAnsi" w:eastAsia="Calibri" w:hAnsiTheme="minorHAnsi"/>
        </w:rPr>
        <w:t xml:space="preserve"> on December 15, 2014.  Following that submission, Staff updated the CA-GREET model to reflect the typical operation of L-CNG stations.</w:t>
      </w:r>
    </w:p>
    <w:p w14:paraId="2B6DF844" w14:textId="77777777" w:rsidR="00740C3C" w:rsidRPr="00025FA9" w:rsidRDefault="00740C3C" w:rsidP="00740C3C">
      <w:pPr>
        <w:spacing w:after="200" w:line="276" w:lineRule="auto"/>
        <w:jc w:val="both"/>
        <w:rPr>
          <w:rFonts w:asciiTheme="minorHAnsi" w:eastAsia="Calibri" w:hAnsiTheme="minorHAnsi"/>
        </w:rPr>
      </w:pPr>
      <w:r w:rsidRPr="00025FA9">
        <w:rPr>
          <w:rFonts w:asciiTheme="minorHAnsi" w:eastAsia="Calibri" w:hAnsiTheme="minorHAnsi"/>
        </w:rPr>
        <w:t>We recommend that Staff modify the definition of L-CNG and Bio-L-CNG to be consistent with the processes modeled in CA-GREET 2.0.  Specifically, by eliminating the text asserting that L-CNG and Bio-L-CNG necessarily involve “compression” or “re-compression” of natural gas at the station.</w:t>
      </w:r>
    </w:p>
    <w:p w14:paraId="0583DAC7" w14:textId="37291862" w:rsidR="0049056A" w:rsidRPr="00025FA9" w:rsidRDefault="0049056A" w:rsidP="0049056A">
      <w:pPr>
        <w:numPr>
          <w:ilvl w:val="0"/>
          <w:numId w:val="20"/>
        </w:numPr>
        <w:spacing w:after="200" w:line="276" w:lineRule="auto"/>
        <w:contextualSpacing/>
        <w:jc w:val="both"/>
        <w:rPr>
          <w:rFonts w:asciiTheme="minorHAnsi" w:eastAsia="Calibri" w:hAnsiTheme="minorHAnsi"/>
          <w:b/>
          <w:sz w:val="24"/>
        </w:rPr>
      </w:pPr>
      <w:r w:rsidRPr="00025FA9">
        <w:rPr>
          <w:rFonts w:asciiTheme="minorHAnsi" w:eastAsia="Calibri" w:hAnsiTheme="minorHAnsi"/>
          <w:b/>
          <w:sz w:val="24"/>
        </w:rPr>
        <w:t>Retroactivity</w:t>
      </w:r>
    </w:p>
    <w:p w14:paraId="7CB209C3" w14:textId="6E3529A9" w:rsidR="0049056A" w:rsidRPr="00025FA9" w:rsidRDefault="0049056A" w:rsidP="0049056A">
      <w:pPr>
        <w:spacing w:after="200" w:line="276" w:lineRule="auto"/>
        <w:jc w:val="both"/>
        <w:rPr>
          <w:rFonts w:asciiTheme="minorHAnsi" w:eastAsia="Calibri" w:hAnsiTheme="minorHAnsi"/>
        </w:rPr>
      </w:pPr>
      <w:r w:rsidRPr="00025FA9">
        <w:rPr>
          <w:rFonts w:asciiTheme="minorHAnsi" w:eastAsia="Calibri" w:hAnsiTheme="minorHAnsi"/>
        </w:rPr>
        <w:t>Sec</w:t>
      </w:r>
      <w:r w:rsidR="00776848" w:rsidRPr="00025FA9">
        <w:rPr>
          <w:rFonts w:asciiTheme="minorHAnsi" w:eastAsia="Calibri" w:hAnsiTheme="minorHAnsi"/>
        </w:rPr>
        <w:t>tion 95486(a</w:t>
      </w:r>
      <w:proofErr w:type="gramStart"/>
      <w:r w:rsidR="00776848" w:rsidRPr="00025FA9">
        <w:rPr>
          <w:rFonts w:asciiTheme="minorHAnsi" w:eastAsia="Calibri" w:hAnsiTheme="minorHAnsi"/>
        </w:rPr>
        <w:t>)(</w:t>
      </w:r>
      <w:proofErr w:type="gramEnd"/>
      <w:r w:rsidR="00776848" w:rsidRPr="00025FA9">
        <w:rPr>
          <w:rFonts w:asciiTheme="minorHAnsi" w:eastAsia="Calibri" w:hAnsiTheme="minorHAnsi"/>
        </w:rPr>
        <w:t>2) limits the generation of retroactive credits to a maximum of two quarters; the quarter in which the complete application was submitted and the quarter in which the Executive Officer approves the application.  Exceptions are made for provisional credits generated during the period that the applicant is accruing two years of operational data.</w:t>
      </w:r>
    </w:p>
    <w:p w14:paraId="2EE04EA0" w14:textId="1D779D19" w:rsidR="00776848" w:rsidRPr="00025FA9" w:rsidRDefault="00776848" w:rsidP="0049056A">
      <w:pPr>
        <w:spacing w:after="200" w:line="276" w:lineRule="auto"/>
        <w:jc w:val="both"/>
        <w:rPr>
          <w:rFonts w:asciiTheme="minorHAnsi" w:eastAsia="Calibri" w:hAnsiTheme="minorHAnsi"/>
        </w:rPr>
      </w:pPr>
      <w:r w:rsidRPr="00025FA9">
        <w:rPr>
          <w:rFonts w:asciiTheme="minorHAnsi" w:eastAsia="Calibri" w:hAnsiTheme="minorHAnsi"/>
        </w:rPr>
        <w:t xml:space="preserve">While the two-quarter limit on retroactive credit generation appears reasonable, it is predicated on the assumption that the Executive Officer will approve a complete application by the end of the quarter following submission of the application.  </w:t>
      </w:r>
      <w:r w:rsidR="00F21D67" w:rsidRPr="00025FA9">
        <w:rPr>
          <w:rFonts w:asciiTheme="minorHAnsi" w:eastAsia="Calibri" w:hAnsiTheme="minorHAnsi"/>
        </w:rPr>
        <w:t>Considering</w:t>
      </w:r>
      <w:r w:rsidRPr="00025FA9">
        <w:rPr>
          <w:rFonts w:asciiTheme="minorHAnsi" w:eastAsia="Calibri" w:hAnsiTheme="minorHAnsi"/>
        </w:rPr>
        <w:t xml:space="preserve"> that Staff acknowledge the likelihood of significant delays in application processing during 2016, and in light of the proposed elimination of the 60-day and 15-day review deadlines discussed in item 3 above, we believe that retroactivity should not be constrained by a two-quarter limit.  Specifically, we propose that retroac</w:t>
      </w:r>
      <w:r w:rsidR="00404916" w:rsidRPr="00025FA9">
        <w:rPr>
          <w:rFonts w:asciiTheme="minorHAnsi" w:eastAsia="Calibri" w:hAnsiTheme="minorHAnsi"/>
        </w:rPr>
        <w:t xml:space="preserve">tive credit generation should </w:t>
      </w:r>
      <w:r w:rsidRPr="00025FA9">
        <w:rPr>
          <w:rFonts w:asciiTheme="minorHAnsi" w:eastAsia="Calibri" w:hAnsiTheme="minorHAnsi"/>
        </w:rPr>
        <w:t xml:space="preserve">apply from the quarter the applicant submits a completed application or demonstration to the quarter in which the Executive Officer approves the application or demonstration.  </w:t>
      </w:r>
      <w:r w:rsidR="00404916" w:rsidRPr="00025FA9">
        <w:rPr>
          <w:rFonts w:asciiTheme="minorHAnsi" w:eastAsia="Calibri" w:hAnsiTheme="minorHAnsi"/>
        </w:rPr>
        <w:t>Hence, if the approval of the application or demonstration by the Executive Officer requires more than one quarter, the applicant does not lose credits due to delays outside the applicant’s control.</w:t>
      </w:r>
    </w:p>
    <w:p w14:paraId="10D29B68" w14:textId="7FDA569B" w:rsidR="00F21D67" w:rsidRDefault="00F9638B" w:rsidP="0049056A">
      <w:pPr>
        <w:spacing w:after="200" w:line="276" w:lineRule="auto"/>
        <w:jc w:val="both"/>
        <w:rPr>
          <w:rFonts w:asciiTheme="minorHAnsi" w:eastAsia="Calibri" w:hAnsiTheme="minorHAnsi"/>
        </w:rPr>
      </w:pPr>
      <w:r w:rsidRPr="00025FA9">
        <w:rPr>
          <w:rFonts w:asciiTheme="minorHAnsi" w:eastAsia="Calibri" w:hAnsiTheme="minorHAnsi"/>
        </w:rPr>
        <w:t xml:space="preserve">This </w:t>
      </w:r>
      <w:r w:rsidR="00F21D67" w:rsidRPr="00025FA9">
        <w:rPr>
          <w:rFonts w:asciiTheme="minorHAnsi" w:eastAsia="Calibri" w:hAnsiTheme="minorHAnsi"/>
        </w:rPr>
        <w:t xml:space="preserve">proposed change is </w:t>
      </w:r>
      <w:r w:rsidRPr="00025FA9">
        <w:rPr>
          <w:rFonts w:asciiTheme="minorHAnsi" w:eastAsia="Calibri" w:hAnsiTheme="minorHAnsi"/>
        </w:rPr>
        <w:t xml:space="preserve">both </w:t>
      </w:r>
      <w:r w:rsidR="00F21D67" w:rsidRPr="00025FA9">
        <w:rPr>
          <w:rFonts w:asciiTheme="minorHAnsi" w:eastAsia="Calibri" w:hAnsiTheme="minorHAnsi"/>
        </w:rPr>
        <w:t>reasonable and important</w:t>
      </w:r>
      <w:r w:rsidRPr="00025FA9">
        <w:rPr>
          <w:rFonts w:asciiTheme="minorHAnsi" w:eastAsia="Calibri" w:hAnsiTheme="minorHAnsi"/>
        </w:rPr>
        <w:t>.  However</w:t>
      </w:r>
      <w:r w:rsidR="00F21D67" w:rsidRPr="00025FA9">
        <w:rPr>
          <w:rFonts w:asciiTheme="minorHAnsi" w:eastAsia="Calibri" w:hAnsiTheme="minorHAnsi"/>
        </w:rPr>
        <w:t xml:space="preserve">, we do not believe it is worth delaying the adoption of the LCFS, provided that </w:t>
      </w:r>
      <w:r w:rsidR="0088534D" w:rsidRPr="00025FA9">
        <w:rPr>
          <w:rFonts w:asciiTheme="minorHAnsi" w:eastAsia="Calibri" w:hAnsiTheme="minorHAnsi"/>
        </w:rPr>
        <w:t xml:space="preserve">Staff </w:t>
      </w:r>
      <w:r w:rsidR="00F21D67" w:rsidRPr="00025FA9">
        <w:rPr>
          <w:rFonts w:asciiTheme="minorHAnsi" w:eastAsia="Calibri" w:hAnsiTheme="minorHAnsi"/>
        </w:rPr>
        <w:t>ensure</w:t>
      </w:r>
      <w:r w:rsidR="0088534D" w:rsidRPr="00025FA9">
        <w:rPr>
          <w:rFonts w:asciiTheme="minorHAnsi" w:eastAsia="Calibri" w:hAnsiTheme="minorHAnsi"/>
        </w:rPr>
        <w:t>s</w:t>
      </w:r>
      <w:r w:rsidR="00F21D67" w:rsidRPr="00025FA9">
        <w:rPr>
          <w:rFonts w:asciiTheme="minorHAnsi" w:eastAsia="Calibri" w:hAnsiTheme="minorHAnsi"/>
        </w:rPr>
        <w:t xml:space="preserve"> </w:t>
      </w:r>
      <w:r w:rsidR="0088534D" w:rsidRPr="00025FA9">
        <w:rPr>
          <w:rFonts w:asciiTheme="minorHAnsi" w:eastAsia="Calibri" w:hAnsiTheme="minorHAnsi"/>
        </w:rPr>
        <w:t xml:space="preserve">the </w:t>
      </w:r>
      <w:r w:rsidR="00F21D67" w:rsidRPr="00025FA9">
        <w:rPr>
          <w:rFonts w:asciiTheme="minorHAnsi" w:eastAsia="Calibri" w:hAnsiTheme="minorHAnsi"/>
        </w:rPr>
        <w:t>timely review of applications as noted in our comments under Item 3, above.  Instead, we strongly urge Staff to consider making this change in a future update to the LCFS, retain the 60-day and 15-day deadlines for review in the current rulemaking</w:t>
      </w:r>
      <w:r w:rsidR="00D56B10">
        <w:rPr>
          <w:rFonts w:asciiTheme="minorHAnsi" w:eastAsia="Calibri" w:hAnsiTheme="minorHAnsi"/>
        </w:rPr>
        <w:t xml:space="preserve"> (or alternative reasonable timeline with a firm deadline)</w:t>
      </w:r>
      <w:r w:rsidR="00F21D67" w:rsidRPr="00025FA9">
        <w:rPr>
          <w:rFonts w:asciiTheme="minorHAnsi" w:eastAsia="Calibri" w:hAnsiTheme="minorHAnsi"/>
        </w:rPr>
        <w:t xml:space="preserve">, and ensure that </w:t>
      </w:r>
      <w:r w:rsidR="0088534D" w:rsidRPr="00025FA9">
        <w:rPr>
          <w:rFonts w:asciiTheme="minorHAnsi" w:eastAsia="Calibri" w:hAnsiTheme="minorHAnsi"/>
        </w:rPr>
        <w:t xml:space="preserve">the </w:t>
      </w:r>
      <w:r w:rsidR="00F21D67" w:rsidRPr="00025FA9">
        <w:rPr>
          <w:rFonts w:asciiTheme="minorHAnsi" w:eastAsia="Calibri" w:hAnsiTheme="minorHAnsi"/>
        </w:rPr>
        <w:t xml:space="preserve">LCFS </w:t>
      </w:r>
      <w:r w:rsidR="0088534D" w:rsidRPr="00025FA9">
        <w:rPr>
          <w:rFonts w:asciiTheme="minorHAnsi" w:eastAsia="Calibri" w:hAnsiTheme="minorHAnsi"/>
        </w:rPr>
        <w:t>program</w:t>
      </w:r>
      <w:r w:rsidR="00F21D67" w:rsidRPr="00025FA9">
        <w:rPr>
          <w:rFonts w:asciiTheme="minorHAnsi" w:eastAsia="Calibri" w:hAnsiTheme="minorHAnsi"/>
        </w:rPr>
        <w:t xml:space="preserve"> has sufficient resources to provide timely review of applications.  </w:t>
      </w:r>
    </w:p>
    <w:p w14:paraId="38CD05A1" w14:textId="3A8F354A" w:rsidR="00F9638B" w:rsidRPr="00025FA9" w:rsidRDefault="00F9638B" w:rsidP="00F9638B">
      <w:pPr>
        <w:pStyle w:val="ListParagraph"/>
        <w:numPr>
          <w:ilvl w:val="0"/>
          <w:numId w:val="23"/>
        </w:numPr>
        <w:jc w:val="both"/>
        <w:rPr>
          <w:rFonts w:asciiTheme="minorHAnsi" w:hAnsiTheme="minorHAnsi"/>
          <w:sz w:val="28"/>
        </w:rPr>
      </w:pPr>
      <w:r w:rsidRPr="00025FA9">
        <w:rPr>
          <w:rFonts w:asciiTheme="minorHAnsi" w:hAnsiTheme="minorHAnsi"/>
          <w:sz w:val="28"/>
        </w:rPr>
        <w:t>Comments on CA-GREET Model Update</w:t>
      </w:r>
    </w:p>
    <w:p w14:paraId="2C5DC602" w14:textId="77777777" w:rsidR="00F9638B" w:rsidRPr="00025FA9" w:rsidRDefault="00F9638B" w:rsidP="00F9638B">
      <w:pPr>
        <w:jc w:val="both"/>
        <w:rPr>
          <w:rFonts w:asciiTheme="minorHAnsi" w:hAnsiTheme="minorHAnsi"/>
        </w:rPr>
      </w:pPr>
    </w:p>
    <w:p w14:paraId="3C2035D0" w14:textId="12AAADBA" w:rsidR="002C5DA6" w:rsidRPr="00025FA9" w:rsidRDefault="002C5DA6" w:rsidP="00740C3C">
      <w:pPr>
        <w:spacing w:after="200" w:line="276" w:lineRule="auto"/>
        <w:jc w:val="both"/>
        <w:rPr>
          <w:rFonts w:asciiTheme="minorHAnsi" w:eastAsia="Calibri" w:hAnsiTheme="minorHAnsi"/>
        </w:rPr>
      </w:pPr>
      <w:r w:rsidRPr="00025FA9">
        <w:rPr>
          <w:rFonts w:asciiTheme="minorHAnsi" w:eastAsia="Calibri" w:hAnsiTheme="minorHAnsi"/>
        </w:rPr>
        <w:t xml:space="preserve">We would like to thank Staff for their efforts to address our concerns related to the draft CA-GREET 2.0 model over the last nine months.  </w:t>
      </w:r>
      <w:r w:rsidR="000D63BB" w:rsidRPr="00025FA9">
        <w:rPr>
          <w:rFonts w:asciiTheme="minorHAnsi" w:eastAsia="Calibri" w:hAnsiTheme="minorHAnsi"/>
        </w:rPr>
        <w:t>The</w:t>
      </w:r>
      <w:r w:rsidR="00BD2711" w:rsidRPr="00025FA9">
        <w:rPr>
          <w:rFonts w:asciiTheme="minorHAnsi" w:eastAsia="Calibri" w:hAnsiTheme="minorHAnsi"/>
        </w:rPr>
        <w:t>se</w:t>
      </w:r>
      <w:r w:rsidR="000D63BB" w:rsidRPr="00025FA9">
        <w:rPr>
          <w:rFonts w:asciiTheme="minorHAnsi" w:eastAsia="Calibri" w:hAnsiTheme="minorHAnsi"/>
        </w:rPr>
        <w:t xml:space="preserve"> interactions have resulted in important improvements to the model.</w:t>
      </w:r>
      <w:r w:rsidR="00205F65" w:rsidRPr="00025FA9">
        <w:rPr>
          <w:rFonts w:asciiTheme="minorHAnsi" w:eastAsia="Calibri" w:hAnsiTheme="minorHAnsi"/>
        </w:rPr>
        <w:t xml:space="preserve">  </w:t>
      </w:r>
    </w:p>
    <w:p w14:paraId="0718EB7C" w14:textId="1F9D590F" w:rsidR="00B272B0" w:rsidRPr="00025FA9" w:rsidRDefault="008F581F" w:rsidP="00740C3C">
      <w:pPr>
        <w:spacing w:after="200" w:line="276" w:lineRule="auto"/>
        <w:jc w:val="both"/>
        <w:rPr>
          <w:rFonts w:asciiTheme="minorHAnsi" w:eastAsia="Calibri" w:hAnsiTheme="minorHAnsi"/>
        </w:rPr>
      </w:pPr>
      <w:r w:rsidRPr="00025FA9">
        <w:rPr>
          <w:rFonts w:asciiTheme="minorHAnsi" w:eastAsia="Calibri" w:hAnsiTheme="minorHAnsi"/>
        </w:rPr>
        <w:t xml:space="preserve">In the latest draft of CA-GREET, Staff incorporated estimates of </w:t>
      </w:r>
      <w:r w:rsidR="00861189" w:rsidRPr="00025FA9">
        <w:rPr>
          <w:rFonts w:asciiTheme="minorHAnsi" w:eastAsia="Calibri" w:hAnsiTheme="minorHAnsi"/>
        </w:rPr>
        <w:t xml:space="preserve">Tank to Wheels (TTW) </w:t>
      </w:r>
      <w:r w:rsidRPr="00025FA9">
        <w:rPr>
          <w:rFonts w:asciiTheme="minorHAnsi" w:eastAsia="Calibri" w:hAnsiTheme="minorHAnsi"/>
        </w:rPr>
        <w:t xml:space="preserve">methane and nitrous oxide emissions from natural gas vehicles, based on a recent whitepaper from Argonne National Laboratory </w:t>
      </w:r>
      <w:r w:rsidRPr="00025FA9">
        <w:rPr>
          <w:rFonts w:asciiTheme="minorHAnsi" w:eastAsia="Calibri" w:hAnsiTheme="minorHAnsi"/>
        </w:rPr>
        <w:lastRenderedPageBreak/>
        <w:t>(ANL).</w:t>
      </w:r>
      <w:r w:rsidRPr="00025FA9">
        <w:rPr>
          <w:rStyle w:val="FootnoteReference"/>
          <w:rFonts w:asciiTheme="minorHAnsi" w:eastAsia="Calibri" w:hAnsiTheme="minorHAnsi"/>
        </w:rPr>
        <w:footnoteReference w:id="2"/>
      </w:r>
      <w:r w:rsidRPr="00025FA9">
        <w:rPr>
          <w:rFonts w:asciiTheme="minorHAnsi" w:eastAsia="Calibri" w:hAnsiTheme="minorHAnsi"/>
        </w:rPr>
        <w:t xml:space="preserve">  The whitepaper provides estimated emissions for various vehicle types and applications, including combination long haul trucks, combination short haul trucks, refuse trucks, buses, heavy duty trucks and vans, and medium duty vehicles.  Staff rely on the emissions rates in the ANL report, combined with estimates of the composition of the </w:t>
      </w:r>
      <w:r w:rsidR="00B272B0" w:rsidRPr="00025FA9">
        <w:rPr>
          <w:rFonts w:asciiTheme="minorHAnsi" w:eastAsia="Calibri" w:hAnsiTheme="minorHAnsi"/>
        </w:rPr>
        <w:t xml:space="preserve">natural gas vehicle fleet, to calculate fleet-averaged </w:t>
      </w:r>
      <w:r w:rsidR="00861189" w:rsidRPr="00025FA9">
        <w:rPr>
          <w:rFonts w:asciiTheme="minorHAnsi" w:eastAsia="Calibri" w:hAnsiTheme="minorHAnsi"/>
        </w:rPr>
        <w:t xml:space="preserve">TTW </w:t>
      </w:r>
      <w:r w:rsidR="00B272B0" w:rsidRPr="00025FA9">
        <w:rPr>
          <w:rFonts w:asciiTheme="minorHAnsi" w:eastAsia="Calibri" w:hAnsiTheme="minorHAnsi"/>
        </w:rPr>
        <w:t xml:space="preserve">emissions rates for CNG and LNG.  </w:t>
      </w:r>
    </w:p>
    <w:p w14:paraId="29ED5EE6" w14:textId="70F8C56B" w:rsidR="00B272B0" w:rsidRPr="00025FA9" w:rsidRDefault="00B272B0" w:rsidP="00740C3C">
      <w:pPr>
        <w:spacing w:after="200" w:line="276" w:lineRule="auto"/>
        <w:jc w:val="both"/>
        <w:rPr>
          <w:rFonts w:asciiTheme="minorHAnsi" w:eastAsia="Calibri" w:hAnsiTheme="minorHAnsi"/>
        </w:rPr>
      </w:pPr>
      <w:r w:rsidRPr="00025FA9">
        <w:rPr>
          <w:rFonts w:asciiTheme="minorHAnsi" w:eastAsia="Calibri" w:hAnsiTheme="minorHAnsi"/>
        </w:rPr>
        <w:t xml:space="preserve">The emissions rates calculated by ARB staff are not insignificant.  As shown in </w:t>
      </w:r>
      <w:r w:rsidRPr="00025FA9">
        <w:rPr>
          <w:rFonts w:asciiTheme="minorHAnsi" w:eastAsia="Calibri" w:hAnsiTheme="minorHAnsi"/>
        </w:rPr>
        <w:fldChar w:fldCharType="begin"/>
      </w:r>
      <w:r w:rsidRPr="00025FA9">
        <w:rPr>
          <w:rFonts w:asciiTheme="minorHAnsi" w:eastAsia="Calibri" w:hAnsiTheme="minorHAnsi"/>
        </w:rPr>
        <w:instrText xml:space="preserve"> REF _Ref422154700 \h </w:instrText>
      </w:r>
      <w:r w:rsidR="00025FA9">
        <w:rPr>
          <w:rFonts w:asciiTheme="minorHAnsi" w:eastAsia="Calibri" w:hAnsiTheme="minorHAnsi"/>
        </w:rPr>
        <w:instrText xml:space="preserve"> \* MERGEFORMAT </w:instrText>
      </w:r>
      <w:r w:rsidRPr="00025FA9">
        <w:rPr>
          <w:rFonts w:asciiTheme="minorHAnsi" w:eastAsia="Calibri" w:hAnsiTheme="minorHAnsi"/>
        </w:rPr>
      </w:r>
      <w:r w:rsidRPr="00025FA9">
        <w:rPr>
          <w:rFonts w:asciiTheme="minorHAnsi" w:eastAsia="Calibri" w:hAnsiTheme="minorHAnsi"/>
        </w:rPr>
        <w:fldChar w:fldCharType="separate"/>
      </w:r>
      <w:r w:rsidRPr="00025FA9">
        <w:rPr>
          <w:rFonts w:asciiTheme="minorHAnsi" w:hAnsiTheme="minorHAnsi"/>
        </w:rPr>
        <w:t xml:space="preserve">Table </w:t>
      </w:r>
      <w:r w:rsidRPr="00025FA9">
        <w:rPr>
          <w:rFonts w:asciiTheme="minorHAnsi" w:hAnsiTheme="minorHAnsi"/>
          <w:noProof/>
        </w:rPr>
        <w:t>1</w:t>
      </w:r>
      <w:r w:rsidRPr="00025FA9">
        <w:rPr>
          <w:rFonts w:asciiTheme="minorHAnsi" w:eastAsia="Calibri" w:hAnsiTheme="minorHAnsi"/>
        </w:rPr>
        <w:fldChar w:fldCharType="end"/>
      </w:r>
      <w:r w:rsidRPr="00025FA9">
        <w:rPr>
          <w:rFonts w:asciiTheme="minorHAnsi" w:eastAsia="Calibri" w:hAnsiTheme="minorHAnsi"/>
        </w:rPr>
        <w:t xml:space="preserve">, ARB assumes that the fleet-averaged </w:t>
      </w:r>
      <w:r w:rsidR="00736D21" w:rsidRPr="00025FA9">
        <w:rPr>
          <w:rFonts w:asciiTheme="minorHAnsi" w:eastAsia="Calibri" w:hAnsiTheme="minorHAnsi"/>
        </w:rPr>
        <w:t>emissions of methane and nitrous oxide for CNG and LNG vehicles are</w:t>
      </w:r>
      <w:r w:rsidRPr="00025FA9">
        <w:rPr>
          <w:rFonts w:asciiTheme="minorHAnsi" w:eastAsia="Calibri" w:hAnsiTheme="minorHAnsi"/>
        </w:rPr>
        <w:t xml:space="preserve"> 4.90-4.91 gCO2e/MJ.  This represents a 6% increase in pathway emissions for CNG and LNG from fossil sources, and potentially more than 25% of emissions from renewable natural gas pathways.  However, as shown, emissions from some vehicle types are much lower than the calculated fleet average.  </w:t>
      </w:r>
    </w:p>
    <w:p w14:paraId="6649B40F" w14:textId="58D20D96" w:rsidR="00B272B0" w:rsidRPr="00025FA9" w:rsidRDefault="00B272B0" w:rsidP="00205F65">
      <w:pPr>
        <w:pStyle w:val="Caption"/>
        <w:keepNext/>
        <w:spacing w:after="0"/>
        <w:jc w:val="center"/>
        <w:rPr>
          <w:rFonts w:asciiTheme="minorHAnsi" w:hAnsiTheme="minorHAnsi"/>
          <w:color w:val="auto"/>
          <w:sz w:val="22"/>
        </w:rPr>
      </w:pPr>
      <w:bookmarkStart w:id="1" w:name="_Ref422154700"/>
      <w:r w:rsidRPr="00025FA9">
        <w:rPr>
          <w:rFonts w:asciiTheme="minorHAnsi" w:hAnsiTheme="minorHAnsi"/>
          <w:color w:val="auto"/>
          <w:sz w:val="22"/>
        </w:rPr>
        <w:t xml:space="preserve">Table </w:t>
      </w:r>
      <w:r w:rsidRPr="00025FA9">
        <w:rPr>
          <w:rFonts w:asciiTheme="minorHAnsi" w:hAnsiTheme="minorHAnsi"/>
          <w:color w:val="auto"/>
          <w:sz w:val="22"/>
        </w:rPr>
        <w:fldChar w:fldCharType="begin"/>
      </w:r>
      <w:r w:rsidRPr="00025FA9">
        <w:rPr>
          <w:rFonts w:asciiTheme="minorHAnsi" w:hAnsiTheme="minorHAnsi"/>
          <w:color w:val="auto"/>
          <w:sz w:val="22"/>
        </w:rPr>
        <w:instrText xml:space="preserve"> SEQ Table \* ARABIC </w:instrText>
      </w:r>
      <w:r w:rsidRPr="00025FA9">
        <w:rPr>
          <w:rFonts w:asciiTheme="minorHAnsi" w:hAnsiTheme="minorHAnsi"/>
          <w:color w:val="auto"/>
          <w:sz w:val="22"/>
        </w:rPr>
        <w:fldChar w:fldCharType="separate"/>
      </w:r>
      <w:r w:rsidRPr="00025FA9">
        <w:rPr>
          <w:rFonts w:asciiTheme="minorHAnsi" w:hAnsiTheme="minorHAnsi"/>
          <w:noProof/>
          <w:color w:val="auto"/>
          <w:sz w:val="22"/>
        </w:rPr>
        <w:t>1</w:t>
      </w:r>
      <w:r w:rsidRPr="00025FA9">
        <w:rPr>
          <w:rFonts w:asciiTheme="minorHAnsi" w:hAnsiTheme="minorHAnsi"/>
          <w:color w:val="auto"/>
          <w:sz w:val="22"/>
        </w:rPr>
        <w:fldChar w:fldCharType="end"/>
      </w:r>
      <w:bookmarkEnd w:id="1"/>
      <w:r w:rsidRPr="00025FA9">
        <w:rPr>
          <w:rFonts w:asciiTheme="minorHAnsi" w:hAnsiTheme="minorHAnsi"/>
          <w:color w:val="auto"/>
          <w:sz w:val="22"/>
        </w:rPr>
        <w:t>.  Non-CO2 GHG emissions assumptions for natural gas vehicles</w:t>
      </w:r>
    </w:p>
    <w:tbl>
      <w:tblPr>
        <w:tblW w:w="0" w:type="auto"/>
        <w:jc w:val="center"/>
        <w:tblCellMar>
          <w:left w:w="0" w:type="dxa"/>
          <w:right w:w="0" w:type="dxa"/>
        </w:tblCellMar>
        <w:tblLook w:val="04A0" w:firstRow="1" w:lastRow="0" w:firstColumn="1" w:lastColumn="0" w:noHBand="0" w:noVBand="1"/>
      </w:tblPr>
      <w:tblGrid>
        <w:gridCol w:w="3363"/>
        <w:gridCol w:w="3308"/>
      </w:tblGrid>
      <w:tr w:rsidR="00B272B0" w:rsidRPr="00025FA9" w14:paraId="47301D7A" w14:textId="77777777" w:rsidTr="00205F65">
        <w:trPr>
          <w:trHeight w:val="475"/>
          <w:jc w:val="center"/>
        </w:trPr>
        <w:tc>
          <w:tcPr>
            <w:tcW w:w="3363" w:type="dxa"/>
            <w:tcBorders>
              <w:top w:val="single" w:sz="8" w:space="0" w:color="auto"/>
              <w:left w:val="single" w:sz="8" w:space="0" w:color="auto"/>
              <w:bottom w:val="single" w:sz="8" w:space="0" w:color="auto"/>
              <w:right w:val="single" w:sz="8" w:space="0" w:color="auto"/>
            </w:tcBorders>
            <w:shd w:val="clear" w:color="auto" w:fill="1F497D" w:themeFill="text2"/>
            <w:tcMar>
              <w:top w:w="0" w:type="dxa"/>
              <w:left w:w="108" w:type="dxa"/>
              <w:bottom w:w="0" w:type="dxa"/>
              <w:right w:w="108" w:type="dxa"/>
            </w:tcMar>
            <w:vAlign w:val="bottom"/>
          </w:tcPr>
          <w:p w14:paraId="2F8D7475" w14:textId="1BE7BDAB" w:rsidR="00B272B0" w:rsidRPr="00025FA9" w:rsidRDefault="00B272B0" w:rsidP="00B272B0">
            <w:pPr>
              <w:jc w:val="right"/>
              <w:rPr>
                <w:rFonts w:asciiTheme="minorHAnsi" w:hAnsiTheme="minorHAnsi"/>
                <w:b/>
                <w:color w:val="FFFFFF" w:themeColor="background1"/>
              </w:rPr>
            </w:pPr>
            <w:r w:rsidRPr="00025FA9">
              <w:rPr>
                <w:rFonts w:asciiTheme="minorHAnsi" w:hAnsiTheme="minorHAnsi"/>
                <w:b/>
                <w:color w:val="FFFFFF" w:themeColor="background1"/>
              </w:rPr>
              <w:t>Vehicle Type</w:t>
            </w:r>
          </w:p>
        </w:tc>
        <w:tc>
          <w:tcPr>
            <w:tcW w:w="3308" w:type="dxa"/>
            <w:tcBorders>
              <w:top w:val="single" w:sz="8" w:space="0" w:color="auto"/>
              <w:left w:val="nil"/>
              <w:bottom w:val="single" w:sz="8" w:space="0" w:color="auto"/>
              <w:right w:val="single" w:sz="8" w:space="0" w:color="auto"/>
            </w:tcBorders>
            <w:shd w:val="clear" w:color="auto" w:fill="1F497D" w:themeFill="text2"/>
            <w:tcMar>
              <w:top w:w="0" w:type="dxa"/>
              <w:left w:w="108" w:type="dxa"/>
              <w:bottom w:w="0" w:type="dxa"/>
              <w:right w:w="108" w:type="dxa"/>
            </w:tcMar>
            <w:vAlign w:val="bottom"/>
          </w:tcPr>
          <w:p w14:paraId="60B97E53" w14:textId="246415A0" w:rsidR="00B272B0" w:rsidRPr="00025FA9" w:rsidRDefault="00B272B0" w:rsidP="00B272B0">
            <w:pPr>
              <w:rPr>
                <w:rFonts w:asciiTheme="minorHAnsi" w:hAnsiTheme="minorHAnsi"/>
                <w:b/>
                <w:color w:val="FFFFFF" w:themeColor="background1"/>
              </w:rPr>
            </w:pPr>
            <w:r w:rsidRPr="00025FA9">
              <w:rPr>
                <w:rFonts w:asciiTheme="minorHAnsi" w:hAnsiTheme="minorHAnsi"/>
                <w:b/>
                <w:color w:val="FFFFFF" w:themeColor="background1"/>
              </w:rPr>
              <w:t>Non-CO2 vehicle emissions</w:t>
            </w:r>
          </w:p>
        </w:tc>
      </w:tr>
      <w:tr w:rsidR="00B272B0" w:rsidRPr="00025FA9" w14:paraId="12805B1A" w14:textId="77777777" w:rsidTr="00205F65">
        <w:trPr>
          <w:jc w:val="center"/>
        </w:trPr>
        <w:tc>
          <w:tcPr>
            <w:tcW w:w="336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CFDBE42" w14:textId="77777777" w:rsidR="00B272B0" w:rsidRPr="00025FA9" w:rsidRDefault="00B272B0" w:rsidP="00B272B0">
            <w:pPr>
              <w:jc w:val="right"/>
              <w:rPr>
                <w:rFonts w:asciiTheme="minorHAnsi" w:hAnsiTheme="minorHAnsi"/>
                <w:b/>
              </w:rPr>
            </w:pPr>
            <w:r w:rsidRPr="00025FA9">
              <w:rPr>
                <w:rFonts w:asciiTheme="minorHAnsi" w:hAnsiTheme="minorHAnsi"/>
                <w:b/>
              </w:rPr>
              <w:t>ARB CNG Fleet Average</w:t>
            </w:r>
          </w:p>
        </w:tc>
        <w:tc>
          <w:tcPr>
            <w:tcW w:w="33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8E89B" w14:textId="77777777" w:rsidR="00B272B0" w:rsidRPr="00025FA9" w:rsidRDefault="00B272B0">
            <w:pPr>
              <w:rPr>
                <w:rFonts w:asciiTheme="minorHAnsi" w:hAnsiTheme="minorHAnsi"/>
              </w:rPr>
            </w:pPr>
            <w:r w:rsidRPr="00025FA9">
              <w:rPr>
                <w:rFonts w:asciiTheme="minorHAnsi" w:hAnsiTheme="minorHAnsi"/>
              </w:rPr>
              <w:t>4.90 gCO2e/MJ</w:t>
            </w:r>
          </w:p>
        </w:tc>
      </w:tr>
      <w:tr w:rsidR="00B272B0" w:rsidRPr="00025FA9" w14:paraId="07D25582" w14:textId="77777777" w:rsidTr="00205F65">
        <w:trPr>
          <w:jc w:val="center"/>
        </w:trPr>
        <w:tc>
          <w:tcPr>
            <w:tcW w:w="3363"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133B149" w14:textId="77777777" w:rsidR="00B272B0" w:rsidRPr="00025FA9" w:rsidRDefault="00B272B0" w:rsidP="00B272B0">
            <w:pPr>
              <w:jc w:val="right"/>
              <w:rPr>
                <w:rFonts w:asciiTheme="minorHAnsi" w:hAnsiTheme="minorHAnsi"/>
                <w:b/>
              </w:rPr>
            </w:pPr>
            <w:r w:rsidRPr="00025FA9">
              <w:rPr>
                <w:rFonts w:asciiTheme="minorHAnsi" w:hAnsiTheme="minorHAnsi"/>
                <w:b/>
              </w:rPr>
              <w:t>Light-Duty/Medium Duty</w:t>
            </w: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14:paraId="17252A3E" w14:textId="77777777" w:rsidR="00B272B0" w:rsidRPr="00025FA9" w:rsidRDefault="00B272B0">
            <w:pPr>
              <w:rPr>
                <w:rFonts w:asciiTheme="minorHAnsi" w:hAnsiTheme="minorHAnsi"/>
              </w:rPr>
            </w:pPr>
            <w:r w:rsidRPr="00025FA9">
              <w:rPr>
                <w:rFonts w:asciiTheme="minorHAnsi" w:hAnsiTheme="minorHAnsi"/>
              </w:rPr>
              <w:t>0.99 gCO2e/MJ</w:t>
            </w:r>
          </w:p>
        </w:tc>
      </w:tr>
      <w:tr w:rsidR="00B272B0" w:rsidRPr="00025FA9" w14:paraId="31D665CC" w14:textId="77777777" w:rsidTr="00205F65">
        <w:trPr>
          <w:jc w:val="center"/>
        </w:trPr>
        <w:tc>
          <w:tcPr>
            <w:tcW w:w="3363"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B270C8F" w14:textId="77777777" w:rsidR="00B272B0" w:rsidRPr="00025FA9" w:rsidRDefault="00B272B0" w:rsidP="00B272B0">
            <w:pPr>
              <w:jc w:val="right"/>
              <w:rPr>
                <w:rFonts w:asciiTheme="minorHAnsi" w:hAnsiTheme="minorHAnsi"/>
                <w:b/>
              </w:rPr>
            </w:pPr>
            <w:r w:rsidRPr="00025FA9">
              <w:rPr>
                <w:rFonts w:asciiTheme="minorHAnsi" w:hAnsiTheme="minorHAnsi"/>
                <w:b/>
              </w:rPr>
              <w:t>Heavy-Duty Class 8b</w:t>
            </w: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14:paraId="1419837F" w14:textId="77777777" w:rsidR="00B272B0" w:rsidRPr="00025FA9" w:rsidRDefault="00B272B0">
            <w:pPr>
              <w:rPr>
                <w:rFonts w:asciiTheme="minorHAnsi" w:hAnsiTheme="minorHAnsi"/>
              </w:rPr>
            </w:pPr>
            <w:r w:rsidRPr="00025FA9">
              <w:rPr>
                <w:rFonts w:asciiTheme="minorHAnsi" w:hAnsiTheme="minorHAnsi"/>
              </w:rPr>
              <w:t>2.42 gCO2e/MJ</w:t>
            </w:r>
          </w:p>
        </w:tc>
      </w:tr>
      <w:tr w:rsidR="00B272B0" w:rsidRPr="00025FA9" w14:paraId="7F9EB492" w14:textId="77777777" w:rsidTr="00205F65">
        <w:trPr>
          <w:jc w:val="center"/>
        </w:trPr>
        <w:tc>
          <w:tcPr>
            <w:tcW w:w="3363"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90C019A" w14:textId="77777777" w:rsidR="00B272B0" w:rsidRPr="00025FA9" w:rsidRDefault="00B272B0" w:rsidP="00B272B0">
            <w:pPr>
              <w:jc w:val="right"/>
              <w:rPr>
                <w:rFonts w:asciiTheme="minorHAnsi" w:hAnsiTheme="minorHAnsi"/>
                <w:b/>
              </w:rPr>
            </w:pPr>
            <w:r w:rsidRPr="00025FA9">
              <w:rPr>
                <w:rFonts w:asciiTheme="minorHAnsi" w:hAnsiTheme="minorHAnsi"/>
                <w:b/>
              </w:rPr>
              <w:t>ARB LNG Fleet Average</w:t>
            </w: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14:paraId="2CA63728" w14:textId="77777777" w:rsidR="00B272B0" w:rsidRPr="00025FA9" w:rsidRDefault="00B272B0">
            <w:pPr>
              <w:rPr>
                <w:rFonts w:asciiTheme="minorHAnsi" w:hAnsiTheme="minorHAnsi"/>
              </w:rPr>
            </w:pPr>
            <w:r w:rsidRPr="00025FA9">
              <w:rPr>
                <w:rFonts w:asciiTheme="minorHAnsi" w:hAnsiTheme="minorHAnsi"/>
              </w:rPr>
              <w:t>4.91 gCO2e/MJ</w:t>
            </w:r>
          </w:p>
        </w:tc>
      </w:tr>
    </w:tbl>
    <w:p w14:paraId="41D56351" w14:textId="07F51728" w:rsidR="00F9638B" w:rsidRPr="00025FA9" w:rsidRDefault="008F581F" w:rsidP="004332BF">
      <w:pPr>
        <w:spacing w:before="240" w:after="200" w:line="276" w:lineRule="auto"/>
        <w:jc w:val="both"/>
        <w:rPr>
          <w:rFonts w:asciiTheme="minorHAnsi" w:eastAsia="Calibri" w:hAnsiTheme="minorHAnsi"/>
        </w:rPr>
      </w:pPr>
      <w:r w:rsidRPr="00025FA9">
        <w:rPr>
          <w:rFonts w:asciiTheme="minorHAnsi" w:eastAsia="Calibri" w:hAnsiTheme="minorHAnsi"/>
        </w:rPr>
        <w:t xml:space="preserve"> </w:t>
      </w:r>
      <w:r w:rsidR="00736D21" w:rsidRPr="00025FA9">
        <w:rPr>
          <w:rFonts w:asciiTheme="minorHAnsi" w:eastAsia="Calibri" w:hAnsiTheme="minorHAnsi"/>
        </w:rPr>
        <w:t xml:space="preserve">Both heavy-duty class 8b vehicles and light/medium duty vehicles are estimated to have much lower </w:t>
      </w:r>
      <w:r w:rsidR="00861189" w:rsidRPr="00025FA9">
        <w:rPr>
          <w:rFonts w:asciiTheme="minorHAnsi" w:eastAsia="Calibri" w:hAnsiTheme="minorHAnsi"/>
        </w:rPr>
        <w:t xml:space="preserve">TTW </w:t>
      </w:r>
      <w:r w:rsidR="00736D21" w:rsidRPr="00025FA9">
        <w:rPr>
          <w:rFonts w:asciiTheme="minorHAnsi" w:eastAsia="Calibri" w:hAnsiTheme="minorHAnsi"/>
        </w:rPr>
        <w:t xml:space="preserve">emissions than the fleet-average.  Because of such wide variation in the emissions from vehicle types, the fleet-averaged emissions are very sensitive to the assumed fleet composition.  Overestimating the fraction of the fleet in higher emitting applications raises the fleet average and potentially penalizes lower emitting applications.   </w:t>
      </w:r>
    </w:p>
    <w:p w14:paraId="4D75E9F2" w14:textId="38D7726A" w:rsidR="00736D21" w:rsidRPr="00025FA9" w:rsidRDefault="00736D21" w:rsidP="00740C3C">
      <w:pPr>
        <w:spacing w:after="200" w:line="276" w:lineRule="auto"/>
        <w:jc w:val="both"/>
        <w:rPr>
          <w:rFonts w:asciiTheme="minorHAnsi" w:eastAsia="Calibri" w:hAnsiTheme="minorHAnsi"/>
        </w:rPr>
      </w:pPr>
      <w:r w:rsidRPr="00025FA9">
        <w:rPr>
          <w:rFonts w:asciiTheme="minorHAnsi" w:eastAsia="Calibri" w:hAnsiTheme="minorHAnsi"/>
        </w:rPr>
        <w:t>We raise two specific concerns here</w:t>
      </w:r>
      <w:r w:rsidR="004332BF">
        <w:rPr>
          <w:rFonts w:asciiTheme="minorHAnsi" w:eastAsia="Calibri" w:hAnsiTheme="minorHAnsi"/>
        </w:rPr>
        <w:t>, as described below</w:t>
      </w:r>
      <w:r w:rsidRPr="00025FA9">
        <w:rPr>
          <w:rFonts w:asciiTheme="minorHAnsi" w:eastAsia="Calibri" w:hAnsiTheme="minorHAnsi"/>
        </w:rPr>
        <w:t>.</w:t>
      </w:r>
    </w:p>
    <w:p w14:paraId="1E136CB3" w14:textId="2D4E2270" w:rsidR="00736D21" w:rsidRPr="00025FA9" w:rsidRDefault="00736D21" w:rsidP="00736D21">
      <w:pPr>
        <w:pStyle w:val="ListParagraph"/>
        <w:numPr>
          <w:ilvl w:val="0"/>
          <w:numId w:val="22"/>
        </w:numPr>
        <w:spacing w:after="200" w:line="276" w:lineRule="auto"/>
        <w:jc w:val="both"/>
        <w:rPr>
          <w:rFonts w:asciiTheme="minorHAnsi" w:eastAsia="Calibri" w:hAnsiTheme="minorHAnsi"/>
          <w:b/>
        </w:rPr>
      </w:pPr>
      <w:r w:rsidRPr="00025FA9">
        <w:rPr>
          <w:rFonts w:asciiTheme="minorHAnsi" w:eastAsia="Calibri" w:hAnsiTheme="minorHAnsi"/>
          <w:b/>
        </w:rPr>
        <w:t>Basis for the Current Fleet Mix</w:t>
      </w:r>
    </w:p>
    <w:p w14:paraId="0E795EF9" w14:textId="77777777" w:rsidR="007357D4" w:rsidRPr="00025FA9" w:rsidRDefault="00736D21" w:rsidP="00736D21">
      <w:pPr>
        <w:spacing w:after="200" w:line="276" w:lineRule="auto"/>
        <w:jc w:val="both"/>
        <w:rPr>
          <w:rFonts w:asciiTheme="minorHAnsi" w:eastAsia="Calibri" w:hAnsiTheme="minorHAnsi"/>
        </w:rPr>
      </w:pPr>
      <w:r w:rsidRPr="00025FA9">
        <w:rPr>
          <w:rFonts w:asciiTheme="minorHAnsi" w:eastAsia="Calibri" w:hAnsiTheme="minorHAnsi"/>
        </w:rPr>
        <w:t>Staff calculates the current mix of applications consuming CNG and LNG based on data from the US Energy Information Administration’s</w:t>
      </w:r>
      <w:r w:rsidR="008D624F" w:rsidRPr="00025FA9">
        <w:rPr>
          <w:rFonts w:asciiTheme="minorHAnsi" w:eastAsia="Calibri" w:hAnsiTheme="minorHAnsi"/>
        </w:rPr>
        <w:t xml:space="preserve"> (EIA)</w:t>
      </w:r>
      <w:r w:rsidRPr="00025FA9">
        <w:rPr>
          <w:rFonts w:asciiTheme="minorHAnsi" w:eastAsia="Calibri" w:hAnsiTheme="minorHAnsi"/>
        </w:rPr>
        <w:t xml:space="preserve"> Alternative Fuel User Database.  The latest year for available data is 2011</w:t>
      </w:r>
      <w:r w:rsidR="008D624F" w:rsidRPr="00025FA9">
        <w:rPr>
          <w:rFonts w:asciiTheme="minorHAnsi" w:eastAsia="Calibri" w:hAnsiTheme="minorHAnsi"/>
        </w:rPr>
        <w:t>.  We note that the data are both out of date, and inconsistent with other industry specific data sources.  As an example, we note that ARB staff estimate that transit buses consume 60% of the 55 million gallons of LNG sold in 2014.  This equates to nearly 22 million GGE, or 150% more LNG for transit buses than reported by EIA.  The National Transportation Database</w:t>
      </w:r>
      <w:r w:rsidR="007357D4" w:rsidRPr="00025FA9">
        <w:rPr>
          <w:rFonts w:asciiTheme="minorHAnsi" w:eastAsia="Calibri" w:hAnsiTheme="minorHAnsi"/>
        </w:rPr>
        <w:t xml:space="preserve"> (NTDB)</w:t>
      </w:r>
      <w:r w:rsidR="008D624F" w:rsidRPr="00025FA9">
        <w:rPr>
          <w:rFonts w:asciiTheme="minorHAnsi" w:eastAsia="Calibri" w:hAnsiTheme="minorHAnsi"/>
        </w:rPr>
        <w:t xml:space="preserve"> reports that California transit fleets consumed only 7 million gallons of LNG, or approximately 4.6 million GGE in 2011; roughly half of the fuel consumption reported by EIA.  Finally, it is unclear to what extent reported LNG consumption actually reflects </w:t>
      </w:r>
      <w:r w:rsidR="007357D4" w:rsidRPr="00025FA9">
        <w:rPr>
          <w:rFonts w:asciiTheme="minorHAnsi" w:eastAsia="Calibri" w:hAnsiTheme="minorHAnsi"/>
        </w:rPr>
        <w:t xml:space="preserve">LNG delivered to an LCNG station.  </w:t>
      </w:r>
    </w:p>
    <w:p w14:paraId="136BD6D1" w14:textId="77777777" w:rsidR="00A26E4F" w:rsidRPr="00025FA9" w:rsidRDefault="007357D4" w:rsidP="00736D21">
      <w:pPr>
        <w:spacing w:after="200" w:line="276" w:lineRule="auto"/>
        <w:jc w:val="both"/>
        <w:rPr>
          <w:rFonts w:asciiTheme="minorHAnsi" w:eastAsia="Calibri" w:hAnsiTheme="minorHAnsi"/>
        </w:rPr>
      </w:pPr>
      <w:r w:rsidRPr="00025FA9">
        <w:rPr>
          <w:rFonts w:asciiTheme="minorHAnsi" w:eastAsia="Calibri" w:hAnsiTheme="minorHAnsi"/>
        </w:rPr>
        <w:t xml:space="preserve">The dominant purchasers of LNG in California for transit applications are Orange County Transportation Authority (OCTA) and Santa Monica’s Big Blue Bus (BBB).  These two agencies represent almost 95% of LNG purchased in 2011, according to the NTDB.  Examination of a recent LNG purchase contract from OCTA reveals </w:t>
      </w:r>
      <w:r w:rsidRPr="00025FA9">
        <w:rPr>
          <w:rFonts w:asciiTheme="minorHAnsi" w:eastAsia="Calibri" w:hAnsiTheme="minorHAnsi"/>
        </w:rPr>
        <w:lastRenderedPageBreak/>
        <w:t xml:space="preserve">that </w:t>
      </w:r>
      <w:r w:rsidR="00A26E4F" w:rsidRPr="00025FA9">
        <w:rPr>
          <w:rFonts w:asciiTheme="minorHAnsi" w:eastAsia="Calibri" w:hAnsiTheme="minorHAnsi"/>
        </w:rPr>
        <w:t>the agency consumes roughly 22,</w:t>
      </w:r>
      <w:r w:rsidRPr="00025FA9">
        <w:rPr>
          <w:rFonts w:asciiTheme="minorHAnsi" w:eastAsia="Calibri" w:hAnsiTheme="minorHAnsi"/>
        </w:rPr>
        <w:t>000 gallons of LNG per weekday, or approximately 5.5 million LNG gallons per year.</w:t>
      </w:r>
      <w:r w:rsidRPr="00025FA9">
        <w:rPr>
          <w:rStyle w:val="FootnoteReference"/>
          <w:rFonts w:asciiTheme="minorHAnsi" w:eastAsia="Calibri" w:hAnsiTheme="minorHAnsi"/>
        </w:rPr>
        <w:footnoteReference w:id="3"/>
      </w:r>
      <w:r w:rsidRPr="00025FA9">
        <w:rPr>
          <w:rFonts w:asciiTheme="minorHAnsi" w:eastAsia="Calibri" w:hAnsiTheme="minorHAnsi"/>
        </w:rPr>
        <w:t xml:space="preserve">  A city council report on the BBB LNG fuel procurement for 2010-2011 reported that </w:t>
      </w:r>
      <w:r w:rsidR="00A26E4F" w:rsidRPr="00025FA9">
        <w:rPr>
          <w:rFonts w:asciiTheme="minorHAnsi" w:eastAsia="Calibri" w:hAnsiTheme="minorHAnsi"/>
        </w:rPr>
        <w:t>BBB purchases roughly 200,000 LNG gallons per month to serve a mix of BBB vehicles as well as city vehicles and the Santa Monica Unified School District.</w:t>
      </w:r>
      <w:r w:rsidR="00A26E4F" w:rsidRPr="00025FA9">
        <w:rPr>
          <w:rStyle w:val="FootnoteReference"/>
          <w:rFonts w:asciiTheme="minorHAnsi" w:eastAsia="Calibri" w:hAnsiTheme="minorHAnsi"/>
        </w:rPr>
        <w:footnoteReference w:id="4"/>
      </w:r>
      <w:r w:rsidR="00A26E4F" w:rsidRPr="00025FA9">
        <w:rPr>
          <w:rFonts w:asciiTheme="minorHAnsi" w:eastAsia="Calibri" w:hAnsiTheme="minorHAnsi"/>
        </w:rPr>
        <w:t xml:space="preserve">  BBB operates a mix of CNG and LNG buses, supplying the CNG buses through their LCNG station.  Consequently, only a fraction of the BBB LNG purchases are actually used in transit applications.  In total, the two largest purchasers of LNG for transit applications only represented less than 7.7 million LNG gallons in 2011.  Again, this value is much lower than that reported by EIA.  </w:t>
      </w:r>
    </w:p>
    <w:p w14:paraId="73485528" w14:textId="26A73960" w:rsidR="00A26E4F" w:rsidRPr="00025FA9" w:rsidRDefault="00B43401" w:rsidP="00736D21">
      <w:pPr>
        <w:spacing w:after="200" w:line="276" w:lineRule="auto"/>
        <w:jc w:val="both"/>
        <w:rPr>
          <w:rFonts w:asciiTheme="minorHAnsi" w:eastAsia="Calibri" w:hAnsiTheme="minorHAnsi"/>
        </w:rPr>
      </w:pPr>
      <w:r w:rsidRPr="00025FA9">
        <w:rPr>
          <w:rFonts w:asciiTheme="minorHAnsi" w:eastAsia="Calibri" w:hAnsiTheme="minorHAnsi"/>
        </w:rPr>
        <w:t>Such disparities between EIA and other data sources make it clear that EIA</w:t>
      </w:r>
      <w:r w:rsidR="00A26E4F" w:rsidRPr="00025FA9">
        <w:rPr>
          <w:rFonts w:asciiTheme="minorHAnsi" w:eastAsia="Calibri" w:hAnsiTheme="minorHAnsi"/>
        </w:rPr>
        <w:t xml:space="preserve"> is not a reliable basis upon which to develo</w:t>
      </w:r>
      <w:r w:rsidRPr="00025FA9">
        <w:rPr>
          <w:rFonts w:asciiTheme="minorHAnsi" w:eastAsia="Calibri" w:hAnsiTheme="minorHAnsi"/>
        </w:rPr>
        <w:t>p a fleet-average emissions rates</w:t>
      </w:r>
      <w:r w:rsidR="00A26E4F" w:rsidRPr="00025FA9">
        <w:rPr>
          <w:rFonts w:asciiTheme="minorHAnsi" w:eastAsia="Calibri" w:hAnsiTheme="minorHAnsi"/>
        </w:rPr>
        <w:t>.</w:t>
      </w:r>
    </w:p>
    <w:p w14:paraId="298BDC29" w14:textId="0DF54911" w:rsidR="00736D21" w:rsidRPr="00025FA9" w:rsidRDefault="00A26E4F" w:rsidP="00A26E4F">
      <w:pPr>
        <w:pStyle w:val="ListParagraph"/>
        <w:numPr>
          <w:ilvl w:val="0"/>
          <w:numId w:val="22"/>
        </w:numPr>
        <w:spacing w:after="200" w:line="276" w:lineRule="auto"/>
        <w:jc w:val="both"/>
        <w:rPr>
          <w:rFonts w:asciiTheme="minorHAnsi" w:eastAsia="Calibri" w:hAnsiTheme="minorHAnsi"/>
          <w:b/>
        </w:rPr>
      </w:pPr>
      <w:r w:rsidRPr="00025FA9">
        <w:rPr>
          <w:rFonts w:asciiTheme="minorHAnsi" w:eastAsia="Calibri" w:hAnsiTheme="minorHAnsi"/>
          <w:b/>
        </w:rPr>
        <w:t>Evolving Fleet Mix</w:t>
      </w:r>
    </w:p>
    <w:p w14:paraId="5964E014" w14:textId="1348926F" w:rsidR="00A26E4F" w:rsidRPr="00025FA9" w:rsidRDefault="00A26E4F" w:rsidP="00A26E4F">
      <w:pPr>
        <w:spacing w:after="200" w:line="276" w:lineRule="auto"/>
        <w:jc w:val="both"/>
        <w:rPr>
          <w:rFonts w:asciiTheme="minorHAnsi" w:eastAsia="Calibri" w:hAnsiTheme="minorHAnsi"/>
        </w:rPr>
      </w:pPr>
      <w:r w:rsidRPr="00025FA9">
        <w:rPr>
          <w:rFonts w:asciiTheme="minorHAnsi" w:eastAsia="Calibri" w:hAnsiTheme="minorHAnsi"/>
        </w:rPr>
        <w:t xml:space="preserve">EIA’s last available estimate of the population of NGVs in the US is 121,650 vehicles in 2011.  Based on industry sales data, NGVA estimates that the current population of NGVs is in excess of 155,000 and growing.  New deployments show growth in sales </w:t>
      </w:r>
      <w:r w:rsidR="00B43401" w:rsidRPr="00025FA9">
        <w:rPr>
          <w:rFonts w:asciiTheme="minorHAnsi" w:eastAsia="Calibri" w:hAnsiTheme="minorHAnsi"/>
        </w:rPr>
        <w:t>of</w:t>
      </w:r>
      <w:r w:rsidRPr="00025FA9">
        <w:rPr>
          <w:rFonts w:asciiTheme="minorHAnsi" w:eastAsia="Calibri" w:hAnsiTheme="minorHAnsi"/>
        </w:rPr>
        <w:t xml:space="preserve"> Class 8 trucks</w:t>
      </w:r>
      <w:r w:rsidR="00B43401" w:rsidRPr="00025FA9">
        <w:rPr>
          <w:rFonts w:asciiTheme="minorHAnsi" w:eastAsia="Calibri" w:hAnsiTheme="minorHAnsi"/>
        </w:rPr>
        <w:t xml:space="preserve"> in addition to sales in more</w:t>
      </w:r>
      <w:r w:rsidRPr="00025FA9">
        <w:rPr>
          <w:rFonts w:asciiTheme="minorHAnsi" w:eastAsia="Calibri" w:hAnsiTheme="minorHAnsi"/>
        </w:rPr>
        <w:t xml:space="preserve"> traditional transit and refuse applications.</w:t>
      </w:r>
      <w:r w:rsidR="00B43401" w:rsidRPr="00025FA9">
        <w:rPr>
          <w:rFonts w:asciiTheme="minorHAnsi" w:eastAsia="Calibri" w:hAnsiTheme="minorHAnsi"/>
        </w:rPr>
        <w:t xml:space="preserve">  It is clear that the mix of NGVs is changing and that it is not possible to accurate predict the future fleet mix.</w:t>
      </w:r>
      <w:r w:rsidR="00861189" w:rsidRPr="00025FA9">
        <w:rPr>
          <w:rFonts w:asciiTheme="minorHAnsi" w:eastAsia="Calibri" w:hAnsiTheme="minorHAnsi"/>
        </w:rPr>
        <w:t xml:space="preserve">  Further, because of the relatively small number of NGVs in the state (relative to traditional petroleum fueled vehicles), modest growth in any application could significantly alter the fleet mix.</w:t>
      </w:r>
    </w:p>
    <w:p w14:paraId="62265815" w14:textId="31C01968" w:rsidR="00861189" w:rsidRPr="00025FA9" w:rsidRDefault="00861189" w:rsidP="00A26E4F">
      <w:pPr>
        <w:spacing w:after="200" w:line="276" w:lineRule="auto"/>
        <w:jc w:val="both"/>
        <w:rPr>
          <w:rFonts w:asciiTheme="minorHAnsi" w:eastAsia="Calibri" w:hAnsiTheme="minorHAnsi"/>
          <w:b/>
        </w:rPr>
      </w:pPr>
      <w:r w:rsidRPr="00025FA9">
        <w:rPr>
          <w:rFonts w:asciiTheme="minorHAnsi" w:eastAsia="Calibri" w:hAnsiTheme="minorHAnsi"/>
          <w:b/>
        </w:rPr>
        <w:t>Recommendation</w:t>
      </w:r>
      <w:r w:rsidR="00F9638B" w:rsidRPr="00025FA9">
        <w:rPr>
          <w:rFonts w:asciiTheme="minorHAnsi" w:eastAsia="Calibri" w:hAnsiTheme="minorHAnsi"/>
          <w:b/>
        </w:rPr>
        <w:t>s Regarding CA-GREET Update</w:t>
      </w:r>
    </w:p>
    <w:p w14:paraId="1174BBB7" w14:textId="271DE434" w:rsidR="00861189" w:rsidRPr="00025FA9" w:rsidRDefault="00B43401" w:rsidP="00A26E4F">
      <w:pPr>
        <w:spacing w:after="200" w:line="276" w:lineRule="auto"/>
        <w:jc w:val="both"/>
        <w:rPr>
          <w:rFonts w:asciiTheme="minorHAnsi" w:eastAsia="Calibri" w:hAnsiTheme="minorHAnsi"/>
        </w:rPr>
      </w:pPr>
      <w:r w:rsidRPr="00025FA9">
        <w:rPr>
          <w:rFonts w:asciiTheme="minorHAnsi" w:eastAsia="Calibri" w:hAnsiTheme="minorHAnsi"/>
        </w:rPr>
        <w:t>Based on the two concerns described above</w:t>
      </w:r>
      <w:r w:rsidR="00396823" w:rsidRPr="00025FA9">
        <w:rPr>
          <w:rFonts w:asciiTheme="minorHAnsi" w:eastAsia="Calibri" w:hAnsiTheme="minorHAnsi"/>
        </w:rPr>
        <w:t xml:space="preserve"> –</w:t>
      </w:r>
      <w:r w:rsidRPr="00025FA9">
        <w:rPr>
          <w:rFonts w:asciiTheme="minorHAnsi" w:eastAsia="Calibri" w:hAnsiTheme="minorHAnsi"/>
        </w:rPr>
        <w:t xml:space="preserve"> and the fact that the </w:t>
      </w:r>
      <w:r w:rsidR="00861189" w:rsidRPr="00025FA9">
        <w:rPr>
          <w:rFonts w:asciiTheme="minorHAnsi" w:eastAsia="Calibri" w:hAnsiTheme="minorHAnsi"/>
        </w:rPr>
        <w:t xml:space="preserve">TTW </w:t>
      </w:r>
      <w:r w:rsidRPr="00025FA9">
        <w:rPr>
          <w:rFonts w:asciiTheme="minorHAnsi" w:eastAsia="Calibri" w:hAnsiTheme="minorHAnsi"/>
        </w:rPr>
        <w:t>emissions rates employed by ARB have non-trivial variations based on the vehicle type/application</w:t>
      </w:r>
      <w:r w:rsidR="00396823" w:rsidRPr="00025FA9">
        <w:rPr>
          <w:rFonts w:asciiTheme="minorHAnsi" w:eastAsia="Calibri" w:hAnsiTheme="minorHAnsi"/>
        </w:rPr>
        <w:t xml:space="preserve"> –</w:t>
      </w:r>
      <w:r w:rsidRPr="00025FA9">
        <w:rPr>
          <w:rFonts w:asciiTheme="minorHAnsi" w:eastAsia="Calibri" w:hAnsiTheme="minorHAnsi"/>
        </w:rPr>
        <w:t xml:space="preserve"> we request that ARB allow fuel producers the option to adjust their pathway carbon intensities based on the vehicle type receiving the fuel.  </w:t>
      </w:r>
      <w:r w:rsidR="000D63BB" w:rsidRPr="00025FA9">
        <w:rPr>
          <w:rFonts w:asciiTheme="minorHAnsi" w:eastAsia="Calibri" w:hAnsiTheme="minorHAnsi"/>
        </w:rPr>
        <w:t xml:space="preserve">For example, a CNG </w:t>
      </w:r>
      <w:r w:rsidR="00A61708" w:rsidRPr="00025FA9">
        <w:rPr>
          <w:rFonts w:asciiTheme="minorHAnsi" w:eastAsia="Calibri" w:hAnsiTheme="minorHAnsi"/>
        </w:rPr>
        <w:t xml:space="preserve">or LNG </w:t>
      </w:r>
      <w:r w:rsidR="000D63BB" w:rsidRPr="00025FA9">
        <w:rPr>
          <w:rFonts w:asciiTheme="minorHAnsi" w:eastAsia="Calibri" w:hAnsiTheme="minorHAnsi"/>
        </w:rPr>
        <w:t xml:space="preserve">station owner that documents the volume of </w:t>
      </w:r>
      <w:r w:rsidR="00A61708" w:rsidRPr="00025FA9">
        <w:rPr>
          <w:rFonts w:asciiTheme="minorHAnsi" w:eastAsia="Calibri" w:hAnsiTheme="minorHAnsi"/>
        </w:rPr>
        <w:t>fuel</w:t>
      </w:r>
      <w:r w:rsidR="000D63BB" w:rsidRPr="00025FA9">
        <w:rPr>
          <w:rFonts w:asciiTheme="minorHAnsi" w:eastAsia="Calibri" w:hAnsiTheme="minorHAnsi"/>
        </w:rPr>
        <w:t xml:space="preserve"> dispensed to Class 8b trucks would adjust their pathway CI based on non-CO2 TTW emissions of 2.42 gCO2e/MJ, rather than the fleet average of 4.90</w:t>
      </w:r>
      <w:r w:rsidR="00A61708" w:rsidRPr="00025FA9">
        <w:rPr>
          <w:rFonts w:asciiTheme="minorHAnsi" w:eastAsia="Calibri" w:hAnsiTheme="minorHAnsi"/>
        </w:rPr>
        <w:t xml:space="preserve"> or 4.91 </w:t>
      </w:r>
      <w:r w:rsidR="000D63BB" w:rsidRPr="00025FA9">
        <w:rPr>
          <w:rFonts w:asciiTheme="minorHAnsi" w:eastAsia="Calibri" w:hAnsiTheme="minorHAnsi"/>
        </w:rPr>
        <w:t xml:space="preserve"> gCO2e/MJ. </w:t>
      </w:r>
    </w:p>
    <w:p w14:paraId="2938B8B5" w14:textId="20D958D6" w:rsidR="00B43401" w:rsidRDefault="000D63BB" w:rsidP="00A26E4F">
      <w:pPr>
        <w:spacing w:after="200" w:line="276" w:lineRule="auto"/>
        <w:jc w:val="both"/>
        <w:rPr>
          <w:rFonts w:asciiTheme="minorHAnsi" w:eastAsia="Calibri" w:hAnsiTheme="minorHAnsi"/>
        </w:rPr>
      </w:pPr>
      <w:r w:rsidRPr="00025FA9">
        <w:rPr>
          <w:rFonts w:asciiTheme="minorHAnsi" w:eastAsia="Calibri" w:hAnsiTheme="minorHAnsi"/>
        </w:rPr>
        <w:t xml:space="preserve">This option would help incentivize the deployment of NGVs in the lowest emitting categories by recognizing their specific emissions profiles and would require minimal changes to the data tracked in the LRT. </w:t>
      </w:r>
      <w:r w:rsidR="00861189" w:rsidRPr="00025FA9">
        <w:rPr>
          <w:rFonts w:asciiTheme="minorHAnsi" w:eastAsia="Calibri" w:hAnsiTheme="minorHAnsi"/>
        </w:rPr>
        <w:t>Currently light and medium-duty natural gas consumption is tracked separately from heavy-duty natural gas fuel consumption</w:t>
      </w:r>
      <w:r w:rsidRPr="00025FA9">
        <w:rPr>
          <w:rFonts w:asciiTheme="minorHAnsi" w:eastAsia="Calibri" w:hAnsiTheme="minorHAnsi"/>
        </w:rPr>
        <w:t xml:space="preserve"> in the LRT</w:t>
      </w:r>
      <w:r w:rsidR="00861189" w:rsidRPr="00025FA9">
        <w:rPr>
          <w:rFonts w:asciiTheme="minorHAnsi" w:eastAsia="Calibri" w:hAnsiTheme="minorHAnsi"/>
        </w:rPr>
        <w:t xml:space="preserve">.  Implementing the proposed recommendation would only require the separation of Class 8b fuel consumption from the remaining heavy-duty vehicle applications. </w:t>
      </w:r>
      <w:r w:rsidRPr="00025FA9">
        <w:rPr>
          <w:rFonts w:asciiTheme="minorHAnsi" w:eastAsia="Calibri" w:hAnsiTheme="minorHAnsi"/>
        </w:rPr>
        <w:t xml:space="preserve"> W</w:t>
      </w:r>
      <w:r w:rsidR="00861189" w:rsidRPr="00025FA9">
        <w:rPr>
          <w:rFonts w:asciiTheme="minorHAnsi" w:eastAsia="Calibri" w:hAnsiTheme="minorHAnsi"/>
        </w:rPr>
        <w:t>here the vehicle type cannot be determined or is not documented</w:t>
      </w:r>
      <w:r w:rsidRPr="00025FA9">
        <w:rPr>
          <w:rFonts w:asciiTheme="minorHAnsi" w:eastAsia="Calibri" w:hAnsiTheme="minorHAnsi"/>
        </w:rPr>
        <w:t>, the credit generator would continue to use the fleet-averaged TTW emissions rates</w:t>
      </w:r>
      <w:r w:rsidR="00861189" w:rsidRPr="00025FA9">
        <w:rPr>
          <w:rFonts w:asciiTheme="minorHAnsi" w:eastAsia="Calibri" w:hAnsiTheme="minorHAnsi"/>
        </w:rPr>
        <w:t xml:space="preserve">. </w:t>
      </w:r>
    </w:p>
    <w:p w14:paraId="7D09AFF0" w14:textId="77777777" w:rsidR="00D4007E" w:rsidRDefault="00D4007E" w:rsidP="00A26E4F">
      <w:pPr>
        <w:spacing w:after="200" w:line="276" w:lineRule="auto"/>
        <w:jc w:val="both"/>
        <w:rPr>
          <w:rFonts w:asciiTheme="minorHAnsi" w:eastAsia="Calibri" w:hAnsiTheme="minorHAnsi"/>
        </w:rPr>
      </w:pPr>
    </w:p>
    <w:p w14:paraId="77AF8AC3" w14:textId="77777777" w:rsidR="00D4007E" w:rsidRPr="00025FA9" w:rsidRDefault="00D4007E" w:rsidP="00A26E4F">
      <w:pPr>
        <w:spacing w:after="200" w:line="276" w:lineRule="auto"/>
        <w:jc w:val="both"/>
        <w:rPr>
          <w:rFonts w:asciiTheme="minorHAnsi" w:eastAsia="Calibri" w:hAnsiTheme="minorHAnsi"/>
        </w:rPr>
      </w:pPr>
    </w:p>
    <w:p w14:paraId="34DA0C97" w14:textId="323D8535" w:rsidR="00C86B94" w:rsidRPr="00025FA9" w:rsidRDefault="00C86B94" w:rsidP="005155D0">
      <w:pPr>
        <w:jc w:val="both"/>
        <w:rPr>
          <w:rFonts w:asciiTheme="minorHAnsi" w:hAnsiTheme="minorHAnsi"/>
          <w:u w:val="single"/>
        </w:rPr>
      </w:pPr>
      <w:r w:rsidRPr="00025FA9">
        <w:rPr>
          <w:rFonts w:asciiTheme="minorHAnsi" w:hAnsiTheme="minorHAnsi"/>
          <w:u w:val="single"/>
        </w:rPr>
        <w:lastRenderedPageBreak/>
        <w:t>C</w:t>
      </w:r>
      <w:r w:rsidR="00396823" w:rsidRPr="00025FA9">
        <w:rPr>
          <w:rFonts w:asciiTheme="minorHAnsi" w:hAnsiTheme="minorHAnsi"/>
          <w:u w:val="single"/>
        </w:rPr>
        <w:t>losing Comment</w:t>
      </w:r>
    </w:p>
    <w:p w14:paraId="2C21C610" w14:textId="77777777" w:rsidR="00C86B94" w:rsidRPr="00025FA9" w:rsidRDefault="00C86B94" w:rsidP="00BA69DF">
      <w:pPr>
        <w:jc w:val="both"/>
        <w:rPr>
          <w:rFonts w:asciiTheme="minorHAnsi" w:hAnsiTheme="minorHAnsi"/>
        </w:rPr>
      </w:pPr>
    </w:p>
    <w:p w14:paraId="26B8190C" w14:textId="2C3B5798" w:rsidR="00BD1419" w:rsidRPr="00025FA9" w:rsidRDefault="00525B09" w:rsidP="00BA69DF">
      <w:pPr>
        <w:jc w:val="both"/>
        <w:rPr>
          <w:rFonts w:asciiTheme="minorHAnsi" w:hAnsiTheme="minorHAnsi"/>
        </w:rPr>
      </w:pPr>
      <w:r w:rsidRPr="00025FA9">
        <w:rPr>
          <w:rFonts w:asciiTheme="minorHAnsi" w:hAnsiTheme="minorHAnsi"/>
        </w:rPr>
        <w:t xml:space="preserve">Our three organizations </w:t>
      </w:r>
      <w:r w:rsidR="00A956D4" w:rsidRPr="00025FA9">
        <w:rPr>
          <w:rFonts w:asciiTheme="minorHAnsi" w:hAnsiTheme="minorHAnsi"/>
        </w:rPr>
        <w:t>s</w:t>
      </w:r>
      <w:r w:rsidR="00BD1419" w:rsidRPr="00025FA9">
        <w:rPr>
          <w:rFonts w:asciiTheme="minorHAnsi" w:hAnsiTheme="minorHAnsi"/>
        </w:rPr>
        <w:t>upport re</w:t>
      </w:r>
      <w:r w:rsidR="0087100F" w:rsidRPr="00025FA9">
        <w:rPr>
          <w:rFonts w:asciiTheme="minorHAnsi" w:hAnsiTheme="minorHAnsi"/>
        </w:rPr>
        <w:t xml:space="preserve">-adoption of </w:t>
      </w:r>
      <w:r w:rsidR="00BD1419" w:rsidRPr="00025FA9">
        <w:rPr>
          <w:rFonts w:asciiTheme="minorHAnsi" w:hAnsiTheme="minorHAnsi"/>
        </w:rPr>
        <w:t>the LCFS regulation</w:t>
      </w:r>
      <w:r w:rsidR="00A77DD8" w:rsidRPr="00025FA9">
        <w:rPr>
          <w:rFonts w:asciiTheme="minorHAnsi" w:hAnsiTheme="minorHAnsi"/>
        </w:rPr>
        <w:t>.</w:t>
      </w:r>
      <w:r w:rsidR="003602C7" w:rsidRPr="00025FA9">
        <w:rPr>
          <w:rFonts w:asciiTheme="minorHAnsi" w:hAnsiTheme="minorHAnsi"/>
        </w:rPr>
        <w:t xml:space="preserve"> </w:t>
      </w:r>
      <w:r w:rsidR="00A77DD8" w:rsidRPr="00025FA9">
        <w:rPr>
          <w:rFonts w:asciiTheme="minorHAnsi" w:hAnsiTheme="minorHAnsi"/>
        </w:rPr>
        <w:t xml:space="preserve">We </w:t>
      </w:r>
      <w:r w:rsidR="00A970A4" w:rsidRPr="00025FA9">
        <w:rPr>
          <w:rFonts w:asciiTheme="minorHAnsi" w:hAnsiTheme="minorHAnsi"/>
        </w:rPr>
        <w:t xml:space="preserve">genuinely </w:t>
      </w:r>
      <w:r w:rsidR="00A77DD8" w:rsidRPr="00025FA9">
        <w:rPr>
          <w:rFonts w:asciiTheme="minorHAnsi" w:hAnsiTheme="minorHAnsi"/>
        </w:rPr>
        <w:t xml:space="preserve">appreciate the cooperation that </w:t>
      </w:r>
      <w:r w:rsidR="00FD6559" w:rsidRPr="00025FA9">
        <w:rPr>
          <w:rFonts w:asciiTheme="minorHAnsi" w:hAnsiTheme="minorHAnsi"/>
        </w:rPr>
        <w:t>ARB</w:t>
      </w:r>
      <w:r w:rsidR="00A77DD8" w:rsidRPr="00025FA9">
        <w:rPr>
          <w:rFonts w:asciiTheme="minorHAnsi" w:hAnsiTheme="minorHAnsi"/>
        </w:rPr>
        <w:t xml:space="preserve"> staff have shown in working with our industry representatives to improve the program, especially the critically important CA-GREET model</w:t>
      </w:r>
      <w:r w:rsidRPr="00025FA9">
        <w:rPr>
          <w:rFonts w:asciiTheme="minorHAnsi" w:hAnsiTheme="minorHAnsi"/>
        </w:rPr>
        <w:t>.</w:t>
      </w:r>
      <w:r w:rsidR="003602C7" w:rsidRPr="00025FA9">
        <w:rPr>
          <w:rFonts w:asciiTheme="minorHAnsi" w:hAnsiTheme="minorHAnsi"/>
        </w:rPr>
        <w:t xml:space="preserve"> </w:t>
      </w:r>
      <w:r w:rsidR="00A77DD8" w:rsidRPr="00025FA9">
        <w:rPr>
          <w:rFonts w:asciiTheme="minorHAnsi" w:hAnsiTheme="minorHAnsi"/>
        </w:rPr>
        <w:t xml:space="preserve">Leading up to the July </w:t>
      </w:r>
      <w:r w:rsidR="00CB0E00" w:rsidRPr="00025FA9">
        <w:rPr>
          <w:rFonts w:asciiTheme="minorHAnsi" w:hAnsiTheme="minorHAnsi"/>
        </w:rPr>
        <w:t xml:space="preserve">23 </w:t>
      </w:r>
      <w:r w:rsidR="00A77DD8" w:rsidRPr="00025FA9">
        <w:rPr>
          <w:rFonts w:asciiTheme="minorHAnsi" w:hAnsiTheme="minorHAnsi"/>
        </w:rPr>
        <w:t xml:space="preserve">Board meeting, </w:t>
      </w:r>
      <w:r w:rsidRPr="00025FA9">
        <w:rPr>
          <w:rFonts w:asciiTheme="minorHAnsi" w:hAnsiTheme="minorHAnsi"/>
        </w:rPr>
        <w:t>we ur</w:t>
      </w:r>
      <w:r w:rsidR="00BD1419" w:rsidRPr="00025FA9">
        <w:rPr>
          <w:rFonts w:asciiTheme="minorHAnsi" w:hAnsiTheme="minorHAnsi"/>
        </w:rPr>
        <w:t xml:space="preserve">ge you to </w:t>
      </w:r>
      <w:r w:rsidRPr="00025FA9">
        <w:rPr>
          <w:rFonts w:asciiTheme="minorHAnsi" w:hAnsiTheme="minorHAnsi"/>
        </w:rPr>
        <w:t xml:space="preserve">expeditiously address </w:t>
      </w:r>
      <w:r w:rsidR="00CB0E00" w:rsidRPr="00025FA9">
        <w:rPr>
          <w:rFonts w:asciiTheme="minorHAnsi" w:hAnsiTheme="minorHAnsi"/>
        </w:rPr>
        <w:t xml:space="preserve">the issues </w:t>
      </w:r>
      <w:r w:rsidRPr="00025FA9">
        <w:rPr>
          <w:rFonts w:asciiTheme="minorHAnsi" w:hAnsiTheme="minorHAnsi"/>
        </w:rPr>
        <w:t>identified in this letter</w:t>
      </w:r>
      <w:r w:rsidR="00A956D4" w:rsidRPr="00025FA9">
        <w:rPr>
          <w:rFonts w:asciiTheme="minorHAnsi" w:hAnsiTheme="minorHAnsi"/>
        </w:rPr>
        <w:t>.</w:t>
      </w:r>
    </w:p>
    <w:p w14:paraId="7FA5B4E7" w14:textId="77777777" w:rsidR="00BD1419" w:rsidRPr="00025FA9" w:rsidRDefault="00BD1419" w:rsidP="00BA69DF">
      <w:pPr>
        <w:jc w:val="both"/>
        <w:rPr>
          <w:rFonts w:asciiTheme="minorHAnsi" w:hAnsiTheme="minorHAnsi"/>
        </w:rPr>
      </w:pPr>
    </w:p>
    <w:p w14:paraId="1319F011" w14:textId="689C6A4C" w:rsidR="00223965" w:rsidRPr="00025FA9" w:rsidRDefault="00BD1419" w:rsidP="00BA69DF">
      <w:pPr>
        <w:jc w:val="both"/>
        <w:rPr>
          <w:rFonts w:asciiTheme="minorHAnsi" w:hAnsiTheme="minorHAnsi"/>
        </w:rPr>
      </w:pPr>
      <w:r w:rsidRPr="00025FA9">
        <w:rPr>
          <w:rFonts w:asciiTheme="minorHAnsi" w:hAnsiTheme="minorHAnsi"/>
        </w:rPr>
        <w:t>Thank you for the opportunity to comment.</w:t>
      </w:r>
      <w:r w:rsidR="003602C7" w:rsidRPr="00025FA9">
        <w:rPr>
          <w:rFonts w:asciiTheme="minorHAnsi" w:hAnsiTheme="minorHAnsi"/>
        </w:rPr>
        <w:t xml:space="preserve"> </w:t>
      </w:r>
      <w:r w:rsidR="00AC0603" w:rsidRPr="00025FA9">
        <w:rPr>
          <w:rFonts w:asciiTheme="minorHAnsi" w:hAnsiTheme="minorHAnsi"/>
        </w:rPr>
        <w:t xml:space="preserve">If we can provide additional information, please </w:t>
      </w:r>
      <w:r w:rsidR="00E307A6" w:rsidRPr="00025FA9">
        <w:rPr>
          <w:rFonts w:asciiTheme="minorHAnsi" w:hAnsiTheme="minorHAnsi"/>
        </w:rPr>
        <w:t>contact any of us</w:t>
      </w:r>
      <w:r w:rsidR="00AC0603" w:rsidRPr="00025FA9">
        <w:rPr>
          <w:rFonts w:asciiTheme="minorHAnsi" w:hAnsiTheme="minorHAnsi"/>
        </w:rPr>
        <w:t>.</w:t>
      </w:r>
    </w:p>
    <w:p w14:paraId="651B7040" w14:textId="77777777" w:rsidR="00BD1419" w:rsidRPr="00025FA9" w:rsidRDefault="00BD1419" w:rsidP="00BA69DF">
      <w:pPr>
        <w:jc w:val="both"/>
        <w:rPr>
          <w:rFonts w:asciiTheme="minorHAnsi" w:hAnsiTheme="minorHAnsi"/>
        </w:rPr>
      </w:pPr>
    </w:p>
    <w:p w14:paraId="68AE2A4E" w14:textId="15026FA1" w:rsidR="00BD1419" w:rsidRPr="00025FA9" w:rsidRDefault="00BD1419" w:rsidP="00BA69DF">
      <w:pPr>
        <w:jc w:val="both"/>
        <w:rPr>
          <w:rFonts w:asciiTheme="minorHAnsi" w:hAnsiTheme="minorHAnsi"/>
        </w:rPr>
      </w:pPr>
      <w:r w:rsidRPr="00025FA9">
        <w:rPr>
          <w:rFonts w:asciiTheme="minorHAnsi" w:hAnsiTheme="minorHAnsi"/>
        </w:rPr>
        <w:t>Sincerely yours,</w:t>
      </w:r>
    </w:p>
    <w:p w14:paraId="7C99D11E" w14:textId="798CB53C" w:rsidR="00733713" w:rsidRPr="00025FA9" w:rsidRDefault="00AB44DA" w:rsidP="00BA69DF">
      <w:pPr>
        <w:jc w:val="both"/>
        <w:rPr>
          <w:rFonts w:asciiTheme="minorHAnsi" w:hAnsiTheme="minorHAnsi"/>
        </w:rPr>
      </w:pPr>
      <w:r w:rsidRPr="00025FA9">
        <w:rPr>
          <w:rFonts w:asciiTheme="minorHAnsi" w:hAnsiTheme="minorHAnsi"/>
          <w:noProof/>
        </w:rPr>
        <w:drawing>
          <wp:inline distT="0" distB="0" distL="0" distR="0" wp14:anchorId="5BF7025D" wp14:editId="109D02FA">
            <wp:extent cx="1223645" cy="4159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1590" cy="449239"/>
                    </a:xfrm>
                    <a:prstGeom prst="rect">
                      <a:avLst/>
                    </a:prstGeom>
                    <a:noFill/>
                  </pic:spPr>
                </pic:pic>
              </a:graphicData>
            </a:graphic>
          </wp:inline>
        </w:drawing>
      </w:r>
      <w:r w:rsidRPr="00025FA9">
        <w:rPr>
          <w:rFonts w:asciiTheme="minorHAnsi" w:hAnsiTheme="minorHAnsi"/>
        </w:rPr>
        <w:tab/>
      </w:r>
      <w:r w:rsidRPr="00025FA9">
        <w:rPr>
          <w:rFonts w:asciiTheme="minorHAnsi" w:hAnsiTheme="minorHAnsi"/>
        </w:rPr>
        <w:tab/>
      </w:r>
      <w:r w:rsidRPr="00025FA9">
        <w:rPr>
          <w:rFonts w:asciiTheme="minorHAnsi" w:hAnsiTheme="minorHAnsi"/>
        </w:rPr>
        <w:tab/>
      </w:r>
      <w:r w:rsidRPr="00025FA9">
        <w:rPr>
          <w:rFonts w:asciiTheme="minorHAnsi" w:hAnsiTheme="minorHAnsi"/>
        </w:rPr>
        <w:tab/>
      </w:r>
    </w:p>
    <w:p w14:paraId="5B0D61FD" w14:textId="16D63537" w:rsidR="0042745A" w:rsidRPr="00025FA9" w:rsidRDefault="0042745A" w:rsidP="0042745A">
      <w:pPr>
        <w:jc w:val="both"/>
        <w:rPr>
          <w:rFonts w:asciiTheme="minorHAnsi" w:hAnsiTheme="minorHAnsi"/>
        </w:rPr>
      </w:pPr>
      <w:r w:rsidRPr="00025FA9">
        <w:rPr>
          <w:rFonts w:asciiTheme="minorHAnsi" w:hAnsiTheme="minorHAnsi"/>
        </w:rPr>
        <w:t>Tim Carmichael, President</w:t>
      </w:r>
      <w:r w:rsidR="003602C7" w:rsidRPr="00025FA9">
        <w:rPr>
          <w:rFonts w:asciiTheme="minorHAnsi" w:hAnsiTheme="minorHAnsi"/>
        </w:rPr>
        <w:t xml:space="preserve">     </w:t>
      </w:r>
      <w:r w:rsidRPr="00025FA9">
        <w:rPr>
          <w:rFonts w:asciiTheme="minorHAnsi" w:hAnsiTheme="minorHAnsi"/>
        </w:rPr>
        <w:t xml:space="preserve"> </w:t>
      </w:r>
    </w:p>
    <w:p w14:paraId="2B750DDD" w14:textId="0117EFCC" w:rsidR="0042745A" w:rsidRPr="00025FA9" w:rsidRDefault="00733713" w:rsidP="00BA69DF">
      <w:pPr>
        <w:jc w:val="both"/>
        <w:rPr>
          <w:rFonts w:asciiTheme="minorHAnsi" w:hAnsiTheme="minorHAnsi"/>
        </w:rPr>
      </w:pPr>
      <w:r w:rsidRPr="00025FA9">
        <w:rPr>
          <w:rFonts w:asciiTheme="minorHAnsi" w:hAnsiTheme="minorHAnsi"/>
        </w:rPr>
        <w:t>California Natural Gas Vehicle Coalition</w:t>
      </w:r>
    </w:p>
    <w:p w14:paraId="44A1A0CA" w14:textId="5E945C1F" w:rsidR="00AC0603" w:rsidRPr="00025FA9" w:rsidRDefault="004332BF" w:rsidP="00BA69DF">
      <w:pPr>
        <w:jc w:val="both"/>
        <w:rPr>
          <w:rFonts w:asciiTheme="minorHAnsi" w:hAnsiTheme="minorHAnsi"/>
        </w:rPr>
      </w:pPr>
      <w:r w:rsidRPr="00025FA9">
        <w:rPr>
          <w:rFonts w:asciiTheme="minorHAnsi" w:eastAsia="Calibri" w:hAnsiTheme="minorHAnsi"/>
          <w:noProof/>
        </w:rPr>
        <w:drawing>
          <wp:anchor distT="0" distB="0" distL="114300" distR="114300" simplePos="0" relativeHeight="251650048" behindDoc="0" locked="0" layoutInCell="1" allowOverlap="1" wp14:anchorId="3103E152" wp14:editId="1B5D9C7D">
            <wp:simplePos x="0" y="0"/>
            <wp:positionH relativeFrom="column">
              <wp:posOffset>2540</wp:posOffset>
            </wp:positionH>
            <wp:positionV relativeFrom="paragraph">
              <wp:posOffset>306705</wp:posOffset>
            </wp:positionV>
            <wp:extent cx="1453515" cy="374015"/>
            <wp:effectExtent l="0" t="0" r="0" b="6985"/>
            <wp:wrapTopAndBottom/>
            <wp:docPr id="9" name="Picture 9" descr="cid:image003.jpg@01CFEF82.FA874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CFEF82.FA87463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53515" cy="374015"/>
                    </a:xfrm>
                    <a:prstGeom prst="rect">
                      <a:avLst/>
                    </a:prstGeom>
                    <a:noFill/>
                    <a:ln>
                      <a:noFill/>
                    </a:ln>
                  </pic:spPr>
                </pic:pic>
              </a:graphicData>
            </a:graphic>
          </wp:anchor>
        </w:drawing>
      </w:r>
      <w:r w:rsidR="00AC0603" w:rsidRPr="00025FA9">
        <w:rPr>
          <w:rFonts w:asciiTheme="minorHAnsi" w:hAnsiTheme="minorHAnsi"/>
        </w:rPr>
        <w:t>916-448-0015</w:t>
      </w:r>
    </w:p>
    <w:p w14:paraId="777712D5" w14:textId="29593711" w:rsidR="0042745A" w:rsidRPr="00025FA9" w:rsidRDefault="0042745A" w:rsidP="00BA69DF">
      <w:pPr>
        <w:jc w:val="both"/>
        <w:rPr>
          <w:rFonts w:asciiTheme="minorHAnsi" w:hAnsiTheme="minorHAnsi"/>
        </w:rPr>
      </w:pPr>
      <w:r w:rsidRPr="00025FA9">
        <w:rPr>
          <w:rFonts w:asciiTheme="minorHAnsi" w:hAnsiTheme="minorHAnsi"/>
        </w:rPr>
        <w:t>Matthew Godlewski, President</w:t>
      </w:r>
      <w:r w:rsidRPr="00025FA9">
        <w:rPr>
          <w:rFonts w:asciiTheme="minorHAnsi" w:hAnsiTheme="minorHAnsi"/>
        </w:rPr>
        <w:tab/>
      </w:r>
    </w:p>
    <w:p w14:paraId="2E1A6506" w14:textId="6F60660C" w:rsidR="0042745A" w:rsidRPr="00025FA9" w:rsidRDefault="0042745A" w:rsidP="00BA69DF">
      <w:pPr>
        <w:jc w:val="both"/>
        <w:rPr>
          <w:rFonts w:asciiTheme="minorHAnsi" w:hAnsiTheme="minorHAnsi"/>
        </w:rPr>
      </w:pPr>
      <w:r w:rsidRPr="00025FA9">
        <w:rPr>
          <w:rFonts w:asciiTheme="minorHAnsi" w:hAnsiTheme="minorHAnsi"/>
        </w:rPr>
        <w:t>NGVAmerica</w:t>
      </w:r>
    </w:p>
    <w:p w14:paraId="45A26388" w14:textId="1FEDCBBF" w:rsidR="00AC0603" w:rsidRPr="00025FA9" w:rsidRDefault="00AC0603" w:rsidP="00BA69DF">
      <w:pPr>
        <w:jc w:val="both"/>
        <w:rPr>
          <w:rFonts w:asciiTheme="minorHAnsi" w:hAnsiTheme="minorHAnsi"/>
        </w:rPr>
      </w:pPr>
      <w:r w:rsidRPr="00025FA9">
        <w:rPr>
          <w:rFonts w:asciiTheme="minorHAnsi" w:hAnsiTheme="minorHAnsi"/>
        </w:rPr>
        <w:t>202-824-7360</w:t>
      </w:r>
    </w:p>
    <w:p w14:paraId="01D135C5" w14:textId="00AE1EC1" w:rsidR="00AB44DA" w:rsidRPr="00025FA9" w:rsidRDefault="005027A5" w:rsidP="00BA69DF">
      <w:pPr>
        <w:jc w:val="both"/>
        <w:rPr>
          <w:rFonts w:asciiTheme="minorHAnsi" w:hAnsiTheme="minorHAnsi"/>
        </w:rPr>
      </w:pPr>
      <w:r w:rsidRPr="00025FA9">
        <w:rPr>
          <w:rFonts w:asciiTheme="minorHAnsi" w:hAnsiTheme="minorHAnsi"/>
          <w:noProof/>
        </w:rPr>
        <w:drawing>
          <wp:anchor distT="0" distB="0" distL="114300" distR="114300" simplePos="0" relativeHeight="251658240" behindDoc="0" locked="0" layoutInCell="1" allowOverlap="1" wp14:anchorId="291D4730" wp14:editId="06C30D1A">
            <wp:simplePos x="0" y="0"/>
            <wp:positionH relativeFrom="column">
              <wp:posOffset>2540</wp:posOffset>
            </wp:positionH>
            <wp:positionV relativeFrom="page">
              <wp:posOffset>4819650</wp:posOffset>
            </wp:positionV>
            <wp:extent cx="1076325" cy="344805"/>
            <wp:effectExtent l="0" t="0" r="952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344805"/>
                    </a:xfrm>
                    <a:prstGeom prst="rect">
                      <a:avLst/>
                    </a:prstGeom>
                    <a:noFill/>
                    <a:ln>
                      <a:noFill/>
                    </a:ln>
                  </pic:spPr>
                </pic:pic>
              </a:graphicData>
            </a:graphic>
          </wp:anchor>
        </w:drawing>
      </w:r>
    </w:p>
    <w:p w14:paraId="5208867B" w14:textId="7D237DB0" w:rsidR="00A956D4" w:rsidRPr="00025FA9" w:rsidRDefault="0042745A" w:rsidP="00BA69DF">
      <w:pPr>
        <w:jc w:val="both"/>
        <w:rPr>
          <w:rFonts w:asciiTheme="minorHAnsi" w:hAnsiTheme="minorHAnsi"/>
        </w:rPr>
      </w:pPr>
      <w:r w:rsidRPr="00025FA9">
        <w:rPr>
          <w:rFonts w:asciiTheme="minorHAnsi" w:hAnsiTheme="minorHAnsi"/>
        </w:rPr>
        <w:t>David Cox, Director of Operations &amp; General Counsel</w:t>
      </w:r>
    </w:p>
    <w:p w14:paraId="2C1BF434" w14:textId="5B59C141" w:rsidR="00733713" w:rsidRPr="00025FA9" w:rsidRDefault="00733713" w:rsidP="00733713">
      <w:pPr>
        <w:jc w:val="both"/>
        <w:rPr>
          <w:rFonts w:asciiTheme="minorHAnsi" w:hAnsiTheme="minorHAnsi"/>
        </w:rPr>
      </w:pPr>
      <w:r w:rsidRPr="00025FA9">
        <w:rPr>
          <w:rFonts w:asciiTheme="minorHAnsi" w:hAnsiTheme="minorHAnsi"/>
        </w:rPr>
        <w:t>Coalition for Renewable Natural Gas</w:t>
      </w:r>
    </w:p>
    <w:p w14:paraId="47743F5D" w14:textId="796B1A68" w:rsidR="00AC0603" w:rsidRPr="00025FA9" w:rsidRDefault="00AC0603" w:rsidP="00733713">
      <w:pPr>
        <w:jc w:val="both"/>
        <w:rPr>
          <w:rFonts w:asciiTheme="minorHAnsi" w:hAnsiTheme="minorHAnsi"/>
        </w:rPr>
      </w:pPr>
      <w:r w:rsidRPr="00025FA9">
        <w:rPr>
          <w:rFonts w:asciiTheme="minorHAnsi" w:hAnsiTheme="minorHAnsi"/>
        </w:rPr>
        <w:t>916-678-1592</w:t>
      </w:r>
    </w:p>
    <w:p w14:paraId="51AFAFC5" w14:textId="5A9B9D9B" w:rsidR="00FA1D8B" w:rsidRPr="00025FA9" w:rsidRDefault="00FA1D8B">
      <w:pPr>
        <w:spacing w:after="200" w:line="276" w:lineRule="auto"/>
        <w:rPr>
          <w:rFonts w:asciiTheme="minorHAnsi" w:hAnsiTheme="minorHAnsi"/>
        </w:rPr>
      </w:pPr>
    </w:p>
    <w:sectPr w:rsidR="00FA1D8B" w:rsidRPr="00025FA9" w:rsidSect="00C560CB">
      <w:headerReference w:type="default" r:id="rId13"/>
      <w:footerReference w:type="default" r:id="rId14"/>
      <w:headerReference w:type="first" r:id="rId15"/>
      <w:pgSz w:w="12240" w:h="15840"/>
      <w:pgMar w:top="1440" w:right="1080" w:bottom="1440"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24FEA" w14:textId="77777777" w:rsidR="00073054" w:rsidRDefault="00073054" w:rsidP="001F6901">
      <w:r>
        <w:separator/>
      </w:r>
    </w:p>
  </w:endnote>
  <w:endnote w:type="continuationSeparator" w:id="0">
    <w:p w14:paraId="628AB254" w14:textId="77777777" w:rsidR="00073054" w:rsidRDefault="00073054" w:rsidP="001F6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B5EF6" w14:textId="77777777" w:rsidR="00A970A4" w:rsidRDefault="00A970A4" w:rsidP="001F6901">
    <w:pPr>
      <w:pStyle w:val="Footer"/>
      <w:jc w:val="center"/>
    </w:pPr>
    <w:r>
      <w:t>-</w:t>
    </w:r>
    <w:sdt>
      <w:sdtPr>
        <w:id w:val="-811099690"/>
        <w:docPartObj>
          <w:docPartGallery w:val="Page Numbers (Bottom of Page)"/>
          <w:docPartUnique/>
        </w:docPartObj>
      </w:sdtPr>
      <w:sdtEndPr>
        <w:rPr>
          <w:noProof/>
        </w:rPr>
      </w:sdtEndPr>
      <w:sdtContent>
        <w:r w:rsidR="00825CC6">
          <w:fldChar w:fldCharType="begin"/>
        </w:r>
        <w:r>
          <w:instrText xml:space="preserve"> PAGE   \* MERGEFORMAT </w:instrText>
        </w:r>
        <w:r w:rsidR="00825CC6">
          <w:fldChar w:fldCharType="separate"/>
        </w:r>
        <w:r w:rsidR="00D17E7B">
          <w:rPr>
            <w:noProof/>
          </w:rPr>
          <w:t>2</w:t>
        </w:r>
        <w:r w:rsidR="00825CC6">
          <w:rPr>
            <w:noProof/>
          </w:rPr>
          <w:fldChar w:fldCharType="end"/>
        </w:r>
        <w:r>
          <w:rPr>
            <w:noProof/>
          </w:rPr>
          <w:t>-</w:t>
        </w:r>
      </w:sdtContent>
    </w:sdt>
  </w:p>
  <w:p w14:paraId="7606EC6A" w14:textId="77777777" w:rsidR="00A970A4" w:rsidRDefault="00A970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7E28A8" w14:textId="77777777" w:rsidR="00073054" w:rsidRDefault="00073054" w:rsidP="001F6901">
      <w:r>
        <w:separator/>
      </w:r>
    </w:p>
  </w:footnote>
  <w:footnote w:type="continuationSeparator" w:id="0">
    <w:p w14:paraId="743AF2DE" w14:textId="77777777" w:rsidR="00073054" w:rsidRDefault="00073054" w:rsidP="001F6901">
      <w:r>
        <w:continuationSeparator/>
      </w:r>
    </w:p>
  </w:footnote>
  <w:footnote w:id="1">
    <w:p w14:paraId="5EB00154" w14:textId="77777777" w:rsidR="00437B0D" w:rsidRPr="004332BF" w:rsidRDefault="00437B0D" w:rsidP="00437B0D">
      <w:pPr>
        <w:jc w:val="both"/>
        <w:rPr>
          <w:rFonts w:asciiTheme="minorHAnsi" w:hAnsiTheme="minorHAnsi"/>
          <w:sz w:val="20"/>
        </w:rPr>
      </w:pPr>
      <w:r>
        <w:rPr>
          <w:rStyle w:val="FootnoteReference"/>
        </w:rPr>
        <w:footnoteRef/>
      </w:r>
      <w:r>
        <w:t xml:space="preserve"> </w:t>
      </w:r>
      <w:r w:rsidRPr="004332BF">
        <w:rPr>
          <w:rFonts w:asciiTheme="minorHAnsi" w:hAnsiTheme="minorHAnsi"/>
          <w:sz w:val="20"/>
        </w:rPr>
        <w:t xml:space="preserve">For more information about our three organizations and respective memberships, please refer to the many previous formal comment letters that we uploaded over the last nine months to the ARB LCFS comments website. </w:t>
      </w:r>
    </w:p>
    <w:p w14:paraId="212FED0D" w14:textId="77777777" w:rsidR="00437B0D" w:rsidRDefault="00437B0D">
      <w:pPr>
        <w:pStyle w:val="FootnoteText"/>
      </w:pPr>
    </w:p>
  </w:footnote>
  <w:footnote w:id="2">
    <w:p w14:paraId="6CE8D3E9" w14:textId="29DAB135" w:rsidR="008F581F" w:rsidRDefault="008F581F">
      <w:pPr>
        <w:pStyle w:val="FootnoteText"/>
      </w:pPr>
      <w:r>
        <w:rPr>
          <w:rStyle w:val="FootnoteReference"/>
        </w:rPr>
        <w:footnoteRef/>
      </w:r>
      <w:r>
        <w:t xml:space="preserve"> Cai, H. et al, </w:t>
      </w:r>
      <w:r w:rsidRPr="008F581F">
        <w:t>The GREET Model Expansion for Well-to-Wheels Analysis of Heavy-Duty Vehicles</w:t>
      </w:r>
      <w:r>
        <w:t>, 2015</w:t>
      </w:r>
    </w:p>
  </w:footnote>
  <w:footnote w:id="3">
    <w:p w14:paraId="35F51BF6" w14:textId="12CA5D99" w:rsidR="007357D4" w:rsidRDefault="007357D4">
      <w:pPr>
        <w:pStyle w:val="FootnoteText"/>
      </w:pPr>
      <w:r>
        <w:rPr>
          <w:rStyle w:val="FootnoteReference"/>
        </w:rPr>
        <w:footnoteRef/>
      </w:r>
      <w:r>
        <w:t xml:space="preserve"> Orange County Transportation Authority, Award of Liquefied Natural Gas Contract – Staff Report, 2013 </w:t>
      </w:r>
      <w:hyperlink r:id="rId1" w:history="1">
        <w:r w:rsidRPr="00094F74">
          <w:rPr>
            <w:rStyle w:val="Hyperlink"/>
          </w:rPr>
          <w:t>http://atb.octa.net/AgendaPDFSite/10775_Staff%20Report.pdf</w:t>
        </w:r>
      </w:hyperlink>
      <w:r>
        <w:t xml:space="preserve"> </w:t>
      </w:r>
    </w:p>
  </w:footnote>
  <w:footnote w:id="4">
    <w:p w14:paraId="25DD6C51" w14:textId="75A4F54B" w:rsidR="00A26E4F" w:rsidRDefault="00A26E4F">
      <w:pPr>
        <w:pStyle w:val="FootnoteText"/>
      </w:pPr>
      <w:r>
        <w:rPr>
          <w:rStyle w:val="FootnoteReference"/>
        </w:rPr>
        <w:footnoteRef/>
      </w:r>
      <w:r>
        <w:t xml:space="preserve"> City of Santa Monica, LNG Fuel for the Big Blue Bus, Agenda Item 3-E, February 8, 2011. </w:t>
      </w:r>
      <w:hyperlink r:id="rId2" w:history="1">
        <w:r w:rsidRPr="00094F74">
          <w:rPr>
            <w:rStyle w:val="Hyperlink"/>
          </w:rPr>
          <w:t>http://www.smgov.net/departments/council/agendas/2011/20110208/s2011020803-E.htm</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F76CF" w14:textId="37DEDC1B" w:rsidR="00A970A4" w:rsidRPr="00F704CE" w:rsidRDefault="00D17E7B" w:rsidP="001F6901">
    <w:pPr>
      <w:pStyle w:val="Header"/>
      <w:jc w:val="center"/>
    </w:pPr>
    <w:r w:rsidRPr="005027A5">
      <w:rPr>
        <w:rFonts w:asciiTheme="minorHAnsi" w:hAnsiTheme="minorHAnsi"/>
      </w:rPr>
      <w:t xml:space="preserve">Comments on </w:t>
    </w:r>
    <w:r w:rsidRPr="00025FA9">
      <w:rPr>
        <w:rFonts w:asciiTheme="minorHAnsi" w:hAnsiTheme="minorHAnsi"/>
      </w:rPr>
      <w:t xml:space="preserve">ARB’s “Attachment A: </w:t>
    </w:r>
    <w:r w:rsidRPr="00983232">
      <w:rPr>
        <w:rFonts w:asciiTheme="minorHAnsi" w:hAnsiTheme="minorHAnsi"/>
        <w:u w:val="single"/>
      </w:rPr>
      <w:t>Second</w:t>
    </w:r>
    <w:r w:rsidRPr="00025FA9">
      <w:rPr>
        <w:rFonts w:asciiTheme="minorHAnsi" w:hAnsiTheme="minorHAnsi"/>
      </w:rPr>
      <w:t xml:space="preserve"> 15-Day </w:t>
    </w:r>
    <w:r>
      <w:rPr>
        <w:rFonts w:asciiTheme="minorHAnsi" w:hAnsiTheme="minorHAnsi"/>
      </w:rPr>
      <w:t xml:space="preserve">Modified </w:t>
    </w:r>
    <w:r w:rsidRPr="00025FA9">
      <w:rPr>
        <w:rFonts w:asciiTheme="minorHAnsi" w:hAnsiTheme="minorHAnsi"/>
      </w:rPr>
      <w:t>Regulation Order</w:t>
    </w:r>
    <w:r>
      <w:rPr>
        <w:rFonts w:asciiTheme="minorHAnsi" w:hAnsiTheme="minorHAnsi"/>
      </w:rPr>
      <w:t xml:space="preserve">” </w:t>
    </w:r>
    <w:r w:rsidR="00A970A4" w:rsidRPr="00F704CE">
      <w:rPr>
        <w:rFonts w:asciiTheme="minorHAnsi" w:hAnsiTheme="minorHAnsi"/>
      </w:rPr>
      <w:t>(continued)</w:t>
    </w:r>
    <w:r w:rsidR="003602C7">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9545F" w14:textId="77777777" w:rsidR="00A970A4" w:rsidRDefault="00A970A4">
    <w:pPr>
      <w:pStyle w:val="Header"/>
    </w:pPr>
    <w:r>
      <w:rPr>
        <w:noProof/>
        <w:color w:val="1F497D"/>
      </w:rPr>
      <w:drawing>
        <wp:anchor distT="0" distB="0" distL="114300" distR="114300" simplePos="0" relativeHeight="251658240" behindDoc="0" locked="0" layoutInCell="0" allowOverlap="0" wp14:anchorId="6B0581BA" wp14:editId="4D4EA552">
          <wp:simplePos x="0" y="0"/>
          <wp:positionH relativeFrom="column">
            <wp:posOffset>4886008</wp:posOffset>
          </wp:positionH>
          <wp:positionV relativeFrom="page">
            <wp:posOffset>328295</wp:posOffset>
          </wp:positionV>
          <wp:extent cx="969264" cy="841248"/>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NGC logo.png"/>
                  <pic:cNvPicPr/>
                </pic:nvPicPr>
                <pic:blipFill>
                  <a:blip r:embed="rId1">
                    <a:extLst>
                      <a:ext uri="{28A0092B-C50C-407E-A947-70E740481C1C}">
                        <a14:useLocalDpi xmlns:a14="http://schemas.microsoft.com/office/drawing/2010/main" val="0"/>
                      </a:ext>
                    </a:extLst>
                  </a:blip>
                  <a:stretch>
                    <a:fillRect/>
                  </a:stretch>
                </pic:blipFill>
                <pic:spPr>
                  <a:xfrm>
                    <a:off x="0" y="0"/>
                    <a:ext cx="969264" cy="841248"/>
                  </a:xfrm>
                  <a:prstGeom prst="rect">
                    <a:avLst/>
                  </a:prstGeom>
                </pic:spPr>
              </pic:pic>
            </a:graphicData>
          </a:graphic>
        </wp:anchor>
      </w:drawing>
    </w:r>
    <w:r>
      <w:rPr>
        <w:noProof/>
        <w:color w:val="1F497D"/>
      </w:rPr>
      <w:drawing>
        <wp:anchor distT="0" distB="0" distL="114300" distR="114300" simplePos="0" relativeHeight="251656192" behindDoc="0" locked="0" layoutInCell="0" allowOverlap="0" wp14:anchorId="5D29123B" wp14:editId="0BAD3A4D">
          <wp:simplePos x="0" y="0"/>
          <wp:positionH relativeFrom="column">
            <wp:posOffset>2175827</wp:posOffset>
          </wp:positionH>
          <wp:positionV relativeFrom="page">
            <wp:posOffset>537845</wp:posOffset>
          </wp:positionV>
          <wp:extent cx="1993265" cy="374650"/>
          <wp:effectExtent l="0" t="0" r="0" b="0"/>
          <wp:wrapSquare wrapText="bothSides"/>
          <wp:docPr id="1" name="Picture 1" descr="NGVAme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GVAmerica"/>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993265" cy="374650"/>
                  </a:xfrm>
                  <a:prstGeom prst="rect">
                    <a:avLst/>
                  </a:prstGeom>
                  <a:noFill/>
                  <a:ln>
                    <a:noFill/>
                  </a:ln>
                </pic:spPr>
              </pic:pic>
            </a:graphicData>
          </a:graphic>
        </wp:anchor>
      </w:drawing>
    </w:r>
    <w:r>
      <w:rPr>
        <w:noProof/>
      </w:rPr>
      <w:drawing>
        <wp:anchor distT="0" distB="0" distL="114300" distR="114300" simplePos="0" relativeHeight="251660288" behindDoc="0" locked="0" layoutInCell="0" allowOverlap="0" wp14:anchorId="0FA25FC9" wp14:editId="63416441">
          <wp:simplePos x="0" y="0"/>
          <wp:positionH relativeFrom="column">
            <wp:posOffset>157162</wp:posOffset>
          </wp:positionH>
          <wp:positionV relativeFrom="page">
            <wp:posOffset>276225</wp:posOffset>
          </wp:positionV>
          <wp:extent cx="1776095" cy="110363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76095" cy="110363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482A"/>
    <w:multiLevelType w:val="hybridMultilevel"/>
    <w:tmpl w:val="A47EF1D0"/>
    <w:lvl w:ilvl="0" w:tplc="46A6E618">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AC4BF7"/>
    <w:multiLevelType w:val="hybridMultilevel"/>
    <w:tmpl w:val="2D4C16C4"/>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
    <w:nsid w:val="13B072D6"/>
    <w:multiLevelType w:val="hybridMultilevel"/>
    <w:tmpl w:val="AB1866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986F6F"/>
    <w:multiLevelType w:val="hybridMultilevel"/>
    <w:tmpl w:val="7E248C9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ECB0281"/>
    <w:multiLevelType w:val="hybridMultilevel"/>
    <w:tmpl w:val="DEEEE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8A0067"/>
    <w:multiLevelType w:val="hybridMultilevel"/>
    <w:tmpl w:val="51BAC0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62B6FDB"/>
    <w:multiLevelType w:val="hybridMultilevel"/>
    <w:tmpl w:val="F310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044FD7"/>
    <w:multiLevelType w:val="hybridMultilevel"/>
    <w:tmpl w:val="E76A67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18155D4"/>
    <w:multiLevelType w:val="hybridMultilevel"/>
    <w:tmpl w:val="863AD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D54FFE"/>
    <w:multiLevelType w:val="hybridMultilevel"/>
    <w:tmpl w:val="F42859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3D928B5"/>
    <w:multiLevelType w:val="hybridMultilevel"/>
    <w:tmpl w:val="9F74B828"/>
    <w:lvl w:ilvl="0" w:tplc="455EA48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265B82"/>
    <w:multiLevelType w:val="hybridMultilevel"/>
    <w:tmpl w:val="F9AAA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A4C7B99"/>
    <w:multiLevelType w:val="hybridMultilevel"/>
    <w:tmpl w:val="DFE4D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5F72EAA"/>
    <w:multiLevelType w:val="hybridMultilevel"/>
    <w:tmpl w:val="9D62599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8E205A"/>
    <w:multiLevelType w:val="hybridMultilevel"/>
    <w:tmpl w:val="B67A0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CD3BFE"/>
    <w:multiLevelType w:val="hybridMultilevel"/>
    <w:tmpl w:val="59465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D83EFE"/>
    <w:multiLevelType w:val="hybridMultilevel"/>
    <w:tmpl w:val="B5900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9A9506F"/>
    <w:multiLevelType w:val="hybridMultilevel"/>
    <w:tmpl w:val="D384F05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A6F7F3B"/>
    <w:multiLevelType w:val="hybridMultilevel"/>
    <w:tmpl w:val="BE347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BD22C9C"/>
    <w:multiLevelType w:val="hybridMultilevel"/>
    <w:tmpl w:val="16866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722B40"/>
    <w:multiLevelType w:val="hybridMultilevel"/>
    <w:tmpl w:val="293AE2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6F613D3"/>
    <w:multiLevelType w:val="hybridMultilevel"/>
    <w:tmpl w:val="8048DA98"/>
    <w:lvl w:ilvl="0" w:tplc="033EA6E4">
      <w:start w:val="5"/>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nsid w:val="7A13721D"/>
    <w:multiLevelType w:val="hybridMultilevel"/>
    <w:tmpl w:val="32961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5"/>
  </w:num>
  <w:num w:numId="3">
    <w:abstractNumId w:val="12"/>
  </w:num>
  <w:num w:numId="4">
    <w:abstractNumId w:val="6"/>
  </w:num>
  <w:num w:numId="5">
    <w:abstractNumId w:val="18"/>
  </w:num>
  <w:num w:numId="6">
    <w:abstractNumId w:val="14"/>
  </w:num>
  <w:num w:numId="7">
    <w:abstractNumId w:val="2"/>
  </w:num>
  <w:num w:numId="8">
    <w:abstractNumId w:val="16"/>
  </w:num>
  <w:num w:numId="9">
    <w:abstractNumId w:val="21"/>
  </w:num>
  <w:num w:numId="10">
    <w:abstractNumId w:val="4"/>
  </w:num>
  <w:num w:numId="11">
    <w:abstractNumId w:val="1"/>
  </w:num>
  <w:num w:numId="12">
    <w:abstractNumId w:val="22"/>
  </w:num>
  <w:num w:numId="13">
    <w:abstractNumId w:val="8"/>
  </w:num>
  <w:num w:numId="14">
    <w:abstractNumId w:val="3"/>
  </w:num>
  <w:num w:numId="15">
    <w:abstractNumId w:val="5"/>
  </w:num>
  <w:num w:numId="16">
    <w:abstractNumId w:val="9"/>
  </w:num>
  <w:num w:numId="17">
    <w:abstractNumId w:val="0"/>
  </w:num>
  <w:num w:numId="18">
    <w:abstractNumId w:val="10"/>
  </w:num>
  <w:num w:numId="19">
    <w:abstractNumId w:val="13"/>
  </w:num>
  <w:num w:numId="20">
    <w:abstractNumId w:val="11"/>
  </w:num>
  <w:num w:numId="21">
    <w:abstractNumId w:val="19"/>
  </w:num>
  <w:num w:numId="22">
    <w:abstractNumId w:val="2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965"/>
    <w:rsid w:val="00014ACD"/>
    <w:rsid w:val="00025FA9"/>
    <w:rsid w:val="00061C68"/>
    <w:rsid w:val="00073054"/>
    <w:rsid w:val="00083584"/>
    <w:rsid w:val="00093603"/>
    <w:rsid w:val="000A72EA"/>
    <w:rsid w:val="000C6742"/>
    <w:rsid w:val="000D63BB"/>
    <w:rsid w:val="000E4A68"/>
    <w:rsid w:val="00100379"/>
    <w:rsid w:val="0010059D"/>
    <w:rsid w:val="00116579"/>
    <w:rsid w:val="00121772"/>
    <w:rsid w:val="00127389"/>
    <w:rsid w:val="00131D3F"/>
    <w:rsid w:val="001363EC"/>
    <w:rsid w:val="001450A8"/>
    <w:rsid w:val="00146112"/>
    <w:rsid w:val="00171983"/>
    <w:rsid w:val="00181589"/>
    <w:rsid w:val="00181887"/>
    <w:rsid w:val="00184413"/>
    <w:rsid w:val="00193D94"/>
    <w:rsid w:val="001A58C4"/>
    <w:rsid w:val="001A5E51"/>
    <w:rsid w:val="001A75D2"/>
    <w:rsid w:val="001B6134"/>
    <w:rsid w:val="001C181C"/>
    <w:rsid w:val="001C24ED"/>
    <w:rsid w:val="001D289A"/>
    <w:rsid w:val="001F6901"/>
    <w:rsid w:val="00200A02"/>
    <w:rsid w:val="00205F65"/>
    <w:rsid w:val="0021555B"/>
    <w:rsid w:val="0022058C"/>
    <w:rsid w:val="00223965"/>
    <w:rsid w:val="002413CA"/>
    <w:rsid w:val="0024386A"/>
    <w:rsid w:val="00252C78"/>
    <w:rsid w:val="00263E4D"/>
    <w:rsid w:val="00263FBB"/>
    <w:rsid w:val="00283EB2"/>
    <w:rsid w:val="00284E38"/>
    <w:rsid w:val="002B27F0"/>
    <w:rsid w:val="002C5DA6"/>
    <w:rsid w:val="002C6BC5"/>
    <w:rsid w:val="002D43BF"/>
    <w:rsid w:val="00305040"/>
    <w:rsid w:val="003202E1"/>
    <w:rsid w:val="00320C66"/>
    <w:rsid w:val="00322317"/>
    <w:rsid w:val="00335556"/>
    <w:rsid w:val="003602C7"/>
    <w:rsid w:val="003815D6"/>
    <w:rsid w:val="00386C11"/>
    <w:rsid w:val="00391A2E"/>
    <w:rsid w:val="00392F15"/>
    <w:rsid w:val="00396823"/>
    <w:rsid w:val="003A1C74"/>
    <w:rsid w:val="003A2022"/>
    <w:rsid w:val="003D05ED"/>
    <w:rsid w:val="00400668"/>
    <w:rsid w:val="0040265D"/>
    <w:rsid w:val="00404916"/>
    <w:rsid w:val="00410BA8"/>
    <w:rsid w:val="00411433"/>
    <w:rsid w:val="004222B7"/>
    <w:rsid w:val="00426FE8"/>
    <w:rsid w:val="0042745A"/>
    <w:rsid w:val="00430621"/>
    <w:rsid w:val="00430838"/>
    <w:rsid w:val="004332BF"/>
    <w:rsid w:val="00437B0D"/>
    <w:rsid w:val="0044364A"/>
    <w:rsid w:val="004666D7"/>
    <w:rsid w:val="004759E5"/>
    <w:rsid w:val="0049056A"/>
    <w:rsid w:val="00496490"/>
    <w:rsid w:val="004A68E9"/>
    <w:rsid w:val="004B377B"/>
    <w:rsid w:val="004B60B2"/>
    <w:rsid w:val="004D1DE0"/>
    <w:rsid w:val="004F080F"/>
    <w:rsid w:val="004F3D35"/>
    <w:rsid w:val="005013B3"/>
    <w:rsid w:val="005027A5"/>
    <w:rsid w:val="005155D0"/>
    <w:rsid w:val="00525B09"/>
    <w:rsid w:val="00537FE4"/>
    <w:rsid w:val="0055570B"/>
    <w:rsid w:val="00557E2B"/>
    <w:rsid w:val="00564F67"/>
    <w:rsid w:val="00574C96"/>
    <w:rsid w:val="005B15BE"/>
    <w:rsid w:val="005B73EE"/>
    <w:rsid w:val="005D0A4F"/>
    <w:rsid w:val="00605A2A"/>
    <w:rsid w:val="00622205"/>
    <w:rsid w:val="00627584"/>
    <w:rsid w:val="00631825"/>
    <w:rsid w:val="00633486"/>
    <w:rsid w:val="006401DA"/>
    <w:rsid w:val="006519CB"/>
    <w:rsid w:val="006539F4"/>
    <w:rsid w:val="00673141"/>
    <w:rsid w:val="0067771C"/>
    <w:rsid w:val="0068093A"/>
    <w:rsid w:val="00683D9F"/>
    <w:rsid w:val="006B5BA8"/>
    <w:rsid w:val="006B76A2"/>
    <w:rsid w:val="006C1777"/>
    <w:rsid w:val="006E0762"/>
    <w:rsid w:val="006F2D99"/>
    <w:rsid w:val="00733713"/>
    <w:rsid w:val="007357D4"/>
    <w:rsid w:val="00736D21"/>
    <w:rsid w:val="00740C3C"/>
    <w:rsid w:val="00743543"/>
    <w:rsid w:val="00762157"/>
    <w:rsid w:val="007633A8"/>
    <w:rsid w:val="00776848"/>
    <w:rsid w:val="00776991"/>
    <w:rsid w:val="00782010"/>
    <w:rsid w:val="00793972"/>
    <w:rsid w:val="00794CCC"/>
    <w:rsid w:val="007C3369"/>
    <w:rsid w:val="007C5D19"/>
    <w:rsid w:val="007D6860"/>
    <w:rsid w:val="007E13A2"/>
    <w:rsid w:val="007E274C"/>
    <w:rsid w:val="007F4B86"/>
    <w:rsid w:val="00810827"/>
    <w:rsid w:val="00825CC6"/>
    <w:rsid w:val="008305A1"/>
    <w:rsid w:val="008428F5"/>
    <w:rsid w:val="0084528C"/>
    <w:rsid w:val="00851772"/>
    <w:rsid w:val="00861189"/>
    <w:rsid w:val="00863E17"/>
    <w:rsid w:val="0087100F"/>
    <w:rsid w:val="00871835"/>
    <w:rsid w:val="0088534D"/>
    <w:rsid w:val="00885E8C"/>
    <w:rsid w:val="008A2599"/>
    <w:rsid w:val="008A3FAE"/>
    <w:rsid w:val="008A41EB"/>
    <w:rsid w:val="008A7D22"/>
    <w:rsid w:val="008B6D5E"/>
    <w:rsid w:val="008C4A2A"/>
    <w:rsid w:val="008D624F"/>
    <w:rsid w:val="008E0C0D"/>
    <w:rsid w:val="008E2321"/>
    <w:rsid w:val="008F581F"/>
    <w:rsid w:val="00902FDC"/>
    <w:rsid w:val="00910BFF"/>
    <w:rsid w:val="00917069"/>
    <w:rsid w:val="00935180"/>
    <w:rsid w:val="009356D0"/>
    <w:rsid w:val="00953431"/>
    <w:rsid w:val="00967056"/>
    <w:rsid w:val="00971F8E"/>
    <w:rsid w:val="00973357"/>
    <w:rsid w:val="009761A0"/>
    <w:rsid w:val="00980EC0"/>
    <w:rsid w:val="00983232"/>
    <w:rsid w:val="0099429C"/>
    <w:rsid w:val="00995A74"/>
    <w:rsid w:val="009A24D6"/>
    <w:rsid w:val="009A3DFA"/>
    <w:rsid w:val="009C1F9F"/>
    <w:rsid w:val="009C31F3"/>
    <w:rsid w:val="009E3D03"/>
    <w:rsid w:val="00A04425"/>
    <w:rsid w:val="00A05051"/>
    <w:rsid w:val="00A05626"/>
    <w:rsid w:val="00A10769"/>
    <w:rsid w:val="00A10A36"/>
    <w:rsid w:val="00A14916"/>
    <w:rsid w:val="00A158CC"/>
    <w:rsid w:val="00A16ECA"/>
    <w:rsid w:val="00A26E4F"/>
    <w:rsid w:val="00A30F6E"/>
    <w:rsid w:val="00A34CB7"/>
    <w:rsid w:val="00A50BFB"/>
    <w:rsid w:val="00A601C1"/>
    <w:rsid w:val="00A61708"/>
    <w:rsid w:val="00A65919"/>
    <w:rsid w:val="00A67228"/>
    <w:rsid w:val="00A71D73"/>
    <w:rsid w:val="00A754D9"/>
    <w:rsid w:val="00A75A01"/>
    <w:rsid w:val="00A76387"/>
    <w:rsid w:val="00A77DD8"/>
    <w:rsid w:val="00A956D4"/>
    <w:rsid w:val="00A9605B"/>
    <w:rsid w:val="00A970A4"/>
    <w:rsid w:val="00AA3871"/>
    <w:rsid w:val="00AB0930"/>
    <w:rsid w:val="00AB44DA"/>
    <w:rsid w:val="00AB69D4"/>
    <w:rsid w:val="00AC0603"/>
    <w:rsid w:val="00AC5707"/>
    <w:rsid w:val="00B00BB2"/>
    <w:rsid w:val="00B12A8B"/>
    <w:rsid w:val="00B161DB"/>
    <w:rsid w:val="00B20213"/>
    <w:rsid w:val="00B22DF2"/>
    <w:rsid w:val="00B272B0"/>
    <w:rsid w:val="00B27714"/>
    <w:rsid w:val="00B43401"/>
    <w:rsid w:val="00B651BE"/>
    <w:rsid w:val="00B662ED"/>
    <w:rsid w:val="00B93306"/>
    <w:rsid w:val="00BA0786"/>
    <w:rsid w:val="00BA69DF"/>
    <w:rsid w:val="00BB0FC1"/>
    <w:rsid w:val="00BB1CAA"/>
    <w:rsid w:val="00BC5FF3"/>
    <w:rsid w:val="00BD1419"/>
    <w:rsid w:val="00BD2711"/>
    <w:rsid w:val="00BE464E"/>
    <w:rsid w:val="00C174E4"/>
    <w:rsid w:val="00C2319E"/>
    <w:rsid w:val="00C43792"/>
    <w:rsid w:val="00C560CB"/>
    <w:rsid w:val="00C618DB"/>
    <w:rsid w:val="00C63FD2"/>
    <w:rsid w:val="00C86B94"/>
    <w:rsid w:val="00CB0E00"/>
    <w:rsid w:val="00CD40D7"/>
    <w:rsid w:val="00CD702F"/>
    <w:rsid w:val="00CE319F"/>
    <w:rsid w:val="00CE44D2"/>
    <w:rsid w:val="00CE7035"/>
    <w:rsid w:val="00CF1B22"/>
    <w:rsid w:val="00CF22AF"/>
    <w:rsid w:val="00D17E7B"/>
    <w:rsid w:val="00D35519"/>
    <w:rsid w:val="00D37E60"/>
    <w:rsid w:val="00D4007E"/>
    <w:rsid w:val="00D4196F"/>
    <w:rsid w:val="00D545DD"/>
    <w:rsid w:val="00D56B10"/>
    <w:rsid w:val="00D70A2E"/>
    <w:rsid w:val="00D7166E"/>
    <w:rsid w:val="00D72235"/>
    <w:rsid w:val="00D80116"/>
    <w:rsid w:val="00D92191"/>
    <w:rsid w:val="00DA0C3F"/>
    <w:rsid w:val="00DA1270"/>
    <w:rsid w:val="00DA6FEA"/>
    <w:rsid w:val="00DD216E"/>
    <w:rsid w:val="00DD37B7"/>
    <w:rsid w:val="00E05ACC"/>
    <w:rsid w:val="00E05ACE"/>
    <w:rsid w:val="00E165AF"/>
    <w:rsid w:val="00E20352"/>
    <w:rsid w:val="00E307A6"/>
    <w:rsid w:val="00E410AC"/>
    <w:rsid w:val="00E43892"/>
    <w:rsid w:val="00E60964"/>
    <w:rsid w:val="00E63383"/>
    <w:rsid w:val="00E7632C"/>
    <w:rsid w:val="00E857D4"/>
    <w:rsid w:val="00E91A4A"/>
    <w:rsid w:val="00EB68D4"/>
    <w:rsid w:val="00EC4F08"/>
    <w:rsid w:val="00EC7F63"/>
    <w:rsid w:val="00ED069C"/>
    <w:rsid w:val="00EF298A"/>
    <w:rsid w:val="00F01D8A"/>
    <w:rsid w:val="00F21D67"/>
    <w:rsid w:val="00F24313"/>
    <w:rsid w:val="00F30751"/>
    <w:rsid w:val="00F37984"/>
    <w:rsid w:val="00F43566"/>
    <w:rsid w:val="00F52941"/>
    <w:rsid w:val="00F63603"/>
    <w:rsid w:val="00F646C7"/>
    <w:rsid w:val="00F65875"/>
    <w:rsid w:val="00F704CE"/>
    <w:rsid w:val="00F9638B"/>
    <w:rsid w:val="00FA1D8B"/>
    <w:rsid w:val="00FD624B"/>
    <w:rsid w:val="00FD6559"/>
    <w:rsid w:val="00FE0EEF"/>
    <w:rsid w:val="00FF6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389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96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965"/>
    <w:pPr>
      <w:ind w:left="720"/>
    </w:pPr>
  </w:style>
  <w:style w:type="character" w:styleId="CommentReference">
    <w:name w:val="annotation reference"/>
    <w:basedOn w:val="DefaultParagraphFont"/>
    <w:uiPriority w:val="99"/>
    <w:semiHidden/>
    <w:unhideWhenUsed/>
    <w:rsid w:val="00A16ECA"/>
    <w:rPr>
      <w:sz w:val="16"/>
      <w:szCs w:val="16"/>
    </w:rPr>
  </w:style>
  <w:style w:type="paragraph" w:styleId="CommentText">
    <w:name w:val="annotation text"/>
    <w:basedOn w:val="Normal"/>
    <w:link w:val="CommentTextChar"/>
    <w:uiPriority w:val="99"/>
    <w:semiHidden/>
    <w:unhideWhenUsed/>
    <w:rsid w:val="00A16ECA"/>
    <w:rPr>
      <w:sz w:val="20"/>
      <w:szCs w:val="20"/>
    </w:rPr>
  </w:style>
  <w:style w:type="character" w:customStyle="1" w:styleId="CommentTextChar">
    <w:name w:val="Comment Text Char"/>
    <w:basedOn w:val="DefaultParagraphFont"/>
    <w:link w:val="CommentText"/>
    <w:uiPriority w:val="99"/>
    <w:semiHidden/>
    <w:rsid w:val="00A16EC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16ECA"/>
    <w:rPr>
      <w:b/>
      <w:bCs/>
    </w:rPr>
  </w:style>
  <w:style w:type="character" w:customStyle="1" w:styleId="CommentSubjectChar">
    <w:name w:val="Comment Subject Char"/>
    <w:basedOn w:val="CommentTextChar"/>
    <w:link w:val="CommentSubject"/>
    <w:uiPriority w:val="99"/>
    <w:semiHidden/>
    <w:rsid w:val="00A16ECA"/>
    <w:rPr>
      <w:rFonts w:ascii="Calibri" w:hAnsi="Calibri" w:cs="Times New Roman"/>
      <w:b/>
      <w:bCs/>
      <w:sz w:val="20"/>
      <w:szCs w:val="20"/>
    </w:rPr>
  </w:style>
  <w:style w:type="paragraph" w:styleId="BalloonText">
    <w:name w:val="Balloon Text"/>
    <w:basedOn w:val="Normal"/>
    <w:link w:val="BalloonTextChar"/>
    <w:uiPriority w:val="99"/>
    <w:semiHidden/>
    <w:unhideWhenUsed/>
    <w:rsid w:val="00A16E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ECA"/>
    <w:rPr>
      <w:rFonts w:ascii="Segoe UI" w:hAnsi="Segoe UI" w:cs="Segoe UI"/>
      <w:sz w:val="18"/>
      <w:szCs w:val="18"/>
    </w:rPr>
  </w:style>
  <w:style w:type="character" w:styleId="Hyperlink">
    <w:name w:val="Hyperlink"/>
    <w:basedOn w:val="DefaultParagraphFont"/>
    <w:uiPriority w:val="99"/>
    <w:unhideWhenUsed/>
    <w:rsid w:val="004B60B2"/>
    <w:rPr>
      <w:color w:val="0000FF" w:themeColor="hyperlink"/>
      <w:u w:val="single"/>
    </w:rPr>
  </w:style>
  <w:style w:type="paragraph" w:styleId="Header">
    <w:name w:val="header"/>
    <w:basedOn w:val="Normal"/>
    <w:link w:val="HeaderChar"/>
    <w:uiPriority w:val="99"/>
    <w:unhideWhenUsed/>
    <w:rsid w:val="001F6901"/>
    <w:pPr>
      <w:tabs>
        <w:tab w:val="center" w:pos="4680"/>
        <w:tab w:val="right" w:pos="9360"/>
      </w:tabs>
    </w:pPr>
  </w:style>
  <w:style w:type="character" w:customStyle="1" w:styleId="HeaderChar">
    <w:name w:val="Header Char"/>
    <w:basedOn w:val="DefaultParagraphFont"/>
    <w:link w:val="Header"/>
    <w:uiPriority w:val="99"/>
    <w:rsid w:val="001F6901"/>
    <w:rPr>
      <w:rFonts w:ascii="Calibri" w:hAnsi="Calibri" w:cs="Times New Roman"/>
    </w:rPr>
  </w:style>
  <w:style w:type="paragraph" w:styleId="Footer">
    <w:name w:val="footer"/>
    <w:basedOn w:val="Normal"/>
    <w:link w:val="FooterChar"/>
    <w:uiPriority w:val="99"/>
    <w:unhideWhenUsed/>
    <w:rsid w:val="001F6901"/>
    <w:pPr>
      <w:tabs>
        <w:tab w:val="center" w:pos="4680"/>
        <w:tab w:val="right" w:pos="9360"/>
      </w:tabs>
    </w:pPr>
  </w:style>
  <w:style w:type="character" w:customStyle="1" w:styleId="FooterChar">
    <w:name w:val="Footer Char"/>
    <w:basedOn w:val="DefaultParagraphFont"/>
    <w:link w:val="Footer"/>
    <w:uiPriority w:val="99"/>
    <w:rsid w:val="001F6901"/>
    <w:rPr>
      <w:rFonts w:ascii="Calibri" w:hAnsi="Calibri" w:cs="Times New Roman"/>
    </w:rPr>
  </w:style>
  <w:style w:type="paragraph" w:styleId="FootnoteText">
    <w:name w:val="footnote text"/>
    <w:basedOn w:val="Normal"/>
    <w:link w:val="FootnoteTextChar"/>
    <w:uiPriority w:val="99"/>
    <w:semiHidden/>
    <w:unhideWhenUsed/>
    <w:rsid w:val="00E05ACC"/>
    <w:rPr>
      <w:sz w:val="20"/>
      <w:szCs w:val="20"/>
    </w:rPr>
  </w:style>
  <w:style w:type="character" w:customStyle="1" w:styleId="FootnoteTextChar">
    <w:name w:val="Footnote Text Char"/>
    <w:basedOn w:val="DefaultParagraphFont"/>
    <w:link w:val="FootnoteText"/>
    <w:uiPriority w:val="99"/>
    <w:semiHidden/>
    <w:rsid w:val="00E05ACC"/>
    <w:rPr>
      <w:rFonts w:ascii="Calibri" w:hAnsi="Calibri" w:cs="Times New Roman"/>
      <w:sz w:val="20"/>
      <w:szCs w:val="20"/>
    </w:rPr>
  </w:style>
  <w:style w:type="character" w:styleId="FootnoteReference">
    <w:name w:val="footnote reference"/>
    <w:basedOn w:val="DefaultParagraphFont"/>
    <w:uiPriority w:val="99"/>
    <w:semiHidden/>
    <w:unhideWhenUsed/>
    <w:rsid w:val="00E05ACC"/>
    <w:rPr>
      <w:vertAlign w:val="superscript"/>
    </w:rPr>
  </w:style>
  <w:style w:type="paragraph" w:styleId="Revision">
    <w:name w:val="Revision"/>
    <w:hidden/>
    <w:uiPriority w:val="99"/>
    <w:semiHidden/>
    <w:rsid w:val="00184413"/>
    <w:pPr>
      <w:spacing w:after="0" w:line="240" w:lineRule="auto"/>
    </w:pPr>
    <w:rPr>
      <w:rFonts w:ascii="Calibri" w:hAnsi="Calibri" w:cs="Times New Roman"/>
    </w:rPr>
  </w:style>
  <w:style w:type="paragraph" w:styleId="Caption">
    <w:name w:val="caption"/>
    <w:basedOn w:val="Normal"/>
    <w:next w:val="Normal"/>
    <w:uiPriority w:val="35"/>
    <w:unhideWhenUsed/>
    <w:qFormat/>
    <w:rsid w:val="00B272B0"/>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96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965"/>
    <w:pPr>
      <w:ind w:left="720"/>
    </w:pPr>
  </w:style>
  <w:style w:type="character" w:styleId="CommentReference">
    <w:name w:val="annotation reference"/>
    <w:basedOn w:val="DefaultParagraphFont"/>
    <w:uiPriority w:val="99"/>
    <w:semiHidden/>
    <w:unhideWhenUsed/>
    <w:rsid w:val="00A16ECA"/>
    <w:rPr>
      <w:sz w:val="16"/>
      <w:szCs w:val="16"/>
    </w:rPr>
  </w:style>
  <w:style w:type="paragraph" w:styleId="CommentText">
    <w:name w:val="annotation text"/>
    <w:basedOn w:val="Normal"/>
    <w:link w:val="CommentTextChar"/>
    <w:uiPriority w:val="99"/>
    <w:semiHidden/>
    <w:unhideWhenUsed/>
    <w:rsid w:val="00A16ECA"/>
    <w:rPr>
      <w:sz w:val="20"/>
      <w:szCs w:val="20"/>
    </w:rPr>
  </w:style>
  <w:style w:type="character" w:customStyle="1" w:styleId="CommentTextChar">
    <w:name w:val="Comment Text Char"/>
    <w:basedOn w:val="DefaultParagraphFont"/>
    <w:link w:val="CommentText"/>
    <w:uiPriority w:val="99"/>
    <w:semiHidden/>
    <w:rsid w:val="00A16EC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16ECA"/>
    <w:rPr>
      <w:b/>
      <w:bCs/>
    </w:rPr>
  </w:style>
  <w:style w:type="character" w:customStyle="1" w:styleId="CommentSubjectChar">
    <w:name w:val="Comment Subject Char"/>
    <w:basedOn w:val="CommentTextChar"/>
    <w:link w:val="CommentSubject"/>
    <w:uiPriority w:val="99"/>
    <w:semiHidden/>
    <w:rsid w:val="00A16ECA"/>
    <w:rPr>
      <w:rFonts w:ascii="Calibri" w:hAnsi="Calibri" w:cs="Times New Roman"/>
      <w:b/>
      <w:bCs/>
      <w:sz w:val="20"/>
      <w:szCs w:val="20"/>
    </w:rPr>
  </w:style>
  <w:style w:type="paragraph" w:styleId="BalloonText">
    <w:name w:val="Balloon Text"/>
    <w:basedOn w:val="Normal"/>
    <w:link w:val="BalloonTextChar"/>
    <w:uiPriority w:val="99"/>
    <w:semiHidden/>
    <w:unhideWhenUsed/>
    <w:rsid w:val="00A16E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ECA"/>
    <w:rPr>
      <w:rFonts w:ascii="Segoe UI" w:hAnsi="Segoe UI" w:cs="Segoe UI"/>
      <w:sz w:val="18"/>
      <w:szCs w:val="18"/>
    </w:rPr>
  </w:style>
  <w:style w:type="character" w:styleId="Hyperlink">
    <w:name w:val="Hyperlink"/>
    <w:basedOn w:val="DefaultParagraphFont"/>
    <w:uiPriority w:val="99"/>
    <w:unhideWhenUsed/>
    <w:rsid w:val="004B60B2"/>
    <w:rPr>
      <w:color w:val="0000FF" w:themeColor="hyperlink"/>
      <w:u w:val="single"/>
    </w:rPr>
  </w:style>
  <w:style w:type="paragraph" w:styleId="Header">
    <w:name w:val="header"/>
    <w:basedOn w:val="Normal"/>
    <w:link w:val="HeaderChar"/>
    <w:uiPriority w:val="99"/>
    <w:unhideWhenUsed/>
    <w:rsid w:val="001F6901"/>
    <w:pPr>
      <w:tabs>
        <w:tab w:val="center" w:pos="4680"/>
        <w:tab w:val="right" w:pos="9360"/>
      </w:tabs>
    </w:pPr>
  </w:style>
  <w:style w:type="character" w:customStyle="1" w:styleId="HeaderChar">
    <w:name w:val="Header Char"/>
    <w:basedOn w:val="DefaultParagraphFont"/>
    <w:link w:val="Header"/>
    <w:uiPriority w:val="99"/>
    <w:rsid w:val="001F6901"/>
    <w:rPr>
      <w:rFonts w:ascii="Calibri" w:hAnsi="Calibri" w:cs="Times New Roman"/>
    </w:rPr>
  </w:style>
  <w:style w:type="paragraph" w:styleId="Footer">
    <w:name w:val="footer"/>
    <w:basedOn w:val="Normal"/>
    <w:link w:val="FooterChar"/>
    <w:uiPriority w:val="99"/>
    <w:unhideWhenUsed/>
    <w:rsid w:val="001F6901"/>
    <w:pPr>
      <w:tabs>
        <w:tab w:val="center" w:pos="4680"/>
        <w:tab w:val="right" w:pos="9360"/>
      </w:tabs>
    </w:pPr>
  </w:style>
  <w:style w:type="character" w:customStyle="1" w:styleId="FooterChar">
    <w:name w:val="Footer Char"/>
    <w:basedOn w:val="DefaultParagraphFont"/>
    <w:link w:val="Footer"/>
    <w:uiPriority w:val="99"/>
    <w:rsid w:val="001F6901"/>
    <w:rPr>
      <w:rFonts w:ascii="Calibri" w:hAnsi="Calibri" w:cs="Times New Roman"/>
    </w:rPr>
  </w:style>
  <w:style w:type="paragraph" w:styleId="FootnoteText">
    <w:name w:val="footnote text"/>
    <w:basedOn w:val="Normal"/>
    <w:link w:val="FootnoteTextChar"/>
    <w:uiPriority w:val="99"/>
    <w:semiHidden/>
    <w:unhideWhenUsed/>
    <w:rsid w:val="00E05ACC"/>
    <w:rPr>
      <w:sz w:val="20"/>
      <w:szCs w:val="20"/>
    </w:rPr>
  </w:style>
  <w:style w:type="character" w:customStyle="1" w:styleId="FootnoteTextChar">
    <w:name w:val="Footnote Text Char"/>
    <w:basedOn w:val="DefaultParagraphFont"/>
    <w:link w:val="FootnoteText"/>
    <w:uiPriority w:val="99"/>
    <w:semiHidden/>
    <w:rsid w:val="00E05ACC"/>
    <w:rPr>
      <w:rFonts w:ascii="Calibri" w:hAnsi="Calibri" w:cs="Times New Roman"/>
      <w:sz w:val="20"/>
      <w:szCs w:val="20"/>
    </w:rPr>
  </w:style>
  <w:style w:type="character" w:styleId="FootnoteReference">
    <w:name w:val="footnote reference"/>
    <w:basedOn w:val="DefaultParagraphFont"/>
    <w:uiPriority w:val="99"/>
    <w:semiHidden/>
    <w:unhideWhenUsed/>
    <w:rsid w:val="00E05ACC"/>
    <w:rPr>
      <w:vertAlign w:val="superscript"/>
    </w:rPr>
  </w:style>
  <w:style w:type="paragraph" w:styleId="Revision">
    <w:name w:val="Revision"/>
    <w:hidden/>
    <w:uiPriority w:val="99"/>
    <w:semiHidden/>
    <w:rsid w:val="00184413"/>
    <w:pPr>
      <w:spacing w:after="0" w:line="240" w:lineRule="auto"/>
    </w:pPr>
    <w:rPr>
      <w:rFonts w:ascii="Calibri" w:hAnsi="Calibri" w:cs="Times New Roman"/>
    </w:rPr>
  </w:style>
  <w:style w:type="paragraph" w:styleId="Caption">
    <w:name w:val="caption"/>
    <w:basedOn w:val="Normal"/>
    <w:next w:val="Normal"/>
    <w:uiPriority w:val="35"/>
    <w:unhideWhenUsed/>
    <w:qFormat/>
    <w:rsid w:val="00B272B0"/>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53251">
      <w:bodyDiv w:val="1"/>
      <w:marLeft w:val="0"/>
      <w:marRight w:val="0"/>
      <w:marTop w:val="0"/>
      <w:marBottom w:val="0"/>
      <w:divBdr>
        <w:top w:val="none" w:sz="0" w:space="0" w:color="auto"/>
        <w:left w:val="none" w:sz="0" w:space="0" w:color="auto"/>
        <w:bottom w:val="none" w:sz="0" w:space="0" w:color="auto"/>
        <w:right w:val="none" w:sz="0" w:space="0" w:color="auto"/>
      </w:divBdr>
    </w:div>
    <w:div w:id="214046846">
      <w:bodyDiv w:val="1"/>
      <w:marLeft w:val="0"/>
      <w:marRight w:val="0"/>
      <w:marTop w:val="0"/>
      <w:marBottom w:val="0"/>
      <w:divBdr>
        <w:top w:val="none" w:sz="0" w:space="0" w:color="auto"/>
        <w:left w:val="none" w:sz="0" w:space="0" w:color="auto"/>
        <w:bottom w:val="none" w:sz="0" w:space="0" w:color="auto"/>
        <w:right w:val="none" w:sz="0" w:space="0" w:color="auto"/>
      </w:divBdr>
    </w:div>
    <w:div w:id="385643810">
      <w:bodyDiv w:val="1"/>
      <w:marLeft w:val="0"/>
      <w:marRight w:val="0"/>
      <w:marTop w:val="0"/>
      <w:marBottom w:val="0"/>
      <w:divBdr>
        <w:top w:val="none" w:sz="0" w:space="0" w:color="auto"/>
        <w:left w:val="none" w:sz="0" w:space="0" w:color="auto"/>
        <w:bottom w:val="none" w:sz="0" w:space="0" w:color="auto"/>
        <w:right w:val="none" w:sz="0" w:space="0" w:color="auto"/>
      </w:divBdr>
    </w:div>
    <w:div w:id="577248466">
      <w:bodyDiv w:val="1"/>
      <w:marLeft w:val="0"/>
      <w:marRight w:val="0"/>
      <w:marTop w:val="0"/>
      <w:marBottom w:val="0"/>
      <w:divBdr>
        <w:top w:val="none" w:sz="0" w:space="0" w:color="auto"/>
        <w:left w:val="none" w:sz="0" w:space="0" w:color="auto"/>
        <w:bottom w:val="none" w:sz="0" w:space="0" w:color="auto"/>
        <w:right w:val="none" w:sz="0" w:space="0" w:color="auto"/>
      </w:divBdr>
    </w:div>
    <w:div w:id="808744799">
      <w:bodyDiv w:val="1"/>
      <w:marLeft w:val="0"/>
      <w:marRight w:val="0"/>
      <w:marTop w:val="0"/>
      <w:marBottom w:val="0"/>
      <w:divBdr>
        <w:top w:val="none" w:sz="0" w:space="0" w:color="auto"/>
        <w:left w:val="none" w:sz="0" w:space="0" w:color="auto"/>
        <w:bottom w:val="none" w:sz="0" w:space="0" w:color="auto"/>
        <w:right w:val="none" w:sz="0" w:space="0" w:color="auto"/>
      </w:divBdr>
    </w:div>
    <w:div w:id="1234243167">
      <w:bodyDiv w:val="1"/>
      <w:marLeft w:val="0"/>
      <w:marRight w:val="0"/>
      <w:marTop w:val="0"/>
      <w:marBottom w:val="0"/>
      <w:divBdr>
        <w:top w:val="none" w:sz="0" w:space="0" w:color="auto"/>
        <w:left w:val="none" w:sz="0" w:space="0" w:color="auto"/>
        <w:bottom w:val="none" w:sz="0" w:space="0" w:color="auto"/>
        <w:right w:val="none" w:sz="0" w:space="0" w:color="auto"/>
      </w:divBdr>
      <w:divsChild>
        <w:div w:id="2123068863">
          <w:marLeft w:val="0"/>
          <w:marRight w:val="0"/>
          <w:marTop w:val="0"/>
          <w:marBottom w:val="0"/>
          <w:divBdr>
            <w:top w:val="none" w:sz="0" w:space="0" w:color="auto"/>
            <w:left w:val="none" w:sz="0" w:space="0" w:color="auto"/>
            <w:bottom w:val="none" w:sz="0" w:space="0" w:color="auto"/>
            <w:right w:val="none" w:sz="0" w:space="0" w:color="auto"/>
          </w:divBdr>
        </w:div>
        <w:div w:id="1070006938">
          <w:marLeft w:val="0"/>
          <w:marRight w:val="0"/>
          <w:marTop w:val="0"/>
          <w:marBottom w:val="0"/>
          <w:divBdr>
            <w:top w:val="none" w:sz="0" w:space="0" w:color="auto"/>
            <w:left w:val="none" w:sz="0" w:space="0" w:color="auto"/>
            <w:bottom w:val="none" w:sz="0" w:space="0" w:color="auto"/>
            <w:right w:val="none" w:sz="0" w:space="0" w:color="auto"/>
          </w:divBdr>
        </w:div>
        <w:div w:id="1292517961">
          <w:marLeft w:val="0"/>
          <w:marRight w:val="0"/>
          <w:marTop w:val="0"/>
          <w:marBottom w:val="0"/>
          <w:divBdr>
            <w:top w:val="none" w:sz="0" w:space="0" w:color="auto"/>
            <w:left w:val="none" w:sz="0" w:space="0" w:color="auto"/>
            <w:bottom w:val="none" w:sz="0" w:space="0" w:color="auto"/>
            <w:right w:val="none" w:sz="0" w:space="0" w:color="auto"/>
          </w:divBdr>
        </w:div>
        <w:div w:id="151214543">
          <w:marLeft w:val="0"/>
          <w:marRight w:val="0"/>
          <w:marTop w:val="0"/>
          <w:marBottom w:val="0"/>
          <w:divBdr>
            <w:top w:val="none" w:sz="0" w:space="0" w:color="auto"/>
            <w:left w:val="none" w:sz="0" w:space="0" w:color="auto"/>
            <w:bottom w:val="none" w:sz="0" w:space="0" w:color="auto"/>
            <w:right w:val="none" w:sz="0" w:space="0" w:color="auto"/>
          </w:divBdr>
        </w:div>
        <w:div w:id="1781103117">
          <w:marLeft w:val="0"/>
          <w:marRight w:val="0"/>
          <w:marTop w:val="0"/>
          <w:marBottom w:val="0"/>
          <w:divBdr>
            <w:top w:val="none" w:sz="0" w:space="0" w:color="auto"/>
            <w:left w:val="none" w:sz="0" w:space="0" w:color="auto"/>
            <w:bottom w:val="none" w:sz="0" w:space="0" w:color="auto"/>
            <w:right w:val="none" w:sz="0" w:space="0" w:color="auto"/>
          </w:divBdr>
        </w:div>
        <w:div w:id="63769831">
          <w:marLeft w:val="0"/>
          <w:marRight w:val="0"/>
          <w:marTop w:val="0"/>
          <w:marBottom w:val="0"/>
          <w:divBdr>
            <w:top w:val="none" w:sz="0" w:space="0" w:color="auto"/>
            <w:left w:val="none" w:sz="0" w:space="0" w:color="auto"/>
            <w:bottom w:val="none" w:sz="0" w:space="0" w:color="auto"/>
            <w:right w:val="none" w:sz="0" w:space="0" w:color="auto"/>
          </w:divBdr>
        </w:div>
        <w:div w:id="166214742">
          <w:marLeft w:val="0"/>
          <w:marRight w:val="0"/>
          <w:marTop w:val="0"/>
          <w:marBottom w:val="0"/>
          <w:divBdr>
            <w:top w:val="none" w:sz="0" w:space="0" w:color="auto"/>
            <w:left w:val="none" w:sz="0" w:space="0" w:color="auto"/>
            <w:bottom w:val="none" w:sz="0" w:space="0" w:color="auto"/>
            <w:right w:val="none" w:sz="0" w:space="0" w:color="auto"/>
          </w:divBdr>
        </w:div>
        <w:div w:id="1360081808">
          <w:marLeft w:val="0"/>
          <w:marRight w:val="0"/>
          <w:marTop w:val="0"/>
          <w:marBottom w:val="0"/>
          <w:divBdr>
            <w:top w:val="none" w:sz="0" w:space="0" w:color="auto"/>
            <w:left w:val="none" w:sz="0" w:space="0" w:color="auto"/>
            <w:bottom w:val="none" w:sz="0" w:space="0" w:color="auto"/>
            <w:right w:val="none" w:sz="0" w:space="0" w:color="auto"/>
          </w:divBdr>
        </w:div>
        <w:div w:id="720400077">
          <w:marLeft w:val="0"/>
          <w:marRight w:val="0"/>
          <w:marTop w:val="0"/>
          <w:marBottom w:val="0"/>
          <w:divBdr>
            <w:top w:val="none" w:sz="0" w:space="0" w:color="auto"/>
            <w:left w:val="none" w:sz="0" w:space="0" w:color="auto"/>
            <w:bottom w:val="none" w:sz="0" w:space="0" w:color="auto"/>
            <w:right w:val="none" w:sz="0" w:space="0" w:color="auto"/>
          </w:divBdr>
        </w:div>
        <w:div w:id="1284383590">
          <w:marLeft w:val="0"/>
          <w:marRight w:val="0"/>
          <w:marTop w:val="0"/>
          <w:marBottom w:val="0"/>
          <w:divBdr>
            <w:top w:val="none" w:sz="0" w:space="0" w:color="auto"/>
            <w:left w:val="none" w:sz="0" w:space="0" w:color="auto"/>
            <w:bottom w:val="none" w:sz="0" w:space="0" w:color="auto"/>
            <w:right w:val="none" w:sz="0" w:space="0" w:color="auto"/>
          </w:divBdr>
        </w:div>
        <w:div w:id="108278494">
          <w:marLeft w:val="0"/>
          <w:marRight w:val="0"/>
          <w:marTop w:val="0"/>
          <w:marBottom w:val="0"/>
          <w:divBdr>
            <w:top w:val="none" w:sz="0" w:space="0" w:color="auto"/>
            <w:left w:val="none" w:sz="0" w:space="0" w:color="auto"/>
            <w:bottom w:val="none" w:sz="0" w:space="0" w:color="auto"/>
            <w:right w:val="none" w:sz="0" w:space="0" w:color="auto"/>
          </w:divBdr>
        </w:div>
        <w:div w:id="310596974">
          <w:marLeft w:val="0"/>
          <w:marRight w:val="0"/>
          <w:marTop w:val="0"/>
          <w:marBottom w:val="0"/>
          <w:divBdr>
            <w:top w:val="none" w:sz="0" w:space="0" w:color="auto"/>
            <w:left w:val="none" w:sz="0" w:space="0" w:color="auto"/>
            <w:bottom w:val="none" w:sz="0" w:space="0" w:color="auto"/>
            <w:right w:val="none" w:sz="0" w:space="0" w:color="auto"/>
          </w:divBdr>
        </w:div>
        <w:div w:id="172961153">
          <w:marLeft w:val="0"/>
          <w:marRight w:val="0"/>
          <w:marTop w:val="0"/>
          <w:marBottom w:val="0"/>
          <w:divBdr>
            <w:top w:val="none" w:sz="0" w:space="0" w:color="auto"/>
            <w:left w:val="none" w:sz="0" w:space="0" w:color="auto"/>
            <w:bottom w:val="none" w:sz="0" w:space="0" w:color="auto"/>
            <w:right w:val="none" w:sz="0" w:space="0" w:color="auto"/>
          </w:divBdr>
        </w:div>
      </w:divsChild>
    </w:div>
    <w:div w:id="1314527016">
      <w:bodyDiv w:val="1"/>
      <w:marLeft w:val="0"/>
      <w:marRight w:val="0"/>
      <w:marTop w:val="0"/>
      <w:marBottom w:val="0"/>
      <w:divBdr>
        <w:top w:val="none" w:sz="0" w:space="0" w:color="auto"/>
        <w:left w:val="none" w:sz="0" w:space="0" w:color="auto"/>
        <w:bottom w:val="none" w:sz="0" w:space="0" w:color="auto"/>
        <w:right w:val="none" w:sz="0" w:space="0" w:color="auto"/>
      </w:divBdr>
    </w:div>
    <w:div w:id="1359624488">
      <w:bodyDiv w:val="1"/>
      <w:marLeft w:val="0"/>
      <w:marRight w:val="0"/>
      <w:marTop w:val="0"/>
      <w:marBottom w:val="0"/>
      <w:divBdr>
        <w:top w:val="none" w:sz="0" w:space="0" w:color="auto"/>
        <w:left w:val="none" w:sz="0" w:space="0" w:color="auto"/>
        <w:bottom w:val="none" w:sz="0" w:space="0" w:color="auto"/>
        <w:right w:val="none" w:sz="0" w:space="0" w:color="auto"/>
      </w:divBdr>
    </w:div>
    <w:div w:id="140012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3.jpg@01CFEF82.FA874630"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smgov.net/departments/council/agendas/2011/20110208/s2011020803-E.htm" TargetMode="External"/><Relationship Id="rId1" Type="http://schemas.openxmlformats.org/officeDocument/2006/relationships/hyperlink" Target="http://atb.octa.net/AgendaPDFSite/10775_Staff%20Report.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cid:image002.jpg@01CFEEE1.D22ADB30" TargetMode="External"/><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E681A-2CE8-4ED7-BD83-4E95AB6A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2749</Words>
  <Characters>15674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patrick.couch@gladstein.org</dc:creator>
  <cp:lastModifiedBy>Patrick Couch</cp:lastModifiedBy>
  <cp:revision>5</cp:revision>
  <cp:lastPrinted>2015-06-13T20:59:00Z</cp:lastPrinted>
  <dcterms:created xsi:type="dcterms:W3CDTF">2015-06-30T17:09:00Z</dcterms:created>
  <dcterms:modified xsi:type="dcterms:W3CDTF">2015-06-30T19:15:00Z</dcterms:modified>
</cp:coreProperties>
</file>