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89C9ED" w14:textId="77777777" w:rsidR="008B3BAB" w:rsidRPr="008B3BAB" w:rsidRDefault="008B3BAB" w:rsidP="008B3BAB">
      <w:pPr>
        <w:rPr>
          <w:rFonts w:ascii="Garamond" w:eastAsia="Times New Roman" w:hAnsi="Garamond"/>
          <w:color w:val="000000"/>
        </w:rPr>
      </w:pPr>
      <w:bookmarkStart w:id="0" w:name="_Toc13"/>
      <w:r w:rsidRPr="008B3BAB">
        <w:rPr>
          <w:rFonts w:ascii="Garamond" w:eastAsia="Times New Roman" w:hAnsi="Garamond"/>
          <w:color w:val="000000"/>
        </w:rPr>
        <w:t>California Air Resources Board</w:t>
      </w:r>
      <w:r w:rsidRPr="008B3BAB">
        <w:rPr>
          <w:rFonts w:ascii="Garamond" w:eastAsia="Times New Roman" w:hAnsi="Garamond"/>
          <w:color w:val="000000"/>
        </w:rPr>
        <w:tab/>
      </w:r>
      <w:r w:rsidRPr="008B3BAB">
        <w:rPr>
          <w:rFonts w:ascii="Garamond" w:eastAsia="Times New Roman" w:hAnsi="Garamond"/>
          <w:color w:val="000000"/>
        </w:rPr>
        <w:tab/>
      </w:r>
      <w:r w:rsidRPr="008B3BAB">
        <w:rPr>
          <w:rFonts w:ascii="Garamond" w:eastAsia="Times New Roman" w:hAnsi="Garamond"/>
          <w:color w:val="000000"/>
        </w:rPr>
        <w:tab/>
      </w:r>
      <w:r w:rsidRPr="008B3BAB">
        <w:rPr>
          <w:rFonts w:ascii="Garamond" w:eastAsia="Times New Roman" w:hAnsi="Garamond"/>
          <w:color w:val="000000"/>
        </w:rPr>
        <w:tab/>
      </w:r>
      <w:r w:rsidRPr="008B3BAB">
        <w:rPr>
          <w:rFonts w:ascii="Garamond" w:eastAsia="Times New Roman" w:hAnsi="Garamond"/>
          <w:color w:val="000000"/>
        </w:rPr>
        <w:tab/>
      </w:r>
      <w:r w:rsidRPr="008B3BAB">
        <w:rPr>
          <w:rFonts w:ascii="Garamond" w:eastAsia="Times New Roman" w:hAnsi="Garamond"/>
          <w:color w:val="000000"/>
        </w:rPr>
        <w:tab/>
        <w:t>August 29, 2019</w:t>
      </w:r>
    </w:p>
    <w:p w14:paraId="0B147B84" w14:textId="77777777" w:rsidR="008B3BAB" w:rsidRPr="008B3BAB" w:rsidRDefault="008B3BAB" w:rsidP="008B3BAB">
      <w:pPr>
        <w:rPr>
          <w:rFonts w:ascii="Garamond" w:eastAsia="Times New Roman" w:hAnsi="Garamond"/>
          <w:color w:val="000000"/>
        </w:rPr>
      </w:pPr>
      <w:r w:rsidRPr="008B3BAB">
        <w:rPr>
          <w:rFonts w:ascii="Garamond" w:eastAsia="Times New Roman" w:hAnsi="Garamond"/>
          <w:color w:val="000000"/>
        </w:rPr>
        <w:t>1001 I Street</w:t>
      </w:r>
    </w:p>
    <w:p w14:paraId="2BD33871" w14:textId="77777777" w:rsidR="008B3BAB" w:rsidRPr="008B3BAB" w:rsidRDefault="008B3BAB" w:rsidP="008B3BAB">
      <w:pPr>
        <w:rPr>
          <w:rFonts w:ascii="Garamond" w:eastAsia="Times New Roman" w:hAnsi="Garamond"/>
          <w:color w:val="000000"/>
        </w:rPr>
      </w:pPr>
      <w:r w:rsidRPr="008B3BAB">
        <w:rPr>
          <w:rFonts w:ascii="Garamond" w:eastAsia="Times New Roman" w:hAnsi="Garamond"/>
          <w:color w:val="000000"/>
        </w:rPr>
        <w:t>Sacramento, CA95814</w:t>
      </w:r>
    </w:p>
    <w:p w14:paraId="61291772" w14:textId="77777777" w:rsidR="008B3BAB" w:rsidRPr="008B3BAB" w:rsidRDefault="008B3BAB" w:rsidP="008B3BAB">
      <w:pPr>
        <w:rPr>
          <w:rFonts w:ascii="Garamond" w:eastAsia="Times New Roman" w:hAnsi="Garamond"/>
          <w:color w:val="000000"/>
        </w:rPr>
      </w:pPr>
    </w:p>
    <w:p w14:paraId="0811B503" w14:textId="7F3B9B7B" w:rsidR="00D10A21" w:rsidRPr="008B3BAB" w:rsidRDefault="00D10A21" w:rsidP="0070638D">
      <w:pPr>
        <w:rPr>
          <w:rFonts w:ascii="Garamond" w:hAnsi="Garamond"/>
        </w:rPr>
      </w:pPr>
    </w:p>
    <w:p w14:paraId="46FC0E90" w14:textId="77777777" w:rsidR="00D25F64" w:rsidRPr="008B3BAB" w:rsidRDefault="00D25F64" w:rsidP="0070638D">
      <w:pPr>
        <w:rPr>
          <w:rFonts w:ascii="Garamond" w:hAnsi="Garamond"/>
        </w:rPr>
      </w:pPr>
    </w:p>
    <w:p w14:paraId="2B3A3629" w14:textId="77777777" w:rsidR="00844114" w:rsidRPr="008B3BAB" w:rsidRDefault="00844114" w:rsidP="00844114">
      <w:pPr>
        <w:rPr>
          <w:rFonts w:ascii="Garamond" w:eastAsia="Times New Roman" w:hAnsi="Garamond"/>
          <w:color w:val="000000"/>
        </w:rPr>
      </w:pPr>
      <w:r w:rsidRPr="008B3BAB">
        <w:rPr>
          <w:rFonts w:ascii="Garamond" w:eastAsia="Times New Roman" w:hAnsi="Garamond"/>
          <w:color w:val="000000"/>
        </w:rPr>
        <w:t>Dear California Air Resources Board members and staff,</w:t>
      </w:r>
    </w:p>
    <w:p w14:paraId="0201EA2D" w14:textId="77777777" w:rsidR="00671569" w:rsidRPr="008B3BAB" w:rsidRDefault="00671569" w:rsidP="0070638D">
      <w:pPr>
        <w:rPr>
          <w:rFonts w:ascii="Garamond" w:hAnsi="Garamond"/>
        </w:rPr>
      </w:pPr>
    </w:p>
    <w:p w14:paraId="1FB813FD" w14:textId="05C1FE7D" w:rsidR="006F2AC6" w:rsidRPr="008B3BAB" w:rsidRDefault="00D25F64" w:rsidP="0070638D">
      <w:pPr>
        <w:rPr>
          <w:rFonts w:ascii="Garamond" w:hAnsi="Garamond"/>
        </w:rPr>
      </w:pPr>
      <w:r w:rsidRPr="008B3BAB">
        <w:rPr>
          <w:rFonts w:ascii="Garamond" w:hAnsi="Garamond"/>
        </w:rPr>
        <w:t xml:space="preserve">I am a professor and researcher </w:t>
      </w:r>
      <w:r w:rsidR="00844114" w:rsidRPr="008B3BAB">
        <w:rPr>
          <w:rFonts w:ascii="Garamond" w:hAnsi="Garamond"/>
        </w:rPr>
        <w:t xml:space="preserve">with </w:t>
      </w:r>
      <w:r w:rsidR="008940A3" w:rsidRPr="008B3BAB">
        <w:rPr>
          <w:rFonts w:ascii="Garamond" w:hAnsi="Garamond"/>
        </w:rPr>
        <w:t>approximately</w:t>
      </w:r>
      <w:r w:rsidR="008940A3" w:rsidRPr="008B3BAB">
        <w:rPr>
          <w:rFonts w:ascii="Garamond" w:hAnsi="Garamond"/>
        </w:rPr>
        <w:t xml:space="preserve"> </w:t>
      </w:r>
      <w:r w:rsidR="00C57EEE" w:rsidRPr="008B3BAB">
        <w:rPr>
          <w:rFonts w:ascii="Garamond" w:hAnsi="Garamond"/>
        </w:rPr>
        <w:t xml:space="preserve">two decades of experience investigating the intersection of </w:t>
      </w:r>
      <w:r w:rsidRPr="008B3BAB">
        <w:rPr>
          <w:rFonts w:ascii="Garamond" w:hAnsi="Garamond"/>
        </w:rPr>
        <w:t>climate change mitigation in tropical forests</w:t>
      </w:r>
      <w:r w:rsidR="00C57EEE" w:rsidRPr="008B3BAB">
        <w:rPr>
          <w:rFonts w:ascii="Garamond" w:hAnsi="Garamond"/>
        </w:rPr>
        <w:t xml:space="preserve"> and carbon markets</w:t>
      </w:r>
      <w:r w:rsidRPr="008B3BAB">
        <w:rPr>
          <w:rFonts w:ascii="Garamond" w:hAnsi="Garamond"/>
        </w:rPr>
        <w:t>. I submit this commen</w:t>
      </w:r>
      <w:r w:rsidR="00C57EEE" w:rsidRPr="008B3BAB">
        <w:rPr>
          <w:rFonts w:ascii="Garamond" w:hAnsi="Garamond"/>
        </w:rPr>
        <w:t>t, not as a representative of any university to which I am affiliated, but as</w:t>
      </w:r>
      <w:r w:rsidRPr="008B3BAB">
        <w:rPr>
          <w:rFonts w:ascii="Garamond" w:hAnsi="Garamond"/>
        </w:rPr>
        <w:t xml:space="preserve"> an individual </w:t>
      </w:r>
      <w:r w:rsidR="00C57EEE" w:rsidRPr="008B3BAB">
        <w:rPr>
          <w:rFonts w:ascii="Garamond" w:hAnsi="Garamond"/>
        </w:rPr>
        <w:t>and soon to be California taxpayer, as I have recently accepted a position at U</w:t>
      </w:r>
      <w:r w:rsidR="00160C49" w:rsidRPr="008B3BAB">
        <w:rPr>
          <w:rFonts w:ascii="Garamond" w:hAnsi="Garamond"/>
        </w:rPr>
        <w:t xml:space="preserve">niversity of </w:t>
      </w:r>
      <w:r w:rsidR="00C57EEE" w:rsidRPr="008B3BAB">
        <w:rPr>
          <w:rFonts w:ascii="Garamond" w:hAnsi="Garamond"/>
        </w:rPr>
        <w:t>C</w:t>
      </w:r>
      <w:r w:rsidR="00160C49" w:rsidRPr="008B3BAB">
        <w:rPr>
          <w:rFonts w:ascii="Garamond" w:hAnsi="Garamond"/>
        </w:rPr>
        <w:t>alifornia</w:t>
      </w:r>
      <w:r w:rsidR="002947A0" w:rsidRPr="008B3BAB">
        <w:rPr>
          <w:rFonts w:ascii="Garamond" w:hAnsi="Garamond"/>
        </w:rPr>
        <w:t>-</w:t>
      </w:r>
      <w:r w:rsidR="00C57EEE" w:rsidRPr="008B3BAB">
        <w:rPr>
          <w:rFonts w:ascii="Garamond" w:hAnsi="Garamond"/>
        </w:rPr>
        <w:t xml:space="preserve">Merced. </w:t>
      </w:r>
      <w:r w:rsidRPr="008B3BAB">
        <w:rPr>
          <w:rFonts w:ascii="Garamond" w:hAnsi="Garamond"/>
        </w:rPr>
        <w:t xml:space="preserve">Given </w:t>
      </w:r>
      <w:r w:rsidR="006F2AC6" w:rsidRPr="008B3BAB">
        <w:rPr>
          <w:rFonts w:ascii="Garamond" w:hAnsi="Garamond"/>
        </w:rPr>
        <w:t>my</w:t>
      </w:r>
      <w:r w:rsidR="006F2AC6" w:rsidRPr="008B3BAB">
        <w:rPr>
          <w:rFonts w:ascii="Garamond" w:hAnsi="Garamond"/>
        </w:rPr>
        <w:t xml:space="preserve"> </w:t>
      </w:r>
      <w:r w:rsidR="00B03832" w:rsidRPr="008B3BAB">
        <w:rPr>
          <w:rFonts w:ascii="Garamond" w:hAnsi="Garamond"/>
        </w:rPr>
        <w:t xml:space="preserve">significant </w:t>
      </w:r>
      <w:r w:rsidR="00A403AB" w:rsidRPr="008B3BAB">
        <w:rPr>
          <w:rFonts w:ascii="Garamond" w:hAnsi="Garamond"/>
        </w:rPr>
        <w:t xml:space="preserve">field and desk-based </w:t>
      </w:r>
      <w:r w:rsidRPr="008B3BAB">
        <w:rPr>
          <w:rFonts w:ascii="Garamond" w:hAnsi="Garamond"/>
        </w:rPr>
        <w:t>research</w:t>
      </w:r>
      <w:r w:rsidR="006F2AC6" w:rsidRPr="008B3BAB">
        <w:rPr>
          <w:rFonts w:ascii="Garamond" w:hAnsi="Garamond"/>
        </w:rPr>
        <w:t xml:space="preserve"> on this subject</w:t>
      </w:r>
      <w:r w:rsidRPr="008B3BAB">
        <w:rPr>
          <w:rFonts w:ascii="Garamond" w:hAnsi="Garamond"/>
        </w:rPr>
        <w:t xml:space="preserve">, I am compelled to submit </w:t>
      </w:r>
      <w:r w:rsidR="006F2AC6" w:rsidRPr="008B3BAB">
        <w:rPr>
          <w:rFonts w:ascii="Garamond" w:hAnsi="Garamond"/>
        </w:rPr>
        <w:t xml:space="preserve">a </w:t>
      </w:r>
      <w:r w:rsidRPr="008B3BAB">
        <w:rPr>
          <w:rFonts w:ascii="Garamond" w:hAnsi="Garamond"/>
        </w:rPr>
        <w:t xml:space="preserve">public comment to express my deep concerns about the </w:t>
      </w:r>
      <w:r w:rsidR="00C57EEE" w:rsidRPr="008B3BAB">
        <w:rPr>
          <w:rFonts w:ascii="Garamond" w:hAnsi="Garamond"/>
        </w:rPr>
        <w:t>Tropical Forest Standard (TFS)</w:t>
      </w:r>
      <w:r w:rsidR="00C57EEE" w:rsidRPr="008B3BAB">
        <w:rPr>
          <w:rFonts w:ascii="Garamond" w:hAnsi="Garamond"/>
        </w:rPr>
        <w:t xml:space="preserve"> </w:t>
      </w:r>
      <w:r w:rsidRPr="008B3BAB">
        <w:rPr>
          <w:rFonts w:ascii="Garamond" w:hAnsi="Garamond"/>
        </w:rPr>
        <w:t xml:space="preserve">that will </w:t>
      </w:r>
      <w:r w:rsidR="009202DC" w:rsidRPr="008B3BAB">
        <w:rPr>
          <w:rFonts w:ascii="Garamond" w:hAnsi="Garamond"/>
        </w:rPr>
        <w:t xml:space="preserve">link California’s </w:t>
      </w:r>
      <w:r w:rsidR="00A403AB" w:rsidRPr="008B3BAB">
        <w:rPr>
          <w:rFonts w:ascii="Garamond" w:hAnsi="Garamond"/>
        </w:rPr>
        <w:t xml:space="preserve">carbon market </w:t>
      </w:r>
      <w:r w:rsidR="00C57EEE" w:rsidRPr="008B3BAB">
        <w:rPr>
          <w:rFonts w:ascii="Garamond" w:hAnsi="Garamond"/>
        </w:rPr>
        <w:t xml:space="preserve">and </w:t>
      </w:r>
      <w:r w:rsidR="005256FF" w:rsidRPr="008B3BAB">
        <w:rPr>
          <w:rFonts w:ascii="Garamond" w:hAnsi="Garamond"/>
        </w:rPr>
        <w:t xml:space="preserve">legally </w:t>
      </w:r>
      <w:r w:rsidR="00C57EEE" w:rsidRPr="008B3BAB">
        <w:rPr>
          <w:rFonts w:ascii="Garamond" w:hAnsi="Garamond"/>
        </w:rPr>
        <w:t xml:space="preserve">required </w:t>
      </w:r>
      <w:r w:rsidR="00E967B6">
        <w:rPr>
          <w:rFonts w:ascii="Garamond" w:hAnsi="Garamond"/>
        </w:rPr>
        <w:t xml:space="preserve">emission </w:t>
      </w:r>
      <w:r w:rsidR="00C57EEE" w:rsidRPr="008B3BAB">
        <w:rPr>
          <w:rFonts w:ascii="Garamond" w:hAnsi="Garamond"/>
        </w:rPr>
        <w:t xml:space="preserve">reductions </w:t>
      </w:r>
      <w:r w:rsidR="00A403AB" w:rsidRPr="008B3BAB">
        <w:rPr>
          <w:rFonts w:ascii="Garamond" w:hAnsi="Garamond"/>
        </w:rPr>
        <w:t xml:space="preserve">to </w:t>
      </w:r>
      <w:r w:rsidR="002947A0" w:rsidRPr="008B3BAB">
        <w:rPr>
          <w:rFonts w:ascii="Garamond" w:hAnsi="Garamond"/>
        </w:rPr>
        <w:t xml:space="preserve">insecure and flawed </w:t>
      </w:r>
      <w:r w:rsidR="00C57EEE" w:rsidRPr="008B3BAB">
        <w:rPr>
          <w:rFonts w:ascii="Garamond" w:hAnsi="Garamond"/>
        </w:rPr>
        <w:t xml:space="preserve">offsets in </w:t>
      </w:r>
      <w:r w:rsidRPr="008B3BAB">
        <w:rPr>
          <w:rFonts w:ascii="Garamond" w:hAnsi="Garamond"/>
        </w:rPr>
        <w:t xml:space="preserve">tropical forests. </w:t>
      </w:r>
      <w:r w:rsidR="006F2AC6" w:rsidRPr="008B3BAB">
        <w:rPr>
          <w:rFonts w:ascii="Garamond" w:hAnsi="Garamond"/>
        </w:rPr>
        <w:t xml:space="preserve">The current fires </w:t>
      </w:r>
      <w:r w:rsidR="005256FF" w:rsidRPr="008B3BAB">
        <w:rPr>
          <w:rFonts w:ascii="Garamond" w:hAnsi="Garamond"/>
        </w:rPr>
        <w:t xml:space="preserve">raging </w:t>
      </w:r>
      <w:r w:rsidR="006F2AC6" w:rsidRPr="008B3BAB">
        <w:rPr>
          <w:rFonts w:ascii="Garamond" w:hAnsi="Garamond"/>
        </w:rPr>
        <w:t xml:space="preserve">in the Amazon </w:t>
      </w:r>
      <w:r w:rsidR="005256FF" w:rsidRPr="008B3BAB">
        <w:rPr>
          <w:rFonts w:ascii="Garamond" w:hAnsi="Garamond"/>
        </w:rPr>
        <w:t xml:space="preserve">and the destructive agricultural policies </w:t>
      </w:r>
      <w:r w:rsidR="00B83808">
        <w:rPr>
          <w:rFonts w:ascii="Garamond" w:hAnsi="Garamond"/>
        </w:rPr>
        <w:t>of</w:t>
      </w:r>
      <w:r w:rsidR="005256FF" w:rsidRPr="008B3BAB">
        <w:rPr>
          <w:rFonts w:ascii="Garamond" w:hAnsi="Garamond"/>
        </w:rPr>
        <w:t xml:space="preserve"> Brazilian president Bolsonaro</w:t>
      </w:r>
      <w:r w:rsidR="000416FF">
        <w:rPr>
          <w:rFonts w:ascii="Garamond" w:hAnsi="Garamond"/>
        </w:rPr>
        <w:t>,</w:t>
      </w:r>
      <w:r w:rsidR="005256FF" w:rsidRPr="008B3BAB">
        <w:rPr>
          <w:rFonts w:ascii="Garamond" w:hAnsi="Garamond"/>
        </w:rPr>
        <w:t xml:space="preserve"> provide</w:t>
      </w:r>
      <w:r w:rsidR="006F2AC6" w:rsidRPr="008B3BAB">
        <w:rPr>
          <w:rFonts w:ascii="Garamond" w:hAnsi="Garamond"/>
        </w:rPr>
        <w:t xml:space="preserve"> startling </w:t>
      </w:r>
      <w:r w:rsidR="0069786F">
        <w:rPr>
          <w:rFonts w:ascii="Garamond" w:hAnsi="Garamond"/>
        </w:rPr>
        <w:t>reminders</w:t>
      </w:r>
      <w:r w:rsidR="005256FF" w:rsidRPr="008B3BAB">
        <w:rPr>
          <w:rFonts w:ascii="Garamond" w:hAnsi="Garamond"/>
        </w:rPr>
        <w:t xml:space="preserve"> of the imperm</w:t>
      </w:r>
      <w:r w:rsidR="006F2AC6" w:rsidRPr="008B3BAB">
        <w:rPr>
          <w:rFonts w:ascii="Garamond" w:hAnsi="Garamond"/>
        </w:rPr>
        <w:t>an</w:t>
      </w:r>
      <w:r w:rsidR="005256FF" w:rsidRPr="008B3BAB">
        <w:rPr>
          <w:rFonts w:ascii="Garamond" w:hAnsi="Garamond"/>
        </w:rPr>
        <w:t>en</w:t>
      </w:r>
      <w:r w:rsidR="006F2AC6" w:rsidRPr="008B3BAB">
        <w:rPr>
          <w:rFonts w:ascii="Garamond" w:hAnsi="Garamond"/>
        </w:rPr>
        <w:t xml:space="preserve">ce </w:t>
      </w:r>
      <w:r w:rsidR="0069786F">
        <w:rPr>
          <w:rFonts w:ascii="Garamond" w:hAnsi="Garamond"/>
        </w:rPr>
        <w:t>inherent in such</w:t>
      </w:r>
      <w:r w:rsidR="006F2AC6" w:rsidRPr="008B3BAB">
        <w:rPr>
          <w:rFonts w:ascii="Garamond" w:hAnsi="Garamond"/>
        </w:rPr>
        <w:t xml:space="preserve"> offsets</w:t>
      </w:r>
      <w:r w:rsidR="005256FF" w:rsidRPr="008B3BAB">
        <w:rPr>
          <w:rFonts w:ascii="Garamond" w:hAnsi="Garamond"/>
        </w:rPr>
        <w:t xml:space="preserve"> and the </w:t>
      </w:r>
      <w:r w:rsidR="006120C1" w:rsidRPr="008B3BAB">
        <w:rPr>
          <w:rFonts w:ascii="Garamond" w:hAnsi="Garamond"/>
        </w:rPr>
        <w:t xml:space="preserve">real </w:t>
      </w:r>
      <w:r w:rsidR="005256FF" w:rsidRPr="008B3BAB">
        <w:rPr>
          <w:rFonts w:ascii="Garamond" w:hAnsi="Garamond"/>
        </w:rPr>
        <w:t xml:space="preserve">dangers for California to include </w:t>
      </w:r>
      <w:r w:rsidR="000416FF">
        <w:rPr>
          <w:rFonts w:ascii="Garamond" w:hAnsi="Garamond"/>
        </w:rPr>
        <w:t>them as part of its climate strategy</w:t>
      </w:r>
      <w:r w:rsidR="005256FF" w:rsidRPr="008B3BAB">
        <w:rPr>
          <w:rFonts w:ascii="Garamond" w:hAnsi="Garamond"/>
        </w:rPr>
        <w:t>.</w:t>
      </w:r>
    </w:p>
    <w:p w14:paraId="6405DE7D" w14:textId="77777777" w:rsidR="00832528" w:rsidRPr="008B3BAB" w:rsidRDefault="00832528" w:rsidP="0070638D">
      <w:pPr>
        <w:rPr>
          <w:rFonts w:ascii="Garamond" w:hAnsi="Garamond"/>
        </w:rPr>
      </w:pPr>
    </w:p>
    <w:p w14:paraId="57A79BD1" w14:textId="172063BE" w:rsidR="00B12863" w:rsidRDefault="00B42327" w:rsidP="00525511">
      <w:pPr>
        <w:pStyle w:val="NormalWeb"/>
        <w:rPr>
          <w:rFonts w:ascii="Garamond" w:eastAsiaTheme="minorHAnsi" w:hAnsi="Garamond"/>
          <w:color w:val="auto"/>
          <w:bdr w:val="none" w:sz="0" w:space="0" w:color="auto"/>
        </w:rPr>
      </w:pPr>
      <w:r w:rsidRPr="008B3BAB">
        <w:rPr>
          <w:rFonts w:ascii="Garamond" w:hAnsi="Garamond"/>
        </w:rPr>
        <w:t xml:space="preserve">I want to be clear that I </w:t>
      </w:r>
      <w:r w:rsidR="00F931CE" w:rsidRPr="008B3BAB">
        <w:rPr>
          <w:rFonts w:ascii="Garamond" w:hAnsi="Garamond"/>
        </w:rPr>
        <w:t>recognize deforestation as</w:t>
      </w:r>
      <w:r w:rsidR="00D516DB" w:rsidRPr="008B3BAB">
        <w:rPr>
          <w:rFonts w:ascii="Garamond" w:hAnsi="Garamond"/>
        </w:rPr>
        <w:t xml:space="preserve"> a major contributor to climate change and </w:t>
      </w:r>
      <w:r w:rsidR="00E967B6" w:rsidRPr="008B3BAB">
        <w:rPr>
          <w:rFonts w:ascii="Garamond" w:hAnsi="Garamond"/>
        </w:rPr>
        <w:t>wholeheartedly</w:t>
      </w:r>
      <w:r w:rsidR="00E967B6" w:rsidRPr="008B3BAB">
        <w:rPr>
          <w:rFonts w:ascii="Garamond" w:hAnsi="Garamond"/>
        </w:rPr>
        <w:t xml:space="preserve"> </w:t>
      </w:r>
      <w:r w:rsidR="00D87EAD" w:rsidRPr="008B3BAB">
        <w:rPr>
          <w:rFonts w:ascii="Garamond" w:hAnsi="Garamond"/>
        </w:rPr>
        <w:t>support</w:t>
      </w:r>
      <w:r w:rsidR="00644947" w:rsidRPr="008B3BAB">
        <w:rPr>
          <w:rFonts w:ascii="Garamond" w:hAnsi="Garamond"/>
        </w:rPr>
        <w:t xml:space="preserve"> </w:t>
      </w:r>
      <w:r w:rsidR="00A403AB" w:rsidRPr="008B3BAB">
        <w:rPr>
          <w:rFonts w:ascii="Garamond" w:hAnsi="Garamond"/>
        </w:rPr>
        <w:t>avoided</w:t>
      </w:r>
      <w:r w:rsidR="00D516DB" w:rsidRPr="008B3BAB">
        <w:rPr>
          <w:rFonts w:ascii="Garamond" w:hAnsi="Garamond"/>
        </w:rPr>
        <w:t xml:space="preserve"> deforestation </w:t>
      </w:r>
      <w:r w:rsidR="009202DC" w:rsidRPr="008B3BAB">
        <w:rPr>
          <w:rFonts w:ascii="Garamond" w:hAnsi="Garamond"/>
        </w:rPr>
        <w:t xml:space="preserve">and sustainable forest </w:t>
      </w:r>
      <w:r w:rsidR="008746CF" w:rsidRPr="008B3BAB">
        <w:rPr>
          <w:rFonts w:ascii="Garamond" w:hAnsi="Garamond"/>
        </w:rPr>
        <w:t>and land</w:t>
      </w:r>
      <w:r w:rsidR="00A678DE" w:rsidRPr="008B3BAB">
        <w:rPr>
          <w:rFonts w:ascii="Garamond" w:hAnsi="Garamond"/>
        </w:rPr>
        <w:t>-</w:t>
      </w:r>
      <w:r w:rsidR="008746CF" w:rsidRPr="008B3BAB">
        <w:rPr>
          <w:rFonts w:ascii="Garamond" w:hAnsi="Garamond"/>
        </w:rPr>
        <w:t xml:space="preserve">use </w:t>
      </w:r>
      <w:r w:rsidR="00C57EEE" w:rsidRPr="008B3BAB">
        <w:rPr>
          <w:rFonts w:ascii="Garamond" w:hAnsi="Garamond"/>
        </w:rPr>
        <w:t xml:space="preserve">activities </w:t>
      </w:r>
      <w:r w:rsidR="00644947" w:rsidRPr="008B3BAB">
        <w:rPr>
          <w:rFonts w:ascii="Garamond" w:hAnsi="Garamond"/>
        </w:rPr>
        <w:t>as</w:t>
      </w:r>
      <w:r w:rsidR="00A403AB" w:rsidRPr="008B3BAB">
        <w:rPr>
          <w:rFonts w:ascii="Garamond" w:hAnsi="Garamond"/>
        </w:rPr>
        <w:t xml:space="preserve"> important</w:t>
      </w:r>
      <w:r w:rsidR="00D516DB" w:rsidRPr="008B3BAB">
        <w:rPr>
          <w:rFonts w:ascii="Garamond" w:hAnsi="Garamond"/>
        </w:rPr>
        <w:t xml:space="preserve"> </w:t>
      </w:r>
      <w:r w:rsidR="006120C1" w:rsidRPr="008B3BAB">
        <w:rPr>
          <w:rFonts w:ascii="Garamond" w:hAnsi="Garamond"/>
        </w:rPr>
        <w:t>elements of the</w:t>
      </w:r>
      <w:r w:rsidR="00D516DB" w:rsidRPr="008B3BAB">
        <w:rPr>
          <w:rFonts w:ascii="Garamond" w:hAnsi="Garamond"/>
        </w:rPr>
        <w:t xml:space="preserve"> solution. </w:t>
      </w:r>
      <w:r w:rsidR="009202DC" w:rsidRPr="008B3BAB">
        <w:rPr>
          <w:rFonts w:ascii="Garamond" w:hAnsi="Garamond"/>
        </w:rPr>
        <w:t xml:space="preserve">However, carbon markets </w:t>
      </w:r>
      <w:r w:rsidR="001301EC">
        <w:rPr>
          <w:rFonts w:ascii="Garamond" w:hAnsi="Garamond"/>
        </w:rPr>
        <w:t>have proven</w:t>
      </w:r>
      <w:r w:rsidR="00617769" w:rsidRPr="008B3BAB">
        <w:rPr>
          <w:rFonts w:ascii="Garamond" w:hAnsi="Garamond"/>
        </w:rPr>
        <w:t xml:space="preserve"> </w:t>
      </w:r>
      <w:r w:rsidR="001301EC">
        <w:rPr>
          <w:rFonts w:ascii="Garamond" w:hAnsi="Garamond"/>
        </w:rPr>
        <w:t xml:space="preserve">ineffective at </w:t>
      </w:r>
      <w:r w:rsidR="008746CF" w:rsidRPr="008B3BAB">
        <w:rPr>
          <w:rFonts w:ascii="Garamond" w:hAnsi="Garamond"/>
        </w:rPr>
        <w:t xml:space="preserve">reducing </w:t>
      </w:r>
      <w:r w:rsidR="001301EC">
        <w:rPr>
          <w:rFonts w:ascii="Garamond" w:hAnsi="Garamond"/>
        </w:rPr>
        <w:t>forest-based emissions</w:t>
      </w:r>
      <w:r w:rsidR="008746CF" w:rsidRPr="008B3BAB">
        <w:rPr>
          <w:rFonts w:ascii="Garamond" w:hAnsi="Garamond"/>
        </w:rPr>
        <w:t xml:space="preserve">. In my view, the carbon </w:t>
      </w:r>
      <w:r w:rsidR="00DE667B">
        <w:rPr>
          <w:rFonts w:ascii="Garamond" w:hAnsi="Garamond"/>
        </w:rPr>
        <w:t xml:space="preserve">market, which is </w:t>
      </w:r>
      <w:r w:rsidR="008746CF" w:rsidRPr="008B3BAB">
        <w:rPr>
          <w:rFonts w:ascii="Garamond" w:hAnsi="Garamond"/>
        </w:rPr>
        <w:t xml:space="preserve">designed as a cost efficiency </w:t>
      </w:r>
      <w:r w:rsidR="006120C1" w:rsidRPr="008B3BAB">
        <w:rPr>
          <w:rFonts w:ascii="Garamond" w:hAnsi="Garamond"/>
        </w:rPr>
        <w:t>mechanism</w:t>
      </w:r>
      <w:r w:rsidR="001301EC">
        <w:rPr>
          <w:rFonts w:ascii="Garamond" w:hAnsi="Garamond"/>
        </w:rPr>
        <w:t>,</w:t>
      </w:r>
      <w:r w:rsidR="008746CF" w:rsidRPr="008B3BAB">
        <w:rPr>
          <w:rFonts w:ascii="Garamond" w:hAnsi="Garamond"/>
        </w:rPr>
        <w:t xml:space="preserve"> is deeply flawed when it intersects with f</w:t>
      </w:r>
      <w:r w:rsidR="00B12863" w:rsidRPr="008B3BAB">
        <w:rPr>
          <w:rFonts w:ascii="Garamond" w:hAnsi="Garamond"/>
        </w:rPr>
        <w:t>orest eco</w:t>
      </w:r>
      <w:r w:rsidR="008746CF" w:rsidRPr="008B3BAB">
        <w:rPr>
          <w:rFonts w:ascii="Garamond" w:hAnsi="Garamond"/>
        </w:rPr>
        <w:t>systems</w:t>
      </w:r>
      <w:r w:rsidR="00B12863" w:rsidRPr="008B3BAB">
        <w:rPr>
          <w:rFonts w:ascii="Garamond" w:hAnsi="Garamond"/>
        </w:rPr>
        <w:t xml:space="preserve"> </w:t>
      </w:r>
      <w:r w:rsidR="002C66E2">
        <w:rPr>
          <w:rFonts w:ascii="Garamond" w:hAnsi="Garamond"/>
        </w:rPr>
        <w:t xml:space="preserve">that </w:t>
      </w:r>
      <w:r w:rsidR="006120C1" w:rsidRPr="008B3BAB">
        <w:rPr>
          <w:rFonts w:ascii="Garamond" w:hAnsi="Garamond"/>
        </w:rPr>
        <w:t xml:space="preserve">are </w:t>
      </w:r>
      <w:r w:rsidR="00B12863" w:rsidRPr="008B3BAB">
        <w:rPr>
          <w:rFonts w:ascii="Garamond" w:hAnsi="Garamond"/>
        </w:rPr>
        <w:t xml:space="preserve">often considered the low hanging fruit </w:t>
      </w:r>
      <w:r w:rsidR="008746CF" w:rsidRPr="008B3BAB">
        <w:rPr>
          <w:rFonts w:ascii="Garamond" w:hAnsi="Garamond"/>
        </w:rPr>
        <w:t xml:space="preserve">for climate change mitigation. </w:t>
      </w:r>
      <w:r w:rsidR="00923511" w:rsidRPr="008B3BAB">
        <w:rPr>
          <w:rFonts w:ascii="Garamond" w:hAnsi="Garamond"/>
        </w:rPr>
        <w:t>According to Nicholas Stern</w:t>
      </w:r>
      <w:r w:rsidR="00FA559B" w:rsidRPr="008B3BAB">
        <w:rPr>
          <w:rFonts w:ascii="Garamond" w:hAnsi="Garamond"/>
        </w:rPr>
        <w:t>, “</w:t>
      </w:r>
      <w:r w:rsidR="00923511" w:rsidRPr="008B3BAB">
        <w:rPr>
          <w:rFonts w:ascii="Garamond" w:eastAsiaTheme="minorHAnsi" w:hAnsi="Garamond"/>
          <w:color w:val="auto"/>
          <w:bdr w:val="none" w:sz="0" w:space="0" w:color="auto"/>
        </w:rPr>
        <w:t>[c]</w:t>
      </w:r>
      <w:r w:rsidR="00FA559B" w:rsidRPr="008B3BAB">
        <w:rPr>
          <w:rFonts w:ascii="Garamond" w:eastAsiaTheme="minorHAnsi" w:hAnsi="Garamond"/>
          <w:color w:val="auto"/>
          <w:bdr w:val="none" w:sz="0" w:space="0" w:color="auto"/>
        </w:rPr>
        <w:t>urbing deforestation is a highly cost-effective way to reduce emissions</w:t>
      </w:r>
      <w:r w:rsidR="00923511" w:rsidRPr="008B3BAB">
        <w:rPr>
          <w:rStyle w:val="FootnoteReference"/>
          <w:rFonts w:ascii="Garamond" w:eastAsiaTheme="minorHAnsi" w:hAnsi="Garamond"/>
          <w:color w:val="auto"/>
          <w:bdr w:val="none" w:sz="0" w:space="0" w:color="auto"/>
        </w:rPr>
        <w:footnoteReference w:id="1"/>
      </w:r>
      <w:r w:rsidR="00FA559B" w:rsidRPr="008B3BAB">
        <w:rPr>
          <w:rFonts w:ascii="Garamond" w:eastAsiaTheme="minorHAnsi" w:hAnsi="Garamond"/>
          <w:color w:val="auto"/>
          <w:bdr w:val="none" w:sz="0" w:space="0" w:color="auto"/>
        </w:rPr>
        <w:t>”</w:t>
      </w:r>
      <w:r w:rsidR="00923511" w:rsidRPr="008B3BAB">
        <w:rPr>
          <w:rFonts w:ascii="Garamond" w:eastAsiaTheme="minorHAnsi" w:hAnsi="Garamond"/>
          <w:color w:val="auto"/>
          <w:bdr w:val="none" w:sz="0" w:space="0" w:color="auto"/>
        </w:rPr>
        <w:t xml:space="preserve"> </w:t>
      </w:r>
      <w:r w:rsidR="002C66E2">
        <w:rPr>
          <w:rFonts w:ascii="Garamond" w:eastAsiaTheme="minorHAnsi" w:hAnsi="Garamond"/>
          <w:color w:val="auto"/>
          <w:bdr w:val="none" w:sz="0" w:space="0" w:color="auto"/>
        </w:rPr>
        <w:t xml:space="preserve">and </w:t>
      </w:r>
      <w:r w:rsidR="00923511" w:rsidRPr="008B3BAB">
        <w:rPr>
          <w:rFonts w:ascii="Garamond" w:eastAsiaTheme="minorHAnsi" w:hAnsi="Garamond"/>
          <w:color w:val="auto"/>
          <w:bdr w:val="none" w:sz="0" w:space="0" w:color="auto"/>
        </w:rPr>
        <w:t>this</w:t>
      </w:r>
      <w:r w:rsidR="00B12863" w:rsidRPr="008B3BAB">
        <w:rPr>
          <w:rFonts w:ascii="Garamond" w:eastAsiaTheme="minorHAnsi" w:hAnsi="Garamond"/>
          <w:color w:val="auto"/>
          <w:bdr w:val="none" w:sz="0" w:space="0" w:color="auto"/>
        </w:rPr>
        <w:t xml:space="preserve"> assumption </w:t>
      </w:r>
      <w:r w:rsidR="00923511" w:rsidRPr="008B3BAB">
        <w:rPr>
          <w:rFonts w:ascii="Garamond" w:eastAsiaTheme="minorHAnsi" w:hAnsi="Garamond"/>
          <w:color w:val="auto"/>
          <w:bdr w:val="none" w:sz="0" w:space="0" w:color="auto"/>
        </w:rPr>
        <w:t xml:space="preserve">has </w:t>
      </w:r>
      <w:r w:rsidR="002C66E2">
        <w:rPr>
          <w:rFonts w:ascii="Garamond" w:eastAsiaTheme="minorHAnsi" w:hAnsi="Garamond"/>
          <w:color w:val="auto"/>
          <w:bdr w:val="none" w:sz="0" w:space="0" w:color="auto"/>
        </w:rPr>
        <w:t xml:space="preserve">generally </w:t>
      </w:r>
      <w:r w:rsidR="00923511" w:rsidRPr="008B3BAB">
        <w:rPr>
          <w:rFonts w:ascii="Garamond" w:eastAsiaTheme="minorHAnsi" w:hAnsi="Garamond"/>
          <w:color w:val="auto"/>
          <w:bdr w:val="none" w:sz="0" w:space="0" w:color="auto"/>
        </w:rPr>
        <w:t>been the basis for</w:t>
      </w:r>
      <w:r w:rsidR="00B12863" w:rsidRPr="008B3BAB">
        <w:rPr>
          <w:rFonts w:ascii="Garamond" w:eastAsiaTheme="minorHAnsi" w:hAnsi="Garamond"/>
          <w:color w:val="auto"/>
          <w:bdr w:val="none" w:sz="0" w:space="0" w:color="auto"/>
        </w:rPr>
        <w:t xml:space="preserve"> investment in </w:t>
      </w:r>
      <w:r w:rsidR="002C66E2">
        <w:rPr>
          <w:rFonts w:ascii="Garamond" w:eastAsiaTheme="minorHAnsi" w:hAnsi="Garamond"/>
          <w:color w:val="auto"/>
          <w:bdr w:val="none" w:sz="0" w:space="0" w:color="auto"/>
        </w:rPr>
        <w:t xml:space="preserve">forest-based </w:t>
      </w:r>
      <w:r w:rsidR="00B12863" w:rsidRPr="008B3BAB">
        <w:rPr>
          <w:rFonts w:ascii="Garamond" w:eastAsiaTheme="minorHAnsi" w:hAnsi="Garamond"/>
          <w:color w:val="auto"/>
          <w:bdr w:val="none" w:sz="0" w:space="0" w:color="auto"/>
        </w:rPr>
        <w:t>carbon offsets</w:t>
      </w:r>
      <w:r w:rsidR="002C66E2">
        <w:rPr>
          <w:rFonts w:ascii="Garamond" w:eastAsiaTheme="minorHAnsi" w:hAnsi="Garamond"/>
          <w:color w:val="auto"/>
          <w:bdr w:val="none" w:sz="0" w:space="0" w:color="auto"/>
        </w:rPr>
        <w:t>, particularly in tropical forests</w:t>
      </w:r>
      <w:r w:rsidR="00B12863" w:rsidRPr="008B3BAB">
        <w:rPr>
          <w:rFonts w:ascii="Garamond" w:eastAsiaTheme="minorHAnsi" w:hAnsi="Garamond"/>
          <w:color w:val="auto"/>
          <w:bdr w:val="none" w:sz="0" w:space="0" w:color="auto"/>
        </w:rPr>
        <w:t>.</w:t>
      </w:r>
    </w:p>
    <w:p w14:paraId="5BCF9E70" w14:textId="77777777" w:rsidR="002C66E2" w:rsidRPr="008B3BAB" w:rsidRDefault="002C66E2" w:rsidP="00525511">
      <w:pPr>
        <w:pStyle w:val="NormalWeb"/>
        <w:rPr>
          <w:rFonts w:ascii="Garamond" w:eastAsiaTheme="minorHAnsi" w:hAnsi="Garamond"/>
          <w:color w:val="auto"/>
          <w:bdr w:val="none" w:sz="0" w:space="0" w:color="auto"/>
        </w:rPr>
      </w:pPr>
    </w:p>
    <w:p w14:paraId="119CC5C5" w14:textId="400BEA0D" w:rsidR="00B12863" w:rsidRPr="008B3BAB" w:rsidRDefault="00B12863" w:rsidP="00525511">
      <w:pPr>
        <w:pStyle w:val="NormalWeb"/>
        <w:rPr>
          <w:rFonts w:ascii="Garamond" w:eastAsiaTheme="minorHAnsi" w:hAnsi="Garamond"/>
          <w:color w:val="auto"/>
          <w:bdr w:val="none" w:sz="0" w:space="0" w:color="auto"/>
        </w:rPr>
      </w:pPr>
      <w:r w:rsidRPr="008B3BAB">
        <w:rPr>
          <w:rFonts w:ascii="Garamond" w:eastAsiaTheme="minorHAnsi" w:hAnsi="Garamond"/>
          <w:color w:val="auto"/>
          <w:bdr w:val="none" w:sz="0" w:space="0" w:color="auto"/>
        </w:rPr>
        <w:t>However</w:t>
      </w:r>
      <w:r w:rsidR="003A6554" w:rsidRPr="008B3BAB">
        <w:rPr>
          <w:rFonts w:ascii="Garamond" w:eastAsiaTheme="minorHAnsi" w:hAnsi="Garamond"/>
          <w:color w:val="auto"/>
          <w:bdr w:val="none" w:sz="0" w:space="0" w:color="auto"/>
        </w:rPr>
        <w:t>,</w:t>
      </w:r>
      <w:r w:rsidRPr="008B3BAB">
        <w:rPr>
          <w:rFonts w:ascii="Garamond" w:eastAsiaTheme="minorHAnsi" w:hAnsi="Garamond"/>
          <w:color w:val="auto"/>
          <w:bdr w:val="none" w:sz="0" w:space="0" w:color="auto"/>
        </w:rPr>
        <w:t xml:space="preserve"> climate change mitigation in tropical forests requires an extensive </w:t>
      </w:r>
      <w:r w:rsidR="002C66E2">
        <w:rPr>
          <w:rFonts w:ascii="Garamond" w:eastAsiaTheme="minorHAnsi" w:hAnsi="Garamond"/>
          <w:color w:val="auto"/>
          <w:bdr w:val="none" w:sz="0" w:space="0" w:color="auto"/>
        </w:rPr>
        <w:t xml:space="preserve">and costly </w:t>
      </w:r>
      <w:r w:rsidRPr="008B3BAB">
        <w:rPr>
          <w:rFonts w:ascii="Garamond" w:eastAsiaTheme="minorHAnsi" w:hAnsi="Garamond"/>
          <w:color w:val="auto"/>
          <w:bdr w:val="none" w:sz="0" w:space="0" w:color="auto"/>
        </w:rPr>
        <w:t xml:space="preserve">process of carbon </w:t>
      </w:r>
      <w:r w:rsidR="003128C2">
        <w:rPr>
          <w:rFonts w:ascii="Garamond" w:eastAsiaTheme="minorHAnsi" w:hAnsi="Garamond"/>
          <w:color w:val="auto"/>
          <w:bdr w:val="none" w:sz="0" w:space="0" w:color="auto"/>
        </w:rPr>
        <w:t xml:space="preserve">monitoring and </w:t>
      </w:r>
      <w:r w:rsidRPr="008B3BAB">
        <w:rPr>
          <w:rFonts w:ascii="Garamond" w:eastAsiaTheme="minorHAnsi" w:hAnsi="Garamond"/>
          <w:color w:val="auto"/>
          <w:bdr w:val="none" w:sz="0" w:space="0" w:color="auto"/>
        </w:rPr>
        <w:t>measurement, reporting and verification</w:t>
      </w:r>
      <w:r w:rsidR="003128C2">
        <w:rPr>
          <w:rFonts w:ascii="Garamond" w:eastAsiaTheme="minorHAnsi" w:hAnsi="Garamond"/>
          <w:color w:val="auto"/>
          <w:bdr w:val="none" w:sz="0" w:space="0" w:color="auto"/>
        </w:rPr>
        <w:t xml:space="preserve"> (</w:t>
      </w:r>
      <w:r w:rsidR="003A6554" w:rsidRPr="008B3BAB">
        <w:rPr>
          <w:rFonts w:ascii="Garamond" w:eastAsiaTheme="minorHAnsi" w:hAnsi="Garamond"/>
          <w:color w:val="auto"/>
          <w:bdr w:val="none" w:sz="0" w:space="0" w:color="auto"/>
        </w:rPr>
        <w:t>MRV)</w:t>
      </w:r>
      <w:r w:rsidR="00DB5B5E" w:rsidRPr="008B3BAB">
        <w:rPr>
          <w:rFonts w:ascii="Garamond" w:eastAsiaTheme="minorHAnsi" w:hAnsi="Garamond"/>
          <w:color w:val="auto"/>
          <w:bdr w:val="none" w:sz="0" w:space="0" w:color="auto"/>
        </w:rPr>
        <w:t xml:space="preserve">. The low carbon price </w:t>
      </w:r>
      <w:r w:rsidR="002C66E2">
        <w:rPr>
          <w:rFonts w:ascii="Garamond" w:eastAsiaTheme="minorHAnsi" w:hAnsi="Garamond"/>
          <w:color w:val="auto"/>
          <w:bdr w:val="none" w:sz="0" w:space="0" w:color="auto"/>
        </w:rPr>
        <w:t xml:space="preserve">combined with </w:t>
      </w:r>
      <w:r w:rsidR="00DB5B5E" w:rsidRPr="008B3BAB">
        <w:rPr>
          <w:rFonts w:ascii="Garamond" w:eastAsiaTheme="minorHAnsi" w:hAnsi="Garamond"/>
          <w:color w:val="auto"/>
          <w:bdr w:val="none" w:sz="0" w:space="0" w:color="auto"/>
        </w:rPr>
        <w:t xml:space="preserve">high costs of </w:t>
      </w:r>
      <w:r w:rsidR="002C66E2">
        <w:rPr>
          <w:rFonts w:ascii="Garamond" w:eastAsiaTheme="minorHAnsi" w:hAnsi="Garamond"/>
          <w:color w:val="auto"/>
          <w:bdr w:val="none" w:sz="0" w:space="0" w:color="auto"/>
        </w:rPr>
        <w:t xml:space="preserve">project implementation </w:t>
      </w:r>
      <w:r w:rsidR="00342D2E">
        <w:rPr>
          <w:rFonts w:ascii="Garamond" w:eastAsiaTheme="minorHAnsi" w:hAnsi="Garamond"/>
          <w:color w:val="auto"/>
          <w:bdr w:val="none" w:sz="0" w:space="0" w:color="auto"/>
        </w:rPr>
        <w:t xml:space="preserve">consistently fail to produce the </w:t>
      </w:r>
      <w:r w:rsidR="002C66E2">
        <w:rPr>
          <w:rFonts w:ascii="Garamond" w:eastAsiaTheme="minorHAnsi" w:hAnsi="Garamond"/>
          <w:color w:val="auto"/>
          <w:bdr w:val="none" w:sz="0" w:space="0" w:color="auto"/>
        </w:rPr>
        <w:t xml:space="preserve">finance </w:t>
      </w:r>
      <w:r w:rsidR="003128C2">
        <w:rPr>
          <w:rFonts w:ascii="Garamond" w:eastAsiaTheme="minorHAnsi" w:hAnsi="Garamond"/>
          <w:color w:val="auto"/>
          <w:bdr w:val="none" w:sz="0" w:space="0" w:color="auto"/>
        </w:rPr>
        <w:t>necessary for</w:t>
      </w:r>
      <w:r w:rsidR="002C66E2">
        <w:rPr>
          <w:rFonts w:ascii="Garamond" w:eastAsiaTheme="minorHAnsi" w:hAnsi="Garamond"/>
          <w:color w:val="auto"/>
          <w:bdr w:val="none" w:sz="0" w:space="0" w:color="auto"/>
        </w:rPr>
        <w:t xml:space="preserve"> </w:t>
      </w:r>
      <w:r w:rsidR="00D16D58">
        <w:rPr>
          <w:rFonts w:ascii="Garamond" w:eastAsiaTheme="minorHAnsi" w:hAnsi="Garamond"/>
          <w:color w:val="auto"/>
          <w:bdr w:val="none" w:sz="0" w:space="0" w:color="auto"/>
        </w:rPr>
        <w:t xml:space="preserve">transforming the economic drivers of deforestation. </w:t>
      </w:r>
      <w:r w:rsidR="00DB5B5E" w:rsidRPr="008B3BAB">
        <w:rPr>
          <w:rFonts w:ascii="Garamond" w:eastAsiaTheme="minorHAnsi" w:hAnsi="Garamond"/>
          <w:color w:val="auto"/>
          <w:bdr w:val="none" w:sz="0" w:space="0" w:color="auto"/>
        </w:rPr>
        <w:t>In the Amazon</w:t>
      </w:r>
      <w:r w:rsidR="003A6554" w:rsidRPr="008B3BAB">
        <w:rPr>
          <w:rFonts w:ascii="Garamond" w:eastAsiaTheme="minorHAnsi" w:hAnsi="Garamond"/>
          <w:color w:val="auto"/>
          <w:bdr w:val="none" w:sz="0" w:space="0" w:color="auto"/>
        </w:rPr>
        <w:t>,</w:t>
      </w:r>
      <w:r w:rsidR="00DB5B5E" w:rsidRPr="008B3BAB">
        <w:rPr>
          <w:rFonts w:ascii="Garamond" w:eastAsiaTheme="minorHAnsi" w:hAnsi="Garamond"/>
          <w:color w:val="auto"/>
          <w:bdr w:val="none" w:sz="0" w:space="0" w:color="auto"/>
        </w:rPr>
        <w:t xml:space="preserve"> the main drivers of deforestation are </w:t>
      </w:r>
      <w:r w:rsidR="003A6554" w:rsidRPr="008B3BAB">
        <w:rPr>
          <w:rFonts w:ascii="Garamond" w:eastAsiaTheme="minorHAnsi" w:hAnsi="Garamond"/>
          <w:color w:val="auto"/>
          <w:bdr w:val="none" w:sz="0" w:space="0" w:color="auto"/>
        </w:rPr>
        <w:t>the large-</w:t>
      </w:r>
      <w:r w:rsidR="00DB5B5E" w:rsidRPr="008B3BAB">
        <w:rPr>
          <w:rFonts w:ascii="Garamond" w:eastAsiaTheme="minorHAnsi" w:hAnsi="Garamond"/>
          <w:color w:val="auto"/>
          <w:bdr w:val="none" w:sz="0" w:space="0" w:color="auto"/>
        </w:rPr>
        <w:t xml:space="preserve">scale production of soy, palm oil, beef and timber. </w:t>
      </w:r>
      <w:r w:rsidR="003128C2">
        <w:rPr>
          <w:rFonts w:ascii="Garamond" w:eastAsiaTheme="minorHAnsi" w:hAnsi="Garamond"/>
          <w:color w:val="auto"/>
          <w:bdr w:val="none" w:sz="0" w:space="0" w:color="auto"/>
        </w:rPr>
        <w:t xml:space="preserve">As carbon market finance </w:t>
      </w:r>
      <w:r w:rsidR="00241532">
        <w:rPr>
          <w:rFonts w:ascii="Garamond" w:eastAsiaTheme="minorHAnsi" w:hAnsi="Garamond"/>
          <w:color w:val="auto"/>
          <w:bdr w:val="none" w:sz="0" w:space="0" w:color="auto"/>
        </w:rPr>
        <w:t>falls significantly below the</w:t>
      </w:r>
      <w:r w:rsidR="003128C2">
        <w:rPr>
          <w:rFonts w:ascii="Garamond" w:eastAsiaTheme="minorHAnsi" w:hAnsi="Garamond"/>
          <w:color w:val="auto"/>
          <w:bdr w:val="none" w:sz="0" w:space="0" w:color="auto"/>
        </w:rPr>
        <w:t xml:space="preserve"> opportunity costs </w:t>
      </w:r>
      <w:r w:rsidR="00241532">
        <w:rPr>
          <w:rFonts w:ascii="Garamond" w:eastAsiaTheme="minorHAnsi" w:hAnsi="Garamond"/>
          <w:color w:val="auto"/>
          <w:bdr w:val="none" w:sz="0" w:space="0" w:color="auto"/>
        </w:rPr>
        <w:t>of forest risk commodities, offsets</w:t>
      </w:r>
      <w:r w:rsidR="00C83DF8">
        <w:rPr>
          <w:rFonts w:ascii="Garamond" w:eastAsiaTheme="minorHAnsi" w:hAnsi="Garamond"/>
          <w:color w:val="auto"/>
          <w:bdr w:val="none" w:sz="0" w:space="0" w:color="auto"/>
        </w:rPr>
        <w:t xml:space="preserve"> tend to target local and I</w:t>
      </w:r>
      <w:r w:rsidR="00DB5B5E" w:rsidRPr="008B3BAB">
        <w:rPr>
          <w:rFonts w:ascii="Garamond" w:eastAsiaTheme="minorHAnsi" w:hAnsi="Garamond"/>
          <w:color w:val="auto"/>
          <w:bdr w:val="none" w:sz="0" w:space="0" w:color="auto"/>
        </w:rPr>
        <w:t>ndigenous forest communities</w:t>
      </w:r>
      <w:r w:rsidR="001301EC">
        <w:rPr>
          <w:rFonts w:ascii="Garamond" w:eastAsiaTheme="minorHAnsi" w:hAnsi="Garamond"/>
          <w:color w:val="auto"/>
          <w:bdr w:val="none" w:sz="0" w:space="0" w:color="auto"/>
        </w:rPr>
        <w:t xml:space="preserve">, who receive </w:t>
      </w:r>
      <w:r w:rsidR="001301EC" w:rsidRPr="008B3BAB">
        <w:rPr>
          <w:rFonts w:ascii="Garamond" w:eastAsiaTheme="minorHAnsi" w:hAnsi="Garamond"/>
          <w:color w:val="auto"/>
          <w:bdr w:val="none" w:sz="0" w:space="0" w:color="auto"/>
        </w:rPr>
        <w:t xml:space="preserve">negligible financial benefits </w:t>
      </w:r>
      <w:r w:rsidR="005A05E5">
        <w:rPr>
          <w:rFonts w:ascii="Garamond" w:eastAsiaTheme="minorHAnsi" w:hAnsi="Garamond"/>
          <w:color w:val="auto"/>
          <w:bdr w:val="none" w:sz="0" w:space="0" w:color="auto"/>
        </w:rPr>
        <w:t>for</w:t>
      </w:r>
      <w:r w:rsidR="001301EC">
        <w:rPr>
          <w:rFonts w:ascii="Garamond" w:eastAsiaTheme="minorHAnsi" w:hAnsi="Garamond"/>
          <w:color w:val="auto"/>
          <w:bdr w:val="none" w:sz="0" w:space="0" w:color="auto"/>
        </w:rPr>
        <w:t xml:space="preserve"> their participation</w:t>
      </w:r>
      <w:r w:rsidR="00DB5B5E" w:rsidRPr="008B3BAB">
        <w:rPr>
          <w:rFonts w:ascii="Garamond" w:eastAsiaTheme="minorHAnsi" w:hAnsi="Garamond"/>
          <w:color w:val="auto"/>
          <w:bdr w:val="none" w:sz="0" w:space="0" w:color="auto"/>
        </w:rPr>
        <w:t xml:space="preserve">. This ultimately </w:t>
      </w:r>
      <w:r w:rsidR="00241532">
        <w:rPr>
          <w:rFonts w:ascii="Garamond" w:eastAsiaTheme="minorHAnsi" w:hAnsi="Garamond"/>
          <w:color w:val="auto"/>
          <w:bdr w:val="none" w:sz="0" w:space="0" w:color="auto"/>
        </w:rPr>
        <w:t>causes</w:t>
      </w:r>
      <w:r w:rsidR="00DB5B5E" w:rsidRPr="008B3BAB">
        <w:rPr>
          <w:rFonts w:ascii="Garamond" w:eastAsiaTheme="minorHAnsi" w:hAnsi="Garamond"/>
          <w:color w:val="auto"/>
          <w:bdr w:val="none" w:sz="0" w:space="0" w:color="auto"/>
        </w:rPr>
        <w:t xml:space="preserve"> resentment </w:t>
      </w:r>
      <w:r w:rsidR="00241532" w:rsidRPr="008B3BAB">
        <w:rPr>
          <w:rFonts w:ascii="Garamond" w:eastAsiaTheme="minorHAnsi" w:hAnsi="Garamond"/>
          <w:color w:val="auto"/>
          <w:bdr w:val="none" w:sz="0" w:space="0" w:color="auto"/>
        </w:rPr>
        <w:t xml:space="preserve">as </w:t>
      </w:r>
      <w:r w:rsidR="00320494">
        <w:rPr>
          <w:rFonts w:ascii="Garamond" w:eastAsiaTheme="minorHAnsi" w:hAnsi="Garamond"/>
          <w:color w:val="auto"/>
          <w:bdr w:val="none" w:sz="0" w:space="0" w:color="auto"/>
        </w:rPr>
        <w:t xml:space="preserve">their </w:t>
      </w:r>
      <w:r w:rsidR="00241532" w:rsidRPr="008B3BAB">
        <w:rPr>
          <w:rFonts w:ascii="Garamond" w:eastAsiaTheme="minorHAnsi" w:hAnsi="Garamond"/>
          <w:color w:val="auto"/>
          <w:bdr w:val="none" w:sz="0" w:space="0" w:color="auto"/>
        </w:rPr>
        <w:t>traditional land uses are demonized</w:t>
      </w:r>
      <w:r w:rsidR="00320494">
        <w:rPr>
          <w:rFonts w:ascii="Garamond" w:eastAsiaTheme="minorHAnsi" w:hAnsi="Garamond"/>
          <w:color w:val="auto"/>
          <w:bdr w:val="none" w:sz="0" w:space="0" w:color="auto"/>
        </w:rPr>
        <w:t>,</w:t>
      </w:r>
      <w:r w:rsidR="00241532" w:rsidRPr="008B3BAB">
        <w:rPr>
          <w:rFonts w:ascii="Garamond" w:eastAsiaTheme="minorHAnsi" w:hAnsi="Garamond"/>
          <w:color w:val="auto"/>
          <w:bdr w:val="none" w:sz="0" w:space="0" w:color="auto"/>
        </w:rPr>
        <w:t xml:space="preserve"> </w:t>
      </w:r>
      <w:r w:rsidR="00DB5B5E" w:rsidRPr="008B3BAB">
        <w:rPr>
          <w:rFonts w:ascii="Garamond" w:eastAsiaTheme="minorHAnsi" w:hAnsi="Garamond"/>
          <w:color w:val="auto"/>
          <w:bdr w:val="none" w:sz="0" w:space="0" w:color="auto"/>
        </w:rPr>
        <w:t xml:space="preserve">and resistance </w:t>
      </w:r>
      <w:r w:rsidR="00241532">
        <w:rPr>
          <w:rFonts w:ascii="Garamond" w:eastAsiaTheme="minorHAnsi" w:hAnsi="Garamond"/>
          <w:color w:val="auto"/>
          <w:bdr w:val="none" w:sz="0" w:space="0" w:color="auto"/>
        </w:rPr>
        <w:t xml:space="preserve">as </w:t>
      </w:r>
      <w:r w:rsidR="00DB5B5E" w:rsidRPr="008B3BAB">
        <w:rPr>
          <w:rFonts w:ascii="Garamond" w:eastAsiaTheme="minorHAnsi" w:hAnsi="Garamond"/>
          <w:color w:val="auto"/>
          <w:bdr w:val="none" w:sz="0" w:space="0" w:color="auto"/>
        </w:rPr>
        <w:t xml:space="preserve">these </w:t>
      </w:r>
      <w:r w:rsidR="003A6554" w:rsidRPr="008B3BAB">
        <w:rPr>
          <w:rFonts w:ascii="Garamond" w:eastAsiaTheme="minorHAnsi" w:hAnsi="Garamond"/>
          <w:color w:val="auto"/>
          <w:bdr w:val="none" w:sz="0" w:space="0" w:color="auto"/>
        </w:rPr>
        <w:t>activitie</w:t>
      </w:r>
      <w:r w:rsidR="00DB5B5E" w:rsidRPr="008B3BAB">
        <w:rPr>
          <w:rFonts w:ascii="Garamond" w:eastAsiaTheme="minorHAnsi" w:hAnsi="Garamond"/>
          <w:color w:val="auto"/>
          <w:bdr w:val="none" w:sz="0" w:space="0" w:color="auto"/>
        </w:rPr>
        <w:t xml:space="preserve">s are </w:t>
      </w:r>
      <w:r w:rsidR="003A6554" w:rsidRPr="008B3BAB">
        <w:rPr>
          <w:rFonts w:ascii="Garamond" w:eastAsiaTheme="minorHAnsi" w:hAnsi="Garamond"/>
          <w:color w:val="auto"/>
          <w:bdr w:val="none" w:sz="0" w:space="0" w:color="auto"/>
        </w:rPr>
        <w:t>blocked</w:t>
      </w:r>
      <w:r w:rsidR="00DB5B5E" w:rsidRPr="008B3BAB">
        <w:rPr>
          <w:rFonts w:ascii="Garamond" w:eastAsiaTheme="minorHAnsi" w:hAnsi="Garamond"/>
          <w:color w:val="auto"/>
          <w:bdr w:val="none" w:sz="0" w:space="0" w:color="auto"/>
        </w:rPr>
        <w:t xml:space="preserve">. This is </w:t>
      </w:r>
      <w:r w:rsidR="003A6554" w:rsidRPr="008B3BAB">
        <w:rPr>
          <w:rFonts w:ascii="Garamond" w:eastAsiaTheme="minorHAnsi" w:hAnsi="Garamond"/>
          <w:color w:val="auto"/>
          <w:bdr w:val="none" w:sz="0" w:space="0" w:color="auto"/>
        </w:rPr>
        <w:t xml:space="preserve">deeply problematic </w:t>
      </w:r>
      <w:r w:rsidR="00DB5B5E" w:rsidRPr="008B3BAB">
        <w:rPr>
          <w:rFonts w:ascii="Garamond" w:eastAsiaTheme="minorHAnsi" w:hAnsi="Garamond"/>
          <w:color w:val="auto"/>
          <w:bdr w:val="none" w:sz="0" w:space="0" w:color="auto"/>
        </w:rPr>
        <w:t xml:space="preserve">because </w:t>
      </w:r>
      <w:r w:rsidR="00C83DF8">
        <w:rPr>
          <w:rFonts w:ascii="Garamond" w:eastAsiaTheme="minorHAnsi" w:hAnsi="Garamond"/>
          <w:color w:val="auto"/>
          <w:bdr w:val="none" w:sz="0" w:space="0" w:color="auto"/>
        </w:rPr>
        <w:t>while local and I</w:t>
      </w:r>
      <w:r w:rsidR="00DB5B5E" w:rsidRPr="008B3BAB">
        <w:rPr>
          <w:rFonts w:ascii="Garamond" w:eastAsiaTheme="minorHAnsi" w:hAnsi="Garamond"/>
          <w:color w:val="auto"/>
          <w:bdr w:val="none" w:sz="0" w:space="0" w:color="auto"/>
        </w:rPr>
        <w:t xml:space="preserve">ndigenous </w:t>
      </w:r>
      <w:r w:rsidR="001301EC">
        <w:rPr>
          <w:rFonts w:ascii="Garamond" w:eastAsiaTheme="minorHAnsi" w:hAnsi="Garamond"/>
          <w:color w:val="auto"/>
          <w:bdr w:val="none" w:sz="0" w:space="0" w:color="auto"/>
        </w:rPr>
        <w:t>land</w:t>
      </w:r>
      <w:r w:rsidR="00C83DF8">
        <w:rPr>
          <w:rFonts w:ascii="Garamond" w:eastAsiaTheme="minorHAnsi" w:hAnsi="Garamond"/>
          <w:color w:val="auto"/>
          <w:bdr w:val="none" w:sz="0" w:space="0" w:color="auto"/>
        </w:rPr>
        <w:t>-</w:t>
      </w:r>
      <w:r w:rsidR="001301EC">
        <w:rPr>
          <w:rFonts w:ascii="Garamond" w:eastAsiaTheme="minorHAnsi" w:hAnsi="Garamond"/>
          <w:color w:val="auto"/>
          <w:bdr w:val="none" w:sz="0" w:space="0" w:color="auto"/>
        </w:rPr>
        <w:t xml:space="preserve">use </w:t>
      </w:r>
      <w:r w:rsidR="00DB5B5E" w:rsidRPr="008B3BAB">
        <w:rPr>
          <w:rFonts w:ascii="Garamond" w:eastAsiaTheme="minorHAnsi" w:hAnsi="Garamond"/>
          <w:color w:val="auto"/>
          <w:bdr w:val="none" w:sz="0" w:space="0" w:color="auto"/>
        </w:rPr>
        <w:t xml:space="preserve">practices that have been recognized for protecting forests are </w:t>
      </w:r>
      <w:r w:rsidR="00241532">
        <w:rPr>
          <w:rFonts w:ascii="Garamond" w:eastAsiaTheme="minorHAnsi" w:hAnsi="Garamond"/>
          <w:color w:val="auto"/>
          <w:bdr w:val="none" w:sz="0" w:space="0" w:color="auto"/>
        </w:rPr>
        <w:t>prevented</w:t>
      </w:r>
      <w:r w:rsidR="003A6554" w:rsidRPr="008B3BAB">
        <w:rPr>
          <w:rFonts w:ascii="Garamond" w:eastAsiaTheme="minorHAnsi" w:hAnsi="Garamond"/>
          <w:color w:val="auto"/>
          <w:bdr w:val="none" w:sz="0" w:space="0" w:color="auto"/>
        </w:rPr>
        <w:t>,</w:t>
      </w:r>
      <w:r w:rsidR="00DB5B5E" w:rsidRPr="008B3BAB">
        <w:rPr>
          <w:rFonts w:ascii="Garamond" w:eastAsiaTheme="minorHAnsi" w:hAnsi="Garamond"/>
          <w:color w:val="auto"/>
          <w:bdr w:val="none" w:sz="0" w:space="0" w:color="auto"/>
        </w:rPr>
        <w:t xml:space="preserve"> the main drivers of deforestation continue</w:t>
      </w:r>
      <w:r w:rsidR="003A6554" w:rsidRPr="008B3BAB">
        <w:rPr>
          <w:rFonts w:ascii="Garamond" w:eastAsiaTheme="minorHAnsi" w:hAnsi="Garamond"/>
          <w:color w:val="auto"/>
          <w:bdr w:val="none" w:sz="0" w:space="0" w:color="auto"/>
        </w:rPr>
        <w:t xml:space="preserve"> unabated</w:t>
      </w:r>
      <w:r w:rsidR="00DB5B5E" w:rsidRPr="008B3BAB">
        <w:rPr>
          <w:rFonts w:ascii="Garamond" w:eastAsiaTheme="minorHAnsi" w:hAnsi="Garamond"/>
          <w:color w:val="auto"/>
          <w:bdr w:val="none" w:sz="0" w:space="0" w:color="auto"/>
        </w:rPr>
        <w:t>. Th</w:t>
      </w:r>
      <w:r w:rsidR="00C83DF8">
        <w:rPr>
          <w:rFonts w:ascii="Garamond" w:eastAsiaTheme="minorHAnsi" w:hAnsi="Garamond"/>
          <w:color w:val="auto"/>
          <w:bdr w:val="none" w:sz="0" w:space="0" w:color="auto"/>
        </w:rPr>
        <w:t xml:space="preserve">erefore, </w:t>
      </w:r>
      <w:r w:rsidR="00DB5B5E" w:rsidRPr="008B3BAB">
        <w:rPr>
          <w:rFonts w:ascii="Garamond" w:eastAsiaTheme="minorHAnsi" w:hAnsi="Garamond"/>
          <w:color w:val="auto"/>
          <w:bdr w:val="none" w:sz="0" w:space="0" w:color="auto"/>
        </w:rPr>
        <w:t xml:space="preserve">serious climate justice concerns </w:t>
      </w:r>
      <w:r w:rsidR="00C83DF8">
        <w:rPr>
          <w:rFonts w:ascii="Garamond" w:eastAsiaTheme="minorHAnsi" w:hAnsi="Garamond"/>
          <w:color w:val="auto"/>
          <w:bdr w:val="none" w:sz="0" w:space="0" w:color="auto"/>
        </w:rPr>
        <w:t xml:space="preserve">exist </w:t>
      </w:r>
      <w:r w:rsidR="00DB5B5E" w:rsidRPr="008B3BAB">
        <w:rPr>
          <w:rFonts w:ascii="Garamond" w:eastAsiaTheme="minorHAnsi" w:hAnsi="Garamond"/>
          <w:color w:val="auto"/>
          <w:bdr w:val="none" w:sz="0" w:space="0" w:color="auto"/>
        </w:rPr>
        <w:t>w</w:t>
      </w:r>
      <w:r w:rsidR="000113B5">
        <w:rPr>
          <w:rFonts w:ascii="Garamond" w:eastAsiaTheme="minorHAnsi" w:hAnsi="Garamond"/>
          <w:color w:val="auto"/>
          <w:bdr w:val="none" w:sz="0" w:space="0" w:color="auto"/>
        </w:rPr>
        <w:t xml:space="preserve">ith such </w:t>
      </w:r>
      <w:r w:rsidR="001301EC">
        <w:rPr>
          <w:rFonts w:ascii="Garamond" w:eastAsiaTheme="minorHAnsi" w:hAnsi="Garamond"/>
          <w:color w:val="auto"/>
          <w:bdr w:val="none" w:sz="0" w:space="0" w:color="auto"/>
        </w:rPr>
        <w:t>initiatives, which in</w:t>
      </w:r>
      <w:r w:rsidR="00DB5B5E" w:rsidRPr="008B3BAB">
        <w:rPr>
          <w:rFonts w:ascii="Garamond" w:eastAsiaTheme="minorHAnsi" w:hAnsi="Garamond"/>
          <w:color w:val="auto"/>
          <w:bdr w:val="none" w:sz="0" w:space="0" w:color="auto"/>
        </w:rPr>
        <w:t xml:space="preserve"> the </w:t>
      </w:r>
      <w:r w:rsidR="001301EC">
        <w:rPr>
          <w:rFonts w:ascii="Garamond" w:eastAsiaTheme="minorHAnsi" w:hAnsi="Garamond"/>
          <w:color w:val="auto"/>
          <w:bdr w:val="none" w:sz="0" w:space="0" w:color="auto"/>
        </w:rPr>
        <w:t>end,</w:t>
      </w:r>
      <w:r w:rsidR="00DB5B5E" w:rsidRPr="008B3BAB">
        <w:rPr>
          <w:rFonts w:ascii="Garamond" w:eastAsiaTheme="minorHAnsi" w:hAnsi="Garamond"/>
          <w:color w:val="auto"/>
          <w:bdr w:val="none" w:sz="0" w:space="0" w:color="auto"/>
        </w:rPr>
        <w:t xml:space="preserve"> often lack </w:t>
      </w:r>
      <w:r w:rsidR="003A6554" w:rsidRPr="008B3BAB">
        <w:rPr>
          <w:rFonts w:ascii="Garamond" w:eastAsiaTheme="minorHAnsi" w:hAnsi="Garamond"/>
          <w:color w:val="auto"/>
          <w:bdr w:val="none" w:sz="0" w:space="0" w:color="auto"/>
        </w:rPr>
        <w:t>sufficient</w:t>
      </w:r>
      <w:r w:rsidR="00DB5B5E" w:rsidRPr="008B3BAB">
        <w:rPr>
          <w:rFonts w:ascii="Garamond" w:eastAsiaTheme="minorHAnsi" w:hAnsi="Garamond"/>
          <w:color w:val="auto"/>
          <w:bdr w:val="none" w:sz="0" w:space="0" w:color="auto"/>
        </w:rPr>
        <w:t xml:space="preserve"> local support to be successful. Jurisdictional programs</w:t>
      </w:r>
      <w:r w:rsidR="00AE56D7" w:rsidRPr="008B3BAB">
        <w:rPr>
          <w:rFonts w:ascii="Garamond" w:eastAsiaTheme="minorHAnsi" w:hAnsi="Garamond"/>
          <w:color w:val="auto"/>
          <w:bdr w:val="none" w:sz="0" w:space="0" w:color="auto"/>
        </w:rPr>
        <w:t xml:space="preserve"> </w:t>
      </w:r>
      <w:r w:rsidR="00DB5B5E" w:rsidRPr="008B3BAB">
        <w:rPr>
          <w:rFonts w:ascii="Garamond" w:eastAsiaTheme="minorHAnsi" w:hAnsi="Garamond"/>
          <w:color w:val="auto"/>
          <w:bdr w:val="none" w:sz="0" w:space="0" w:color="auto"/>
        </w:rPr>
        <w:t xml:space="preserve">that rely on </w:t>
      </w:r>
      <w:r w:rsidR="00AE56D7" w:rsidRPr="008B3BAB">
        <w:rPr>
          <w:rFonts w:ascii="Garamond" w:eastAsiaTheme="minorHAnsi" w:hAnsi="Garamond"/>
          <w:color w:val="auto"/>
          <w:bdr w:val="none" w:sz="0" w:space="0" w:color="auto"/>
        </w:rPr>
        <w:t xml:space="preserve">subnational governments </w:t>
      </w:r>
      <w:r w:rsidR="001301EC">
        <w:rPr>
          <w:rFonts w:ascii="Garamond" w:eastAsiaTheme="minorHAnsi" w:hAnsi="Garamond"/>
          <w:color w:val="auto"/>
          <w:bdr w:val="none" w:sz="0" w:space="0" w:color="auto"/>
        </w:rPr>
        <w:t>will suffer from similar problems</w:t>
      </w:r>
      <w:r w:rsidR="00AE56D7" w:rsidRPr="008B3BAB">
        <w:rPr>
          <w:rFonts w:ascii="Garamond" w:eastAsiaTheme="minorHAnsi" w:hAnsi="Garamond"/>
          <w:color w:val="auto"/>
          <w:bdr w:val="none" w:sz="0" w:space="0" w:color="auto"/>
        </w:rPr>
        <w:t xml:space="preserve"> given </w:t>
      </w:r>
      <w:r w:rsidR="00C83DF8">
        <w:rPr>
          <w:rFonts w:ascii="Garamond" w:eastAsiaTheme="minorHAnsi" w:hAnsi="Garamond"/>
          <w:color w:val="auto"/>
          <w:bdr w:val="none" w:sz="0" w:space="0" w:color="auto"/>
        </w:rPr>
        <w:t xml:space="preserve">low and volatile market prices and constant political turnover that make long-term carbon storage in forests subject to </w:t>
      </w:r>
      <w:r w:rsidR="001301EC">
        <w:rPr>
          <w:rFonts w:ascii="Garamond" w:eastAsiaTheme="minorHAnsi" w:hAnsi="Garamond"/>
          <w:color w:val="auto"/>
          <w:bdr w:val="none" w:sz="0" w:space="0" w:color="auto"/>
        </w:rPr>
        <w:t>reversals</w:t>
      </w:r>
      <w:r w:rsidR="00AE56D7" w:rsidRPr="008B3BAB">
        <w:rPr>
          <w:rFonts w:ascii="Garamond" w:eastAsiaTheme="minorHAnsi" w:hAnsi="Garamond"/>
          <w:color w:val="auto"/>
          <w:bdr w:val="none" w:sz="0" w:space="0" w:color="auto"/>
        </w:rPr>
        <w:t xml:space="preserve">. </w:t>
      </w:r>
    </w:p>
    <w:p w14:paraId="119CC5C5" w14:textId="400BEA0D" w:rsidR="00617769" w:rsidRPr="008B3BAB" w:rsidRDefault="00617769" w:rsidP="00617769">
      <w:pPr>
        <w:rPr>
          <w:rFonts w:ascii="Garamond" w:hAnsi="Garamond"/>
        </w:rPr>
      </w:pPr>
    </w:p>
    <w:p w14:paraId="7CC5D56D" w14:textId="56395B2D" w:rsidR="008940A3" w:rsidRPr="008B3BAB" w:rsidRDefault="00617769" w:rsidP="00525511">
      <w:pPr>
        <w:rPr>
          <w:rFonts w:ascii="Garamond" w:hAnsi="Garamond"/>
        </w:rPr>
      </w:pPr>
      <w:r w:rsidRPr="008B3BAB">
        <w:rPr>
          <w:rFonts w:ascii="Garamond" w:hAnsi="Garamond"/>
        </w:rPr>
        <w:t>Therefore</w:t>
      </w:r>
      <w:r w:rsidR="005B271B" w:rsidRPr="008B3BAB">
        <w:rPr>
          <w:rFonts w:ascii="Garamond" w:hAnsi="Garamond"/>
        </w:rPr>
        <w:t xml:space="preserve">, I strongly recommend CARB </w:t>
      </w:r>
      <w:r w:rsidRPr="008B3BAB">
        <w:rPr>
          <w:rFonts w:ascii="Garamond" w:hAnsi="Garamond"/>
        </w:rPr>
        <w:t xml:space="preserve">not endorse the TFS that will link </w:t>
      </w:r>
      <w:r w:rsidR="005B271B" w:rsidRPr="008B3BAB">
        <w:rPr>
          <w:rFonts w:ascii="Garamond" w:hAnsi="Garamond"/>
        </w:rPr>
        <w:t>California’s</w:t>
      </w:r>
      <w:r w:rsidRPr="008B3BAB">
        <w:rPr>
          <w:rFonts w:ascii="Garamond" w:hAnsi="Garamond"/>
        </w:rPr>
        <w:t xml:space="preserve"> carbon market to </w:t>
      </w:r>
      <w:r w:rsidR="006F0BDF" w:rsidRPr="008B3BAB">
        <w:rPr>
          <w:rFonts w:ascii="Garamond" w:hAnsi="Garamond"/>
        </w:rPr>
        <w:t>tropical forests</w:t>
      </w:r>
      <w:r w:rsidR="00623D6E" w:rsidRPr="008B3BAB">
        <w:rPr>
          <w:rFonts w:ascii="Garamond" w:hAnsi="Garamond"/>
        </w:rPr>
        <w:t xml:space="preserve">, </w:t>
      </w:r>
      <w:r w:rsidR="005B271B" w:rsidRPr="008B3BAB">
        <w:rPr>
          <w:rFonts w:ascii="Garamond" w:hAnsi="Garamond"/>
        </w:rPr>
        <w:t xml:space="preserve">and instead </w:t>
      </w:r>
      <w:r w:rsidR="006F0BDF" w:rsidRPr="008B3BAB">
        <w:rPr>
          <w:rFonts w:ascii="Garamond" w:hAnsi="Garamond"/>
        </w:rPr>
        <w:t>consider alternatives.</w:t>
      </w:r>
      <w:r w:rsidR="00623D6E" w:rsidRPr="008B3BAB">
        <w:rPr>
          <w:rFonts w:ascii="Garamond" w:hAnsi="Garamond"/>
        </w:rPr>
        <w:t xml:space="preserve">  </w:t>
      </w:r>
      <w:r w:rsidR="008940A3" w:rsidRPr="008B3BAB">
        <w:rPr>
          <w:rFonts w:ascii="Garamond" w:hAnsi="Garamond"/>
        </w:rPr>
        <w:t xml:space="preserve">At the conclusion of the November 2018 CARB meeting Chair Nichols requested </w:t>
      </w:r>
      <w:r w:rsidR="00623D6E" w:rsidRPr="008B3BAB">
        <w:rPr>
          <w:rFonts w:ascii="Garamond" w:hAnsi="Garamond"/>
        </w:rPr>
        <w:t xml:space="preserve">an exploration of </w:t>
      </w:r>
      <w:r w:rsidR="008940A3" w:rsidRPr="008B3BAB">
        <w:rPr>
          <w:rFonts w:ascii="Garamond" w:hAnsi="Garamond"/>
        </w:rPr>
        <w:t>alternatives</w:t>
      </w:r>
      <w:r w:rsidR="00623D6E" w:rsidRPr="008B3BAB">
        <w:rPr>
          <w:rFonts w:ascii="Garamond" w:hAnsi="Garamond"/>
        </w:rPr>
        <w:t xml:space="preserve"> to the TFS</w:t>
      </w:r>
      <w:r w:rsidR="008940A3" w:rsidRPr="008B3BAB">
        <w:rPr>
          <w:rFonts w:ascii="Garamond" w:hAnsi="Garamond"/>
        </w:rPr>
        <w:t xml:space="preserve">. </w:t>
      </w:r>
      <w:r w:rsidR="00623D6E" w:rsidRPr="008B3BAB">
        <w:rPr>
          <w:rFonts w:ascii="Garamond" w:hAnsi="Garamond"/>
        </w:rPr>
        <w:t xml:space="preserve">While </w:t>
      </w:r>
      <w:r w:rsidR="005B271B" w:rsidRPr="008B3BAB">
        <w:rPr>
          <w:rFonts w:ascii="Garamond" w:hAnsi="Garamond"/>
        </w:rPr>
        <w:t>several</w:t>
      </w:r>
      <w:r w:rsidR="00623D6E" w:rsidRPr="008B3BAB">
        <w:rPr>
          <w:rFonts w:ascii="Garamond" w:hAnsi="Garamond"/>
        </w:rPr>
        <w:t xml:space="preserve"> alternatives exist, it is not clear that CARB has seriously </w:t>
      </w:r>
      <w:r w:rsidR="005B271B" w:rsidRPr="008B3BAB">
        <w:rPr>
          <w:rFonts w:ascii="Garamond" w:hAnsi="Garamond"/>
        </w:rPr>
        <w:t xml:space="preserve">considered </w:t>
      </w:r>
      <w:r w:rsidR="00623D6E" w:rsidRPr="008B3BAB">
        <w:rPr>
          <w:rFonts w:ascii="Garamond" w:hAnsi="Garamond"/>
        </w:rPr>
        <w:t>any of them. Alternative</w:t>
      </w:r>
      <w:r w:rsidR="00C83DF8">
        <w:rPr>
          <w:rFonts w:ascii="Garamond" w:hAnsi="Garamond"/>
        </w:rPr>
        <w:t>s such as supporting local and I</w:t>
      </w:r>
      <w:r w:rsidR="00623D6E" w:rsidRPr="008B3BAB">
        <w:rPr>
          <w:rFonts w:ascii="Garamond" w:hAnsi="Garamond"/>
        </w:rPr>
        <w:t>ndigenous land rights and traditional forests practices, zero deforestation procurement policies and banning Amazon crude represent key alternati</w:t>
      </w:r>
      <w:r w:rsidR="005B271B" w:rsidRPr="008B3BAB">
        <w:rPr>
          <w:rFonts w:ascii="Garamond" w:hAnsi="Garamond"/>
        </w:rPr>
        <w:t>v</w:t>
      </w:r>
      <w:r w:rsidR="00623D6E" w:rsidRPr="008B3BAB">
        <w:rPr>
          <w:rFonts w:ascii="Garamond" w:hAnsi="Garamond"/>
        </w:rPr>
        <w:t xml:space="preserve">es that CARB should consider.  </w:t>
      </w:r>
      <w:r w:rsidR="008940A3" w:rsidRPr="008B3BAB">
        <w:rPr>
          <w:rFonts w:ascii="Garamond" w:hAnsi="Garamond"/>
        </w:rPr>
        <w:t>Investing in a portfolio of these</w:t>
      </w:r>
      <w:r w:rsidR="00623D6E" w:rsidRPr="008B3BAB">
        <w:rPr>
          <w:rFonts w:ascii="Garamond" w:hAnsi="Garamond"/>
        </w:rPr>
        <w:t xml:space="preserve"> and other</w:t>
      </w:r>
      <w:r w:rsidR="008940A3" w:rsidRPr="008B3BAB">
        <w:rPr>
          <w:rFonts w:ascii="Garamond" w:hAnsi="Garamond"/>
        </w:rPr>
        <w:t xml:space="preserve"> alternatives would send an important signal to other jurisdictions </w:t>
      </w:r>
      <w:r w:rsidR="00623D6E" w:rsidRPr="008B3BAB">
        <w:rPr>
          <w:rFonts w:ascii="Garamond" w:hAnsi="Garamond"/>
        </w:rPr>
        <w:t xml:space="preserve">demonstrating </w:t>
      </w:r>
      <w:r w:rsidR="008940A3" w:rsidRPr="008B3BAB">
        <w:rPr>
          <w:rFonts w:ascii="Garamond" w:hAnsi="Garamond"/>
        </w:rPr>
        <w:t xml:space="preserve">an effective and equitable approach </w:t>
      </w:r>
      <w:r w:rsidR="00147989">
        <w:rPr>
          <w:rFonts w:ascii="Garamond" w:hAnsi="Garamond"/>
        </w:rPr>
        <w:t>to</w:t>
      </w:r>
      <w:r w:rsidR="008940A3" w:rsidRPr="008B3BAB">
        <w:rPr>
          <w:rFonts w:ascii="Garamond" w:hAnsi="Garamond"/>
        </w:rPr>
        <w:t xml:space="preserve"> </w:t>
      </w:r>
      <w:r w:rsidR="00623D6E" w:rsidRPr="008B3BAB">
        <w:rPr>
          <w:rFonts w:ascii="Garamond" w:hAnsi="Garamond"/>
        </w:rPr>
        <w:t>climate change mitigation in tropical forests</w:t>
      </w:r>
      <w:r w:rsidR="008940A3" w:rsidRPr="008B3BAB">
        <w:rPr>
          <w:rFonts w:ascii="Garamond" w:hAnsi="Garamond"/>
        </w:rPr>
        <w:t xml:space="preserve">. </w:t>
      </w:r>
    </w:p>
    <w:p w14:paraId="0CE89787" w14:textId="77777777" w:rsidR="006F0BDF" w:rsidRPr="008B3BAB" w:rsidRDefault="006F0BDF" w:rsidP="00617769">
      <w:pPr>
        <w:rPr>
          <w:rFonts w:ascii="Garamond" w:hAnsi="Garamond"/>
        </w:rPr>
      </w:pPr>
    </w:p>
    <w:p w14:paraId="175D9E01" w14:textId="77777777" w:rsidR="00DC7A0B" w:rsidRPr="008B3BAB" w:rsidRDefault="00DC7A0B" w:rsidP="00DC7A0B">
      <w:pPr>
        <w:pStyle w:val="Title1"/>
        <w:jc w:val="left"/>
        <w:rPr>
          <w:rFonts w:ascii="Garamond" w:hAnsi="Garamond" w:cs="Times New Roman"/>
          <w:sz w:val="24"/>
          <w:szCs w:val="24"/>
        </w:rPr>
      </w:pPr>
      <w:r w:rsidRPr="008B3BAB">
        <w:rPr>
          <w:rFonts w:ascii="Garamond" w:hAnsi="Garamond" w:cs="Times New Roman"/>
          <w:sz w:val="24"/>
          <w:szCs w:val="24"/>
        </w:rPr>
        <w:t>SUPPORTING THE ROLE OF LOCAL AND INDIGENOUS PEOPLES</w:t>
      </w:r>
    </w:p>
    <w:p w14:paraId="75FD53B9" w14:textId="5BE2ED50" w:rsidR="00DC7A0B" w:rsidRPr="008B3BAB" w:rsidRDefault="00C83DF8" w:rsidP="00DC7A0B">
      <w:pPr>
        <w:pStyle w:val="Title1"/>
        <w:jc w:val="left"/>
        <w:rPr>
          <w:rFonts w:ascii="Garamond" w:hAnsi="Garamond" w:cs="Times New Roman"/>
          <w:color w:val="000000" w:themeColor="text1"/>
          <w:sz w:val="24"/>
          <w:szCs w:val="24"/>
        </w:rPr>
      </w:pPr>
      <w:r>
        <w:rPr>
          <w:rFonts w:ascii="Garamond" w:hAnsi="Garamond" w:cs="Times New Roman"/>
          <w:color w:val="000000" w:themeColor="text1"/>
          <w:sz w:val="24"/>
          <w:szCs w:val="24"/>
        </w:rPr>
        <w:t>Local and I</w:t>
      </w:r>
      <w:r w:rsidR="00BB602E" w:rsidRPr="008B3BAB">
        <w:rPr>
          <w:rFonts w:ascii="Garamond" w:hAnsi="Garamond" w:cs="Times New Roman"/>
          <w:color w:val="000000" w:themeColor="text1"/>
          <w:sz w:val="24"/>
          <w:szCs w:val="24"/>
        </w:rPr>
        <w:t>ndigenous peoples play a critical role in addressing climate change</w:t>
      </w:r>
      <w:r w:rsidR="00DC7A0B" w:rsidRPr="008B3BAB">
        <w:rPr>
          <w:rFonts w:ascii="Garamond" w:hAnsi="Garamond" w:cs="Times New Roman"/>
          <w:color w:val="000000" w:themeColor="text1"/>
          <w:sz w:val="24"/>
          <w:szCs w:val="24"/>
        </w:rPr>
        <w:t>.</w:t>
      </w:r>
      <w:r w:rsidR="009A64F2" w:rsidRPr="008B3BAB">
        <w:rPr>
          <w:rFonts w:ascii="Garamond" w:hAnsi="Garamond" w:cs="Times New Roman"/>
          <w:color w:val="000000" w:themeColor="text1"/>
          <w:sz w:val="24"/>
          <w:szCs w:val="24"/>
        </w:rPr>
        <w:t xml:space="preserve"> </w:t>
      </w:r>
      <w:r w:rsidR="00BA785F" w:rsidRPr="008B3BAB">
        <w:rPr>
          <w:rFonts w:ascii="Garamond" w:hAnsi="Garamond" w:cs="Times New Roman"/>
          <w:color w:val="000000" w:themeColor="text1"/>
          <w:sz w:val="24"/>
          <w:szCs w:val="24"/>
        </w:rPr>
        <w:t xml:space="preserve">In particular, secure land rights and support for </w:t>
      </w:r>
      <w:r w:rsidR="00C1421E" w:rsidRPr="008B3BAB">
        <w:rPr>
          <w:rFonts w:ascii="Garamond" w:hAnsi="Garamond" w:cs="Times New Roman"/>
          <w:color w:val="000000" w:themeColor="text1"/>
          <w:sz w:val="24"/>
          <w:szCs w:val="24"/>
        </w:rPr>
        <w:t>I</w:t>
      </w:r>
      <w:r w:rsidR="00BA785F" w:rsidRPr="008B3BAB">
        <w:rPr>
          <w:rFonts w:ascii="Garamond" w:hAnsi="Garamond" w:cs="Times New Roman"/>
          <w:color w:val="000000" w:themeColor="text1"/>
          <w:sz w:val="24"/>
          <w:szCs w:val="24"/>
        </w:rPr>
        <w:t xml:space="preserve">ndigenous </w:t>
      </w:r>
      <w:r w:rsidR="00D3374F" w:rsidRPr="008B3BAB">
        <w:rPr>
          <w:rFonts w:ascii="Garamond" w:hAnsi="Garamond" w:cs="Times New Roman"/>
          <w:color w:val="000000" w:themeColor="text1"/>
          <w:sz w:val="24"/>
          <w:szCs w:val="24"/>
        </w:rPr>
        <w:t xml:space="preserve">forest and </w:t>
      </w:r>
      <w:r w:rsidR="00BA785F" w:rsidRPr="008B3BAB">
        <w:rPr>
          <w:rFonts w:ascii="Garamond" w:hAnsi="Garamond" w:cs="Times New Roman"/>
          <w:color w:val="000000" w:themeColor="text1"/>
          <w:sz w:val="24"/>
          <w:szCs w:val="24"/>
        </w:rPr>
        <w:t>agricultural practices can have significant climate</w:t>
      </w:r>
      <w:r w:rsidR="00D818AD" w:rsidRPr="008B3BAB">
        <w:rPr>
          <w:rFonts w:ascii="Garamond" w:hAnsi="Garamond" w:cs="Times New Roman"/>
          <w:color w:val="000000" w:themeColor="text1"/>
          <w:sz w:val="24"/>
          <w:szCs w:val="24"/>
        </w:rPr>
        <w:t xml:space="preserve"> benefits</w:t>
      </w:r>
      <w:r w:rsidR="00226CE9" w:rsidRPr="008B3BAB">
        <w:rPr>
          <w:rFonts w:ascii="Garamond" w:hAnsi="Garamond" w:cs="Times New Roman"/>
          <w:color w:val="000000" w:themeColor="text1"/>
          <w:sz w:val="24"/>
          <w:szCs w:val="24"/>
        </w:rPr>
        <w:t xml:space="preserve"> according to the</w:t>
      </w:r>
      <w:r w:rsidR="00D818AD" w:rsidRPr="008B3BAB">
        <w:rPr>
          <w:rFonts w:ascii="Garamond" w:hAnsi="Garamond" w:cs="Times New Roman"/>
          <w:color w:val="000000" w:themeColor="text1"/>
          <w:sz w:val="24"/>
          <w:szCs w:val="24"/>
        </w:rPr>
        <w:t xml:space="preserve"> </w:t>
      </w:r>
      <w:r w:rsidR="00226CE9" w:rsidRPr="008B3BAB">
        <w:rPr>
          <w:rFonts w:ascii="Garamond" w:hAnsi="Garamond" w:cs="Times New Roman"/>
          <w:color w:val="000000" w:themeColor="text1"/>
          <w:sz w:val="24"/>
          <w:szCs w:val="24"/>
        </w:rPr>
        <w:t xml:space="preserve">recent </w:t>
      </w:r>
      <w:r w:rsidR="00D818AD" w:rsidRPr="008B3BAB">
        <w:rPr>
          <w:rFonts w:ascii="Garamond" w:hAnsi="Garamond" w:cs="Times New Roman"/>
          <w:color w:val="000000" w:themeColor="text1"/>
          <w:sz w:val="24"/>
          <w:szCs w:val="24"/>
        </w:rPr>
        <w:t xml:space="preserve">IPCC </w:t>
      </w:r>
      <w:r w:rsidR="00226CE9" w:rsidRPr="008B3BAB">
        <w:rPr>
          <w:rFonts w:ascii="Garamond" w:hAnsi="Garamond" w:cs="Times New Roman"/>
          <w:color w:val="000000" w:themeColor="text1"/>
          <w:sz w:val="24"/>
          <w:szCs w:val="24"/>
        </w:rPr>
        <w:t>report on land. Authors recognize that</w:t>
      </w:r>
      <w:r w:rsidR="003F3C9B" w:rsidRPr="008B3BAB">
        <w:rPr>
          <w:rFonts w:ascii="Garamond" w:hAnsi="Garamond" w:cs="Times New Roman"/>
          <w:color w:val="000000" w:themeColor="text1"/>
          <w:sz w:val="24"/>
          <w:szCs w:val="24"/>
        </w:rPr>
        <w:t xml:space="preserve"> </w:t>
      </w:r>
      <w:r w:rsidR="003F3C9B" w:rsidRPr="008B3BAB">
        <w:rPr>
          <w:rFonts w:ascii="Garamond" w:eastAsia="Times New Roman" w:hAnsi="Garamond" w:cs="Times New Roman"/>
          <w:color w:val="000000" w:themeColor="text1"/>
          <w:sz w:val="24"/>
          <w:szCs w:val="24"/>
          <w:shd w:val="clear" w:color="auto" w:fill="FFFFFF"/>
        </w:rPr>
        <w:t>“Insecure land tenure affects the ability of people, communities and organisations to make changes to land that can advance adaptation and mitigation</w:t>
      </w:r>
      <w:r w:rsidR="00D818AD" w:rsidRPr="008B3BAB">
        <w:rPr>
          <w:rFonts w:ascii="Garamond" w:hAnsi="Garamond" w:cs="Times New Roman"/>
          <w:color w:val="000000" w:themeColor="text1"/>
          <w:sz w:val="24"/>
          <w:szCs w:val="24"/>
          <w:shd w:val="clear" w:color="auto" w:fill="FFFFFF"/>
        </w:rPr>
        <w:t>”</w:t>
      </w:r>
      <w:r w:rsidR="009C2B71" w:rsidRPr="008B3BAB">
        <w:rPr>
          <w:rStyle w:val="FootnoteReference"/>
          <w:rFonts w:ascii="Garamond" w:hAnsi="Garamond" w:cs="Times New Roman"/>
          <w:color w:val="000000" w:themeColor="text1"/>
          <w:sz w:val="24"/>
          <w:szCs w:val="24"/>
          <w:shd w:val="clear" w:color="auto" w:fill="FFFFFF"/>
        </w:rPr>
        <w:footnoteReference w:id="2"/>
      </w:r>
      <w:r w:rsidR="003F3C9B" w:rsidRPr="008B3BAB">
        <w:rPr>
          <w:rFonts w:ascii="Garamond" w:eastAsia="Times New Roman" w:hAnsi="Garamond" w:cs="Times New Roman"/>
          <w:color w:val="000000" w:themeColor="text1"/>
          <w:sz w:val="24"/>
          <w:szCs w:val="24"/>
          <w:shd w:val="clear" w:color="auto" w:fill="FFFFFF"/>
        </w:rPr>
        <w:t xml:space="preserve">. </w:t>
      </w:r>
      <w:r w:rsidR="00226CE9" w:rsidRPr="008B3BAB">
        <w:rPr>
          <w:rFonts w:ascii="Garamond" w:hAnsi="Garamond" w:cs="Times New Roman"/>
          <w:color w:val="000000" w:themeColor="text1"/>
          <w:sz w:val="24"/>
          <w:szCs w:val="24"/>
        </w:rPr>
        <w:t xml:space="preserve">The IPCC report also recognizes the importance of Indigenous Peoples land use practices for meeting the goals of the Paris Agreement. </w:t>
      </w:r>
      <w:r w:rsidR="00CA4815" w:rsidRPr="008B3BAB">
        <w:rPr>
          <w:rFonts w:ascii="Garamond" w:hAnsi="Garamond" w:cs="Times New Roman"/>
          <w:color w:val="000000" w:themeColor="text1"/>
          <w:sz w:val="24"/>
          <w:szCs w:val="24"/>
          <w:shd w:val="clear" w:color="auto" w:fill="FFFFFF"/>
        </w:rPr>
        <w:t>Authors a</w:t>
      </w:r>
      <w:r w:rsidR="00C1421E" w:rsidRPr="008B3BAB">
        <w:rPr>
          <w:rFonts w:ascii="Garamond" w:hAnsi="Garamond" w:cs="Times New Roman"/>
          <w:color w:val="000000" w:themeColor="text1"/>
          <w:sz w:val="24"/>
          <w:szCs w:val="24"/>
          <w:shd w:val="clear" w:color="auto" w:fill="FFFFFF"/>
        </w:rPr>
        <w:t>r</w:t>
      </w:r>
      <w:r w:rsidR="00CA4815" w:rsidRPr="008B3BAB">
        <w:rPr>
          <w:rFonts w:ascii="Garamond" w:hAnsi="Garamond" w:cs="Times New Roman"/>
          <w:color w:val="000000" w:themeColor="text1"/>
          <w:sz w:val="24"/>
          <w:szCs w:val="24"/>
          <w:shd w:val="clear" w:color="auto" w:fill="FFFFFF"/>
        </w:rPr>
        <w:t>gu</w:t>
      </w:r>
      <w:r w:rsidR="00226CE9" w:rsidRPr="008B3BAB">
        <w:rPr>
          <w:rFonts w:ascii="Garamond" w:hAnsi="Garamond" w:cs="Times New Roman"/>
          <w:color w:val="000000" w:themeColor="text1"/>
          <w:sz w:val="24"/>
          <w:szCs w:val="24"/>
          <w:shd w:val="clear" w:color="auto" w:fill="FFFFFF"/>
        </w:rPr>
        <w:t>e</w:t>
      </w:r>
      <w:r w:rsidR="00D818AD" w:rsidRPr="008B3BAB">
        <w:rPr>
          <w:rFonts w:ascii="Garamond" w:hAnsi="Garamond" w:cs="Times New Roman"/>
          <w:color w:val="000000" w:themeColor="text1"/>
          <w:sz w:val="24"/>
          <w:szCs w:val="24"/>
          <w:shd w:val="clear" w:color="auto" w:fill="FFFFFF"/>
        </w:rPr>
        <w:t>, “</w:t>
      </w:r>
      <w:r w:rsidR="00E44209">
        <w:rPr>
          <w:rFonts w:ascii="Garamond" w:eastAsiaTheme="minorHAnsi" w:hAnsi="Garamond" w:cs="Times New Roman"/>
          <w:color w:val="000000" w:themeColor="text1"/>
          <w:sz w:val="24"/>
          <w:szCs w:val="24"/>
          <w:bdr w:val="none" w:sz="0" w:space="0" w:color="auto"/>
        </w:rPr>
        <w:t>[a]</w:t>
      </w:r>
      <w:r w:rsidR="00D818AD" w:rsidRPr="008B3BAB">
        <w:rPr>
          <w:rFonts w:ascii="Garamond" w:eastAsiaTheme="minorHAnsi" w:hAnsi="Garamond" w:cs="Times New Roman"/>
          <w:color w:val="000000" w:themeColor="text1"/>
          <w:sz w:val="24"/>
          <w:szCs w:val="24"/>
          <w:bdr w:val="none" w:sz="0" w:space="0" w:color="auto"/>
        </w:rPr>
        <w:t xml:space="preserve">gricultural </w:t>
      </w:r>
      <w:r>
        <w:rPr>
          <w:rFonts w:ascii="Garamond" w:eastAsiaTheme="minorHAnsi" w:hAnsi="Garamond" w:cs="Times New Roman"/>
          <w:color w:val="000000" w:themeColor="text1"/>
          <w:sz w:val="24"/>
          <w:szCs w:val="24"/>
          <w:bdr w:val="none" w:sz="0" w:space="0" w:color="auto"/>
        </w:rPr>
        <w:t>practices that include I</w:t>
      </w:r>
      <w:r w:rsidR="00D818AD" w:rsidRPr="008B3BAB">
        <w:rPr>
          <w:rFonts w:ascii="Garamond" w:eastAsiaTheme="minorHAnsi" w:hAnsi="Garamond" w:cs="Times New Roman"/>
          <w:color w:val="000000" w:themeColor="text1"/>
          <w:sz w:val="24"/>
          <w:szCs w:val="24"/>
          <w:bdr w:val="none" w:sz="0" w:space="0" w:color="auto"/>
        </w:rPr>
        <w:t>ndigenous and local knowledge can contribute to overcoming the combined challenges of climate change, food security, biodiversity conservation, and combating desertification and land degradation.</w:t>
      </w:r>
      <w:r w:rsidR="00F2711E" w:rsidRPr="008B3BAB">
        <w:rPr>
          <w:rStyle w:val="FootnoteReference"/>
          <w:rFonts w:ascii="Garamond" w:eastAsiaTheme="minorHAnsi" w:hAnsi="Garamond" w:cs="Times New Roman"/>
          <w:color w:val="000000" w:themeColor="text1"/>
          <w:sz w:val="24"/>
          <w:szCs w:val="24"/>
          <w:bdr w:val="none" w:sz="0" w:space="0" w:color="auto"/>
        </w:rPr>
        <w:footnoteReference w:id="3"/>
      </w:r>
      <w:r w:rsidR="00B47E6B" w:rsidRPr="008B3BAB">
        <w:rPr>
          <w:rFonts w:ascii="Garamond" w:eastAsiaTheme="minorHAnsi" w:hAnsi="Garamond" w:cs="Times New Roman"/>
          <w:color w:val="000000" w:themeColor="text1"/>
          <w:sz w:val="24"/>
          <w:szCs w:val="24"/>
          <w:bdr w:val="none" w:sz="0" w:space="0" w:color="auto"/>
        </w:rPr>
        <w:t>”</w:t>
      </w:r>
      <w:r w:rsidR="00D818AD" w:rsidRPr="008B3BAB">
        <w:rPr>
          <w:rFonts w:ascii="Garamond" w:eastAsiaTheme="minorHAnsi" w:hAnsi="Garamond" w:cs="Times New Roman"/>
          <w:color w:val="000000" w:themeColor="text1"/>
          <w:sz w:val="24"/>
          <w:szCs w:val="24"/>
          <w:bdr w:val="none" w:sz="0" w:space="0" w:color="auto"/>
        </w:rPr>
        <w:t xml:space="preserve"> </w:t>
      </w:r>
      <w:r w:rsidR="009A64F2" w:rsidRPr="008B3BAB">
        <w:rPr>
          <w:rFonts w:ascii="Garamond" w:hAnsi="Garamond" w:cs="Times New Roman"/>
          <w:color w:val="000000" w:themeColor="text1"/>
          <w:sz w:val="24"/>
          <w:szCs w:val="24"/>
        </w:rPr>
        <w:t>Therefore</w:t>
      </w:r>
      <w:r w:rsidR="00C1421E" w:rsidRPr="008B3BAB">
        <w:rPr>
          <w:rFonts w:ascii="Garamond" w:hAnsi="Garamond" w:cs="Times New Roman"/>
          <w:color w:val="000000" w:themeColor="text1"/>
          <w:sz w:val="24"/>
          <w:szCs w:val="24"/>
        </w:rPr>
        <w:t>,</w:t>
      </w:r>
      <w:r w:rsidR="009A64F2" w:rsidRPr="008B3BAB">
        <w:rPr>
          <w:rFonts w:ascii="Garamond" w:hAnsi="Garamond" w:cs="Times New Roman"/>
          <w:color w:val="000000" w:themeColor="text1"/>
          <w:sz w:val="24"/>
          <w:szCs w:val="24"/>
        </w:rPr>
        <w:t xml:space="preserve"> alternatives to </w:t>
      </w:r>
      <w:r w:rsidR="00226CE9" w:rsidRPr="008B3BAB">
        <w:rPr>
          <w:rFonts w:ascii="Garamond" w:hAnsi="Garamond" w:cs="Times New Roman"/>
          <w:color w:val="000000" w:themeColor="text1"/>
          <w:sz w:val="24"/>
          <w:szCs w:val="24"/>
        </w:rPr>
        <w:t xml:space="preserve">carbon markets </w:t>
      </w:r>
      <w:r w:rsidR="009A64F2" w:rsidRPr="008B3BAB">
        <w:rPr>
          <w:rFonts w:ascii="Garamond" w:hAnsi="Garamond" w:cs="Times New Roman"/>
          <w:color w:val="000000" w:themeColor="text1"/>
          <w:sz w:val="24"/>
          <w:szCs w:val="24"/>
        </w:rPr>
        <w:t xml:space="preserve">include </w:t>
      </w:r>
      <w:r w:rsidR="008940A3" w:rsidRPr="008B3BAB">
        <w:rPr>
          <w:rFonts w:ascii="Garamond" w:hAnsi="Garamond" w:cs="Times New Roman"/>
          <w:color w:val="000000" w:themeColor="text1"/>
          <w:sz w:val="24"/>
          <w:szCs w:val="24"/>
        </w:rPr>
        <w:t xml:space="preserve">local community and </w:t>
      </w:r>
      <w:r w:rsidR="002449A8">
        <w:rPr>
          <w:rFonts w:ascii="Garamond" w:hAnsi="Garamond" w:cs="Times New Roman"/>
          <w:color w:val="000000" w:themeColor="text1"/>
          <w:sz w:val="24"/>
          <w:szCs w:val="24"/>
        </w:rPr>
        <w:t>Indigenous land rights,</w:t>
      </w:r>
      <w:r w:rsidR="00C1421E" w:rsidRPr="008B3BAB">
        <w:rPr>
          <w:rFonts w:ascii="Garamond" w:hAnsi="Garamond" w:cs="Times New Roman"/>
          <w:color w:val="000000" w:themeColor="text1"/>
          <w:sz w:val="24"/>
          <w:szCs w:val="24"/>
        </w:rPr>
        <w:t xml:space="preserve"> and support </w:t>
      </w:r>
      <w:r w:rsidR="004459E4">
        <w:rPr>
          <w:rFonts w:ascii="Garamond" w:hAnsi="Garamond" w:cs="Times New Roman"/>
          <w:color w:val="000000" w:themeColor="text1"/>
          <w:sz w:val="24"/>
          <w:szCs w:val="24"/>
        </w:rPr>
        <w:t>for</w:t>
      </w:r>
      <w:r w:rsidR="00C1421E" w:rsidRPr="008B3BAB">
        <w:rPr>
          <w:rFonts w:ascii="Garamond" w:hAnsi="Garamond" w:cs="Times New Roman"/>
          <w:color w:val="000000" w:themeColor="text1"/>
          <w:sz w:val="24"/>
          <w:szCs w:val="24"/>
        </w:rPr>
        <w:t xml:space="preserve"> </w:t>
      </w:r>
      <w:r w:rsidR="002449A8">
        <w:rPr>
          <w:rFonts w:ascii="Garamond" w:hAnsi="Garamond" w:cs="Times New Roman"/>
          <w:color w:val="000000" w:themeColor="text1"/>
          <w:sz w:val="24"/>
          <w:szCs w:val="24"/>
        </w:rPr>
        <w:t xml:space="preserve">their </w:t>
      </w:r>
      <w:r w:rsidR="009A64F2" w:rsidRPr="008B3BAB">
        <w:rPr>
          <w:rFonts w:ascii="Garamond" w:hAnsi="Garamond" w:cs="Times New Roman"/>
          <w:color w:val="000000" w:themeColor="text1"/>
          <w:sz w:val="24"/>
          <w:szCs w:val="24"/>
        </w:rPr>
        <w:t xml:space="preserve">climate change and forest strategies. </w:t>
      </w:r>
      <w:r w:rsidR="00DC7A0B" w:rsidRPr="008B3BAB">
        <w:rPr>
          <w:rFonts w:ascii="Garamond" w:hAnsi="Garamond" w:cs="Times New Roman"/>
          <w:color w:val="000000" w:themeColor="text1"/>
          <w:sz w:val="24"/>
          <w:szCs w:val="24"/>
        </w:rPr>
        <w:t xml:space="preserve"> </w:t>
      </w:r>
    </w:p>
    <w:p w14:paraId="5B2673DE" w14:textId="77777777" w:rsidR="00DC7A0B" w:rsidRPr="008B3BAB" w:rsidRDefault="00DC7A0B" w:rsidP="0070638D">
      <w:pPr>
        <w:rPr>
          <w:rFonts w:ascii="Garamond" w:hAnsi="Garamond"/>
        </w:rPr>
      </w:pPr>
    </w:p>
    <w:p w14:paraId="4F0687D4" w14:textId="77777777" w:rsidR="00787E70" w:rsidRPr="008B3BAB" w:rsidRDefault="00787E70" w:rsidP="00787E70">
      <w:pPr>
        <w:pStyle w:val="Title1"/>
        <w:jc w:val="left"/>
        <w:rPr>
          <w:rFonts w:ascii="Garamond" w:hAnsi="Garamond" w:cs="Times New Roman"/>
          <w:sz w:val="24"/>
          <w:szCs w:val="24"/>
        </w:rPr>
      </w:pPr>
      <w:r w:rsidRPr="008B3BAB">
        <w:rPr>
          <w:rFonts w:ascii="Garamond" w:hAnsi="Garamond" w:cs="Times New Roman"/>
          <w:sz w:val="24"/>
          <w:szCs w:val="24"/>
        </w:rPr>
        <w:t>DEMARCATION OF INDIGENOUS LAND</w:t>
      </w:r>
    </w:p>
    <w:p w14:paraId="4895A762" w14:textId="278DDB05" w:rsidR="00787E70" w:rsidRPr="008B3BAB" w:rsidRDefault="00787E70" w:rsidP="00787E70">
      <w:pPr>
        <w:pStyle w:val="Title1"/>
        <w:jc w:val="left"/>
        <w:rPr>
          <w:rFonts w:ascii="Garamond" w:hAnsi="Garamond" w:cs="Times New Roman"/>
          <w:color w:val="000000" w:themeColor="text1"/>
          <w:sz w:val="24"/>
          <w:szCs w:val="24"/>
        </w:rPr>
      </w:pPr>
      <w:r w:rsidRPr="008B3BAB">
        <w:rPr>
          <w:rFonts w:ascii="Garamond" w:hAnsi="Garamond" w:cs="Times New Roman"/>
          <w:color w:val="000000" w:themeColor="text1"/>
          <w:sz w:val="24"/>
          <w:szCs w:val="24"/>
        </w:rPr>
        <w:t>Indigenous lands have been proven to have an inhibitory effect on deforestation particularly at the fores</w:t>
      </w:r>
      <w:r w:rsidR="00C53861" w:rsidRPr="008B3BAB">
        <w:rPr>
          <w:rFonts w:ascii="Garamond" w:hAnsi="Garamond" w:cs="Times New Roman"/>
          <w:color w:val="000000" w:themeColor="text1"/>
          <w:sz w:val="24"/>
          <w:szCs w:val="24"/>
        </w:rPr>
        <w:t>t frontier</w:t>
      </w:r>
      <w:r w:rsidR="00C53861" w:rsidRPr="008B3BAB">
        <w:rPr>
          <w:rStyle w:val="FootnoteReference"/>
          <w:rFonts w:ascii="Garamond" w:hAnsi="Garamond" w:cs="Times New Roman"/>
          <w:color w:val="000000" w:themeColor="text1"/>
          <w:sz w:val="24"/>
          <w:szCs w:val="24"/>
        </w:rPr>
        <w:footnoteReference w:id="4"/>
      </w:r>
      <w:r w:rsidRPr="008B3BAB">
        <w:rPr>
          <w:rFonts w:ascii="Garamond" w:hAnsi="Garamond" w:cs="Times New Roman"/>
          <w:color w:val="000000" w:themeColor="text1"/>
          <w:sz w:val="24"/>
          <w:szCs w:val="24"/>
        </w:rPr>
        <w:t xml:space="preserve">. Even under population pressures and contact with the non-indigenous world, Indigenous communities tend to </w:t>
      </w:r>
      <w:r w:rsidR="004459E4">
        <w:rPr>
          <w:rFonts w:ascii="Garamond" w:hAnsi="Garamond" w:cs="Times New Roman"/>
          <w:color w:val="000000" w:themeColor="text1"/>
          <w:sz w:val="24"/>
          <w:szCs w:val="24"/>
        </w:rPr>
        <w:t>keep</w:t>
      </w:r>
      <w:r w:rsidRPr="008B3BAB">
        <w:rPr>
          <w:rFonts w:ascii="Garamond" w:hAnsi="Garamond" w:cs="Times New Roman"/>
          <w:color w:val="000000" w:themeColor="text1"/>
          <w:sz w:val="24"/>
          <w:szCs w:val="24"/>
        </w:rPr>
        <w:t xml:space="preserve"> their forests intact</w:t>
      </w:r>
      <w:r w:rsidR="005A2379" w:rsidRPr="008B3BAB">
        <w:rPr>
          <w:rStyle w:val="FootnoteReference"/>
          <w:rFonts w:ascii="Garamond" w:hAnsi="Garamond" w:cs="Times New Roman"/>
          <w:color w:val="000000" w:themeColor="text1"/>
          <w:sz w:val="24"/>
          <w:szCs w:val="24"/>
        </w:rPr>
        <w:footnoteReference w:id="5"/>
      </w:r>
      <w:r w:rsidRPr="008B3BAB">
        <w:rPr>
          <w:rFonts w:ascii="Garamond" w:hAnsi="Garamond" w:cs="Times New Roman"/>
          <w:color w:val="000000" w:themeColor="text1"/>
          <w:sz w:val="24"/>
          <w:szCs w:val="24"/>
        </w:rPr>
        <w:t xml:space="preserve">. While conservation areas are also effective strategies for protecting forests, they tend to be at farther distances from the frontier. Indigenous communities, therefore, </w:t>
      </w:r>
      <w:r w:rsidR="00B10324">
        <w:rPr>
          <w:rFonts w:ascii="Garamond" w:hAnsi="Garamond" w:cs="Times New Roman"/>
          <w:color w:val="000000" w:themeColor="text1"/>
          <w:sz w:val="24"/>
          <w:szCs w:val="24"/>
        </w:rPr>
        <w:t>hold</w:t>
      </w:r>
      <w:r w:rsidRPr="008B3BAB">
        <w:rPr>
          <w:rFonts w:ascii="Garamond" w:hAnsi="Garamond" w:cs="Times New Roman"/>
          <w:color w:val="000000" w:themeColor="text1"/>
          <w:sz w:val="24"/>
          <w:szCs w:val="24"/>
        </w:rPr>
        <w:t xml:space="preserve"> the line against the movement of </w:t>
      </w:r>
      <w:r w:rsidR="002449A8">
        <w:rPr>
          <w:rFonts w:ascii="Garamond" w:hAnsi="Garamond" w:cs="Times New Roman"/>
          <w:color w:val="000000" w:themeColor="text1"/>
          <w:sz w:val="24"/>
          <w:szCs w:val="24"/>
        </w:rPr>
        <w:t xml:space="preserve">the </w:t>
      </w:r>
      <w:r w:rsidRPr="008B3BAB">
        <w:rPr>
          <w:rFonts w:ascii="Garamond" w:hAnsi="Garamond" w:cs="Times New Roman"/>
          <w:color w:val="000000" w:themeColor="text1"/>
          <w:sz w:val="24"/>
          <w:szCs w:val="24"/>
        </w:rPr>
        <w:t>deforestation frontier. Research show</w:t>
      </w:r>
      <w:r w:rsidR="003E6F95">
        <w:rPr>
          <w:rFonts w:ascii="Garamond" w:hAnsi="Garamond" w:cs="Times New Roman"/>
          <w:color w:val="000000" w:themeColor="text1"/>
          <w:sz w:val="24"/>
          <w:szCs w:val="24"/>
        </w:rPr>
        <w:t xml:space="preserve">s that when Indigenous Peoples </w:t>
      </w:r>
      <w:r w:rsidRPr="008B3BAB">
        <w:rPr>
          <w:rFonts w:ascii="Garamond" w:hAnsi="Garamond" w:cs="Times New Roman"/>
          <w:color w:val="000000" w:themeColor="text1"/>
          <w:sz w:val="24"/>
          <w:szCs w:val="24"/>
        </w:rPr>
        <w:t>and forest communities have their land tenure rights r</w:t>
      </w:r>
      <w:r w:rsidR="003E6F95">
        <w:rPr>
          <w:rFonts w:ascii="Garamond" w:hAnsi="Garamond" w:cs="Times New Roman"/>
          <w:color w:val="000000" w:themeColor="text1"/>
          <w:sz w:val="24"/>
          <w:szCs w:val="24"/>
        </w:rPr>
        <w:t>ecognized they are better</w:t>
      </w:r>
      <w:r w:rsidRPr="008B3BAB">
        <w:rPr>
          <w:rFonts w:ascii="Garamond" w:hAnsi="Garamond" w:cs="Times New Roman"/>
          <w:color w:val="000000" w:themeColor="text1"/>
          <w:sz w:val="24"/>
          <w:szCs w:val="24"/>
        </w:rPr>
        <w:t xml:space="preserve"> stewards of forests than </w:t>
      </w:r>
      <w:r w:rsidR="003E6F95">
        <w:rPr>
          <w:rFonts w:ascii="Garamond" w:hAnsi="Garamond" w:cs="Times New Roman"/>
          <w:color w:val="000000" w:themeColor="text1"/>
          <w:sz w:val="24"/>
          <w:szCs w:val="24"/>
        </w:rPr>
        <w:t xml:space="preserve">even </w:t>
      </w:r>
      <w:r w:rsidRPr="008B3BAB">
        <w:rPr>
          <w:rFonts w:ascii="Garamond" w:hAnsi="Garamond" w:cs="Times New Roman"/>
          <w:color w:val="000000" w:themeColor="text1"/>
          <w:sz w:val="24"/>
          <w:szCs w:val="24"/>
        </w:rPr>
        <w:t>governments</w:t>
      </w:r>
      <w:r w:rsidR="00C27400" w:rsidRPr="008B3BAB">
        <w:rPr>
          <w:rStyle w:val="FootnoteReference"/>
          <w:rFonts w:ascii="Garamond" w:hAnsi="Garamond" w:cs="Times New Roman"/>
          <w:color w:val="000000" w:themeColor="text1"/>
          <w:sz w:val="24"/>
          <w:szCs w:val="24"/>
        </w:rPr>
        <w:footnoteReference w:id="6"/>
      </w:r>
      <w:r w:rsidR="00C27400" w:rsidRPr="008B3BAB">
        <w:rPr>
          <w:rFonts w:ascii="Garamond" w:hAnsi="Garamond" w:cs="Times New Roman"/>
          <w:color w:val="000000" w:themeColor="text1"/>
          <w:sz w:val="24"/>
          <w:szCs w:val="24"/>
        </w:rPr>
        <w:t xml:space="preserve">. </w:t>
      </w:r>
      <w:r w:rsidRPr="008B3BAB">
        <w:rPr>
          <w:rFonts w:ascii="Garamond" w:hAnsi="Garamond" w:cs="Times New Roman"/>
          <w:color w:val="000000" w:themeColor="text1"/>
          <w:sz w:val="24"/>
          <w:szCs w:val="24"/>
        </w:rPr>
        <w:t>Therefore</w:t>
      </w:r>
      <w:r w:rsidR="00C27400" w:rsidRPr="008B3BAB">
        <w:rPr>
          <w:rFonts w:ascii="Garamond" w:hAnsi="Garamond" w:cs="Times New Roman"/>
          <w:color w:val="000000" w:themeColor="text1"/>
          <w:sz w:val="24"/>
          <w:szCs w:val="24"/>
        </w:rPr>
        <w:t xml:space="preserve">, </w:t>
      </w:r>
      <w:r w:rsidRPr="008B3BAB">
        <w:rPr>
          <w:rFonts w:ascii="Garamond" w:hAnsi="Garamond" w:cs="Times New Roman"/>
          <w:color w:val="000000" w:themeColor="text1"/>
          <w:sz w:val="24"/>
          <w:szCs w:val="24"/>
        </w:rPr>
        <w:t xml:space="preserve">investment in Indigenous and forest community land rights is </w:t>
      </w:r>
      <w:r w:rsidR="00C27400" w:rsidRPr="008B3BAB">
        <w:rPr>
          <w:rFonts w:ascii="Garamond" w:hAnsi="Garamond" w:cs="Times New Roman"/>
          <w:color w:val="000000" w:themeColor="text1"/>
          <w:sz w:val="24"/>
          <w:szCs w:val="24"/>
        </w:rPr>
        <w:t>an important strategy</w:t>
      </w:r>
      <w:r w:rsidRPr="008B3BAB">
        <w:rPr>
          <w:rFonts w:ascii="Garamond" w:hAnsi="Garamond" w:cs="Times New Roman"/>
          <w:color w:val="000000" w:themeColor="text1"/>
          <w:sz w:val="24"/>
          <w:szCs w:val="24"/>
        </w:rPr>
        <w:t xml:space="preserve"> for reducing deforestation.</w:t>
      </w:r>
    </w:p>
    <w:p w14:paraId="30432C80" w14:textId="77777777" w:rsidR="00787E70" w:rsidRPr="008B3BAB" w:rsidRDefault="00787E70" w:rsidP="00787E70">
      <w:pPr>
        <w:pStyle w:val="Title1"/>
        <w:jc w:val="left"/>
        <w:rPr>
          <w:rFonts w:ascii="Garamond" w:hAnsi="Garamond" w:cs="Times New Roman"/>
          <w:sz w:val="24"/>
          <w:szCs w:val="24"/>
        </w:rPr>
      </w:pPr>
    </w:p>
    <w:p w14:paraId="79AA5E6F" w14:textId="1578EE4C" w:rsidR="000547AE" w:rsidRPr="008B3BAB" w:rsidRDefault="00623D6E" w:rsidP="0070638D">
      <w:pPr>
        <w:pStyle w:val="Title1"/>
        <w:jc w:val="left"/>
        <w:rPr>
          <w:rFonts w:ascii="Garamond" w:hAnsi="Garamond" w:cs="Times New Roman"/>
          <w:sz w:val="24"/>
          <w:szCs w:val="24"/>
        </w:rPr>
      </w:pPr>
      <w:r w:rsidRPr="008B3BAB">
        <w:rPr>
          <w:rFonts w:ascii="Garamond" w:hAnsi="Garamond" w:cs="Times New Roman"/>
          <w:sz w:val="24"/>
          <w:szCs w:val="24"/>
        </w:rPr>
        <w:t xml:space="preserve">LOCAL AND </w:t>
      </w:r>
      <w:r w:rsidR="000547AE" w:rsidRPr="008B3BAB">
        <w:rPr>
          <w:rFonts w:ascii="Garamond" w:hAnsi="Garamond" w:cs="Times New Roman"/>
          <w:sz w:val="24"/>
          <w:szCs w:val="24"/>
        </w:rPr>
        <w:t xml:space="preserve">INDIGENOUS-LED FOREST MANAGEMENT </w:t>
      </w:r>
    </w:p>
    <w:p w14:paraId="7F3B28D2" w14:textId="13CC25A0" w:rsidR="00C64AC4" w:rsidRPr="008B3BAB" w:rsidRDefault="000547AE" w:rsidP="0070638D">
      <w:pPr>
        <w:pStyle w:val="NormalWeb"/>
        <w:spacing w:before="0" w:after="0"/>
        <w:rPr>
          <w:rFonts w:ascii="Garamond" w:hAnsi="Garamond"/>
        </w:rPr>
      </w:pPr>
      <w:r w:rsidRPr="008B3BAB">
        <w:rPr>
          <w:rFonts w:ascii="Garamond" w:hAnsi="Garamond"/>
        </w:rPr>
        <w:t xml:space="preserve">Indigenous peoples with a demonstrated history of sustainable forest management </w:t>
      </w:r>
      <w:r w:rsidR="003E6F95">
        <w:rPr>
          <w:rFonts w:ascii="Garamond" w:hAnsi="Garamond"/>
        </w:rPr>
        <w:t>can provide critical guidance for</w:t>
      </w:r>
      <w:r w:rsidRPr="008B3BAB">
        <w:rPr>
          <w:rFonts w:ascii="Garamond" w:hAnsi="Garamond"/>
        </w:rPr>
        <w:t xml:space="preserve"> buildi</w:t>
      </w:r>
      <w:r w:rsidR="003E6F95">
        <w:rPr>
          <w:rFonts w:ascii="Garamond" w:hAnsi="Garamond"/>
        </w:rPr>
        <w:t>ng an alternative approach to</w:t>
      </w:r>
      <w:r w:rsidRPr="008B3BAB">
        <w:rPr>
          <w:rFonts w:ascii="Garamond" w:hAnsi="Garamond"/>
        </w:rPr>
        <w:t xml:space="preserve"> climate change mitigation in forests based on traditional ecological knowledge. According to Rights and Resources Institute forests managed by Indigenous and local communities account for nearly </w:t>
      </w:r>
      <w:r w:rsidRPr="008B3BAB">
        <w:rPr>
          <w:rFonts w:ascii="Garamond" w:hAnsi="Garamond"/>
          <w:shd w:val="clear" w:color="auto" w:fill="FFFFFF"/>
        </w:rPr>
        <w:t>300 billion metric tons of carbon, equal to 33 times the global energy</w:t>
      </w:r>
      <w:r w:rsidRPr="008B3BAB">
        <w:rPr>
          <w:rFonts w:ascii="Garamond" w:eastAsia="Arial Unicode MS" w:hAnsi="Garamond"/>
          <w:shd w:val="clear" w:color="auto" w:fill="FFFFFF"/>
        </w:rPr>
        <w:t xml:space="preserve"> </w:t>
      </w:r>
      <w:r w:rsidRPr="008B3BAB">
        <w:rPr>
          <w:rFonts w:ascii="Garamond" w:eastAsia="Arial Unicode MS" w:hAnsi="Garamond"/>
        </w:rPr>
        <w:t>e</w:t>
      </w:r>
      <w:r w:rsidRPr="008B3BAB">
        <w:rPr>
          <w:rFonts w:ascii="Garamond" w:eastAsia="Arial Unicode MS" w:hAnsi="Garamond"/>
        </w:rPr>
        <w:t>missions</w:t>
      </w:r>
      <w:r w:rsidRPr="008B3BAB">
        <w:rPr>
          <w:rFonts w:ascii="Garamond" w:hAnsi="Garamond"/>
          <w:shd w:val="clear" w:color="auto" w:fill="FFFFFF"/>
        </w:rPr>
        <w:t xml:space="preserve"> for 2017. Therefore, one alternative promotes the development of </w:t>
      </w:r>
      <w:r w:rsidRPr="008B3BAB">
        <w:rPr>
          <w:rFonts w:ascii="Garamond" w:hAnsi="Garamond"/>
        </w:rPr>
        <w:t>Indigenous</w:t>
      </w:r>
      <w:r w:rsidR="000F1876" w:rsidRPr="008B3BAB">
        <w:rPr>
          <w:rFonts w:ascii="Garamond" w:hAnsi="Garamond"/>
        </w:rPr>
        <w:t xml:space="preserve"> and community</w:t>
      </w:r>
      <w:r w:rsidR="003E6F95">
        <w:rPr>
          <w:rFonts w:ascii="Garamond" w:hAnsi="Garamond"/>
        </w:rPr>
        <w:t xml:space="preserve"> led climate change mitigation strategies i</w:t>
      </w:r>
      <w:r w:rsidRPr="008B3BAB">
        <w:rPr>
          <w:rFonts w:ascii="Garamond" w:hAnsi="Garamond"/>
        </w:rPr>
        <w:t xml:space="preserve">n </w:t>
      </w:r>
      <w:r w:rsidR="00C27400" w:rsidRPr="008B3BAB">
        <w:rPr>
          <w:rFonts w:ascii="Garamond" w:hAnsi="Garamond"/>
        </w:rPr>
        <w:t>tropical fore</w:t>
      </w:r>
      <w:r w:rsidR="002B5573" w:rsidRPr="008B3BAB">
        <w:rPr>
          <w:rFonts w:ascii="Garamond" w:hAnsi="Garamond"/>
        </w:rPr>
        <w:t>s</w:t>
      </w:r>
      <w:r w:rsidR="00C27400" w:rsidRPr="008B3BAB">
        <w:rPr>
          <w:rFonts w:ascii="Garamond" w:hAnsi="Garamond"/>
        </w:rPr>
        <w:t>ts</w:t>
      </w:r>
      <w:r w:rsidRPr="008B3BAB">
        <w:rPr>
          <w:rFonts w:ascii="Garamond" w:hAnsi="Garamond"/>
        </w:rPr>
        <w:t xml:space="preserve">. </w:t>
      </w:r>
      <w:r w:rsidR="00344307" w:rsidRPr="008B3BAB">
        <w:rPr>
          <w:rFonts w:ascii="Garamond" w:hAnsi="Garamond"/>
        </w:rPr>
        <w:t xml:space="preserve">The Indigenous community of </w:t>
      </w:r>
      <w:r w:rsidRPr="008B3BAB">
        <w:rPr>
          <w:rFonts w:ascii="Garamond" w:hAnsi="Garamond"/>
        </w:rPr>
        <w:t>Sarayaku</w:t>
      </w:r>
      <w:r w:rsidR="00C27400" w:rsidRPr="008B3BAB">
        <w:rPr>
          <w:rFonts w:ascii="Garamond" w:hAnsi="Garamond"/>
        </w:rPr>
        <w:t xml:space="preserve"> in the Ecuadorian Amazon</w:t>
      </w:r>
      <w:r w:rsidR="00525511" w:rsidRPr="008B3BAB">
        <w:rPr>
          <w:rFonts w:ascii="Garamond" w:hAnsi="Garamond"/>
        </w:rPr>
        <w:t>, for example,</w:t>
      </w:r>
      <w:r w:rsidRPr="008B3BAB">
        <w:rPr>
          <w:rFonts w:ascii="Garamond" w:hAnsi="Garamond"/>
        </w:rPr>
        <w:t xml:space="preserve"> has proposed a powerful model</w:t>
      </w:r>
      <w:r w:rsidR="00344307" w:rsidRPr="008B3BAB">
        <w:rPr>
          <w:rFonts w:ascii="Garamond" w:hAnsi="Garamond"/>
        </w:rPr>
        <w:t xml:space="preserve"> called Kawsak Sacha or the Living Forest</w:t>
      </w:r>
      <w:r w:rsidR="00C27400" w:rsidRPr="008B3BAB">
        <w:rPr>
          <w:rFonts w:ascii="Garamond" w:hAnsi="Garamond"/>
        </w:rPr>
        <w:t>,</w:t>
      </w:r>
      <w:r w:rsidR="00525511" w:rsidRPr="008B3BAB">
        <w:rPr>
          <w:rFonts w:ascii="Garamond" w:hAnsi="Garamond"/>
        </w:rPr>
        <w:t xml:space="preserve"> which</w:t>
      </w:r>
      <w:r w:rsidR="00525511" w:rsidRPr="008B3BAB">
        <w:rPr>
          <w:rFonts w:ascii="Garamond" w:hAnsi="Garamond"/>
          <w:i/>
          <w:iCs/>
        </w:rPr>
        <w:t xml:space="preserve"> </w:t>
      </w:r>
      <w:r w:rsidR="00C64AC4" w:rsidRPr="008B3BAB">
        <w:rPr>
          <w:rFonts w:ascii="Garamond" w:hAnsi="Garamond"/>
        </w:rPr>
        <w:t xml:space="preserve">is a comprehensive proposal of the Kichwa people about living with the natural world in a sustainable and harmonious way. Kawsak Sacha </w:t>
      </w:r>
      <w:r w:rsidR="00525511" w:rsidRPr="008B3BAB">
        <w:rPr>
          <w:rFonts w:ascii="Garamond" w:hAnsi="Garamond"/>
        </w:rPr>
        <w:t xml:space="preserve">also </w:t>
      </w:r>
      <w:r w:rsidR="00C64AC4" w:rsidRPr="008B3BAB">
        <w:rPr>
          <w:rFonts w:ascii="Garamond" w:hAnsi="Garamond"/>
        </w:rPr>
        <w:t xml:space="preserve">has important benefits for climate change mitigation and exemplifies the types of </w:t>
      </w:r>
      <w:r w:rsidR="00577FD0">
        <w:rPr>
          <w:rFonts w:ascii="Garamond" w:hAnsi="Garamond"/>
        </w:rPr>
        <w:t>initiatives</w:t>
      </w:r>
      <w:r w:rsidR="00C64AC4" w:rsidRPr="008B3BAB">
        <w:rPr>
          <w:rFonts w:ascii="Garamond" w:hAnsi="Garamond"/>
        </w:rPr>
        <w:t xml:space="preserve"> that should be supported</w:t>
      </w:r>
      <w:r w:rsidR="00525511" w:rsidRPr="008B3BAB">
        <w:rPr>
          <w:rFonts w:ascii="Garamond" w:hAnsi="Garamond"/>
        </w:rPr>
        <w:t>, not through a carbon market or associated with offsets, but</w:t>
      </w:r>
      <w:r w:rsidR="00C64AC4" w:rsidRPr="008B3BAB">
        <w:rPr>
          <w:rFonts w:ascii="Garamond" w:hAnsi="Garamond"/>
        </w:rPr>
        <w:t xml:space="preserve"> through </w:t>
      </w:r>
      <w:r w:rsidR="00577FD0">
        <w:rPr>
          <w:rFonts w:ascii="Garamond" w:hAnsi="Garamond"/>
        </w:rPr>
        <w:t>other financial sources such as a</w:t>
      </w:r>
      <w:r w:rsidR="00C64AC4" w:rsidRPr="008B3BAB">
        <w:rPr>
          <w:rFonts w:ascii="Garamond" w:hAnsi="Garamond"/>
        </w:rPr>
        <w:t xml:space="preserve"> fund. </w:t>
      </w:r>
    </w:p>
    <w:p w14:paraId="506EA59A" w14:textId="77777777" w:rsidR="000547AE" w:rsidRPr="008B3BAB" w:rsidRDefault="000547AE" w:rsidP="0070638D">
      <w:pPr>
        <w:pStyle w:val="NormalWeb"/>
        <w:spacing w:before="0" w:after="0"/>
        <w:rPr>
          <w:rFonts w:ascii="Garamond" w:hAnsi="Garamond"/>
        </w:rPr>
      </w:pPr>
    </w:p>
    <w:p w14:paraId="44D1694B" w14:textId="6CB569DB" w:rsidR="006B2E50" w:rsidRPr="008B3BAB" w:rsidRDefault="006B2E50" w:rsidP="0070638D">
      <w:pPr>
        <w:pStyle w:val="Title1"/>
        <w:jc w:val="left"/>
        <w:rPr>
          <w:rFonts w:ascii="Garamond" w:hAnsi="Garamond" w:cs="Times New Roman"/>
          <w:sz w:val="24"/>
          <w:szCs w:val="24"/>
        </w:rPr>
      </w:pPr>
      <w:r w:rsidRPr="008B3BAB">
        <w:rPr>
          <w:rFonts w:ascii="Garamond" w:hAnsi="Garamond" w:cs="Times New Roman"/>
          <w:sz w:val="24"/>
          <w:szCs w:val="24"/>
        </w:rPr>
        <w:t>ZERO DEFORESTATION POLICY</w:t>
      </w:r>
    </w:p>
    <w:p w14:paraId="46A2BB9C" w14:textId="398534F1" w:rsidR="003F4F3F" w:rsidRPr="008B3BAB" w:rsidRDefault="008A46FD" w:rsidP="0070638D">
      <w:pPr>
        <w:rPr>
          <w:rFonts w:ascii="Garamond" w:eastAsia="Times New Roman" w:hAnsi="Garamond"/>
        </w:rPr>
      </w:pPr>
      <w:r w:rsidRPr="008B3BAB">
        <w:rPr>
          <w:rFonts w:ascii="Garamond" w:eastAsia="Times New Roman" w:hAnsi="Garamond"/>
          <w:color w:val="121212"/>
          <w:shd w:val="clear" w:color="auto" w:fill="FFFFFF"/>
        </w:rPr>
        <w:t>The UN’s</w:t>
      </w:r>
      <w:r w:rsidRPr="008B3BAB">
        <w:rPr>
          <w:rStyle w:val="apple-converted-space"/>
          <w:rFonts w:ascii="Garamond" w:eastAsia="Times New Roman" w:hAnsi="Garamond"/>
          <w:color w:val="121212"/>
          <w:shd w:val="clear" w:color="auto" w:fill="FFFFFF"/>
        </w:rPr>
        <w:t> </w:t>
      </w:r>
      <w:r w:rsidRPr="008B3BAB">
        <w:rPr>
          <w:rFonts w:ascii="Garamond" w:eastAsia="Times New Roman" w:hAnsi="Garamond"/>
        </w:rPr>
        <w:t>sustainable development goals</w:t>
      </w:r>
      <w:r w:rsidRPr="008B3BAB">
        <w:rPr>
          <w:rStyle w:val="apple-converted-space"/>
          <w:rFonts w:ascii="Garamond" w:eastAsia="Times New Roman" w:hAnsi="Garamond"/>
          <w:color w:val="121212"/>
          <w:shd w:val="clear" w:color="auto" w:fill="FFFFFF"/>
        </w:rPr>
        <w:t> </w:t>
      </w:r>
      <w:r w:rsidRPr="008B3BAB">
        <w:rPr>
          <w:rFonts w:ascii="Garamond" w:eastAsia="Times New Roman" w:hAnsi="Garamond"/>
          <w:color w:val="121212"/>
          <w:shd w:val="clear" w:color="auto" w:fill="FFFFFF"/>
        </w:rPr>
        <w:t>pledge to halt deforestation</w:t>
      </w:r>
      <w:r w:rsidR="00A570F9" w:rsidRPr="008B3BAB">
        <w:rPr>
          <w:rFonts w:ascii="Garamond" w:eastAsia="Times New Roman" w:hAnsi="Garamond"/>
          <w:color w:val="121212"/>
          <w:shd w:val="clear" w:color="auto" w:fill="FFFFFF"/>
        </w:rPr>
        <w:t xml:space="preserve"> and biodiversity loss</w:t>
      </w:r>
      <w:r w:rsidR="00527E00" w:rsidRPr="008B3BAB">
        <w:rPr>
          <w:rFonts w:ascii="Garamond" w:eastAsia="Times New Roman" w:hAnsi="Garamond"/>
          <w:color w:val="121212"/>
          <w:shd w:val="clear" w:color="auto" w:fill="FFFFFF"/>
        </w:rPr>
        <w:t>, protect and restore forests</w:t>
      </w:r>
      <w:r w:rsidR="00A570F9" w:rsidRPr="008B3BAB">
        <w:rPr>
          <w:rFonts w:ascii="Garamond" w:eastAsia="Times New Roman" w:hAnsi="Garamond"/>
          <w:color w:val="121212"/>
          <w:shd w:val="clear" w:color="auto" w:fill="FFFFFF"/>
        </w:rPr>
        <w:t>, and promote sustainable forest management</w:t>
      </w:r>
      <w:r w:rsidRPr="008B3BAB">
        <w:rPr>
          <w:rFonts w:ascii="Garamond" w:eastAsia="Times New Roman" w:hAnsi="Garamond"/>
          <w:color w:val="121212"/>
          <w:shd w:val="clear" w:color="auto" w:fill="FFFFFF"/>
        </w:rPr>
        <w:t xml:space="preserve"> by 2020</w:t>
      </w:r>
      <w:r w:rsidR="00A570F9" w:rsidRPr="008B3BAB">
        <w:rPr>
          <w:rStyle w:val="FootnoteReference"/>
          <w:rFonts w:ascii="Garamond" w:eastAsia="Times New Roman" w:hAnsi="Garamond"/>
          <w:color w:val="121212"/>
          <w:shd w:val="clear" w:color="auto" w:fill="FFFFFF"/>
        </w:rPr>
        <w:footnoteReference w:id="7"/>
      </w:r>
      <w:r w:rsidR="007F4D40" w:rsidRPr="008B3BAB">
        <w:rPr>
          <w:rFonts w:ascii="Garamond" w:eastAsia="Times New Roman" w:hAnsi="Garamond"/>
          <w:color w:val="121212"/>
          <w:shd w:val="clear" w:color="auto" w:fill="FFFFFF"/>
        </w:rPr>
        <w:t xml:space="preserve">. </w:t>
      </w:r>
      <w:r w:rsidR="00A570F9" w:rsidRPr="008B3BAB">
        <w:rPr>
          <w:rFonts w:ascii="Garamond" w:eastAsia="Times New Roman" w:hAnsi="Garamond"/>
          <w:color w:val="121212"/>
          <w:shd w:val="clear" w:color="auto" w:fill="FFFFFF"/>
        </w:rPr>
        <w:t>A growing number of c</w:t>
      </w:r>
      <w:r w:rsidR="007F4D40" w:rsidRPr="008B3BAB">
        <w:rPr>
          <w:rFonts w:ascii="Garamond" w:eastAsia="Times New Roman" w:hAnsi="Garamond"/>
          <w:color w:val="121212"/>
          <w:shd w:val="clear" w:color="auto" w:fill="FFFFFF"/>
        </w:rPr>
        <w:t>ompanies</w:t>
      </w:r>
      <w:r w:rsidR="00E560B5" w:rsidRPr="008B3BAB">
        <w:rPr>
          <w:rFonts w:ascii="Garamond" w:eastAsia="Times New Roman" w:hAnsi="Garamond"/>
          <w:color w:val="121212"/>
          <w:shd w:val="clear" w:color="auto" w:fill="FFFFFF"/>
        </w:rPr>
        <w:t xml:space="preserve"> (such as Unile</w:t>
      </w:r>
      <w:r w:rsidR="00A570F9" w:rsidRPr="008B3BAB">
        <w:rPr>
          <w:rFonts w:ascii="Garamond" w:eastAsia="Times New Roman" w:hAnsi="Garamond"/>
          <w:color w:val="121212"/>
          <w:shd w:val="clear" w:color="auto" w:fill="FFFFFF"/>
        </w:rPr>
        <w:t xml:space="preserve">ver and </w:t>
      </w:r>
      <w:r w:rsidR="00C04411" w:rsidRPr="008B3BAB">
        <w:rPr>
          <w:rFonts w:ascii="Garamond" w:eastAsia="Times New Roman" w:hAnsi="Garamond"/>
          <w:color w:val="121212"/>
          <w:shd w:val="clear" w:color="auto" w:fill="FFFFFF"/>
        </w:rPr>
        <w:t>Ikea</w:t>
      </w:r>
      <w:r w:rsidR="00A570F9" w:rsidRPr="008B3BAB">
        <w:rPr>
          <w:rFonts w:ascii="Garamond" w:eastAsia="Times New Roman" w:hAnsi="Garamond"/>
          <w:color w:val="121212"/>
          <w:shd w:val="clear" w:color="auto" w:fill="FFFFFF"/>
        </w:rPr>
        <w:t>), countries</w:t>
      </w:r>
      <w:r w:rsidR="007F4D40" w:rsidRPr="008B3BAB">
        <w:rPr>
          <w:rFonts w:ascii="Garamond" w:eastAsia="Times New Roman" w:hAnsi="Garamond"/>
          <w:color w:val="121212"/>
          <w:shd w:val="clear" w:color="auto" w:fill="FFFFFF"/>
        </w:rPr>
        <w:t xml:space="preserve"> </w:t>
      </w:r>
      <w:r w:rsidR="00A570F9" w:rsidRPr="008B3BAB">
        <w:rPr>
          <w:rFonts w:ascii="Garamond" w:eastAsia="Times New Roman" w:hAnsi="Garamond"/>
          <w:color w:val="121212"/>
          <w:shd w:val="clear" w:color="auto" w:fill="FFFFFF"/>
        </w:rPr>
        <w:t xml:space="preserve">(France and Norway) </w:t>
      </w:r>
      <w:r w:rsidR="007F4D40" w:rsidRPr="008B3BAB">
        <w:rPr>
          <w:rFonts w:ascii="Garamond" w:eastAsia="Times New Roman" w:hAnsi="Garamond"/>
          <w:color w:val="121212"/>
          <w:shd w:val="clear" w:color="auto" w:fill="FFFFFF"/>
        </w:rPr>
        <w:t xml:space="preserve">and </w:t>
      </w:r>
      <w:r w:rsidR="00577FD0">
        <w:rPr>
          <w:rFonts w:ascii="Garamond" w:eastAsia="Times New Roman" w:hAnsi="Garamond"/>
          <w:color w:val="121212"/>
          <w:shd w:val="clear" w:color="auto" w:fill="FFFFFF"/>
        </w:rPr>
        <w:t xml:space="preserve">several </w:t>
      </w:r>
      <w:r w:rsidR="007F4D40" w:rsidRPr="008B3BAB">
        <w:rPr>
          <w:rFonts w:ascii="Garamond" w:eastAsia="Times New Roman" w:hAnsi="Garamond"/>
          <w:color w:val="121212"/>
          <w:shd w:val="clear" w:color="auto" w:fill="FFFFFF"/>
        </w:rPr>
        <w:t xml:space="preserve">initiatives have made commitments to reduce deforestation. </w:t>
      </w:r>
      <w:r w:rsidR="00A570F9" w:rsidRPr="008B3BAB">
        <w:rPr>
          <w:rFonts w:ascii="Garamond" w:eastAsia="Times New Roman" w:hAnsi="Garamond"/>
          <w:color w:val="121212"/>
          <w:shd w:val="clear" w:color="auto" w:fill="FFFFFF"/>
        </w:rPr>
        <w:t>Key in</w:t>
      </w:r>
      <w:r w:rsidR="00E560B5" w:rsidRPr="008B3BAB">
        <w:rPr>
          <w:rFonts w:ascii="Garamond" w:eastAsia="Times New Roman" w:hAnsi="Garamond"/>
          <w:color w:val="121212"/>
          <w:shd w:val="clear" w:color="auto" w:fill="FFFFFF"/>
        </w:rPr>
        <w:t>itiatives</w:t>
      </w:r>
      <w:r w:rsidR="00BB481D" w:rsidRPr="008B3BAB">
        <w:rPr>
          <w:rFonts w:ascii="Garamond" w:eastAsia="Times New Roman" w:hAnsi="Garamond"/>
          <w:color w:val="121212"/>
          <w:shd w:val="clear" w:color="auto" w:fill="FFFFFF"/>
        </w:rPr>
        <w:t xml:space="preserve"> include the Consumer G</w:t>
      </w:r>
      <w:r w:rsidR="007F4D40" w:rsidRPr="008B3BAB">
        <w:rPr>
          <w:rFonts w:ascii="Garamond" w:eastAsia="Times New Roman" w:hAnsi="Garamond"/>
          <w:color w:val="121212"/>
          <w:shd w:val="clear" w:color="auto" w:fill="FFFFFF"/>
        </w:rPr>
        <w:t xml:space="preserve">oods Forum, a network of </w:t>
      </w:r>
      <w:r w:rsidR="00A570F9" w:rsidRPr="008B3BAB">
        <w:rPr>
          <w:rFonts w:ascii="Garamond" w:eastAsia="Times New Roman" w:hAnsi="Garamond"/>
          <w:color w:val="121212"/>
          <w:shd w:val="clear" w:color="auto" w:fill="FFFFFF"/>
        </w:rPr>
        <w:t xml:space="preserve">400 of the largest consumer goods </w:t>
      </w:r>
      <w:r w:rsidR="00FD32DE">
        <w:rPr>
          <w:rFonts w:ascii="Garamond" w:eastAsia="Times New Roman" w:hAnsi="Garamond"/>
          <w:color w:val="121212"/>
          <w:shd w:val="clear" w:color="auto" w:fill="FFFFFF"/>
        </w:rPr>
        <w:t xml:space="preserve">retailers that have committed to </w:t>
      </w:r>
      <w:r w:rsidR="007F4D40" w:rsidRPr="008B3BAB">
        <w:rPr>
          <w:rFonts w:ascii="Garamond" w:eastAsia="Times New Roman" w:hAnsi="Garamond"/>
          <w:color w:val="121212"/>
          <w:shd w:val="clear" w:color="auto" w:fill="FFFFFF"/>
        </w:rPr>
        <w:t xml:space="preserve">net zero deforestation by 2020. Emerging from the UN’s climate summit in 2014, the New York Declaration on Forests, is a voluntary and non-binding </w:t>
      </w:r>
      <w:r w:rsidR="003F4F3F" w:rsidRPr="008B3BAB">
        <w:rPr>
          <w:rFonts w:ascii="Garamond" w:eastAsia="Times New Roman" w:hAnsi="Garamond"/>
          <w:color w:val="121212"/>
          <w:shd w:val="clear" w:color="auto" w:fill="FFFFFF"/>
        </w:rPr>
        <w:t>initiative</w:t>
      </w:r>
      <w:r w:rsidR="007F4D40" w:rsidRPr="008B3BAB">
        <w:rPr>
          <w:rFonts w:ascii="Garamond" w:eastAsia="Times New Roman" w:hAnsi="Garamond"/>
          <w:color w:val="121212"/>
          <w:shd w:val="clear" w:color="auto" w:fill="FFFFFF"/>
        </w:rPr>
        <w:t xml:space="preserve"> to hal</w:t>
      </w:r>
      <w:r w:rsidR="00FD32DE">
        <w:rPr>
          <w:rFonts w:ascii="Garamond" w:eastAsia="Times New Roman" w:hAnsi="Garamond"/>
          <w:color w:val="121212"/>
          <w:shd w:val="clear" w:color="auto" w:fill="FFFFFF"/>
        </w:rPr>
        <w:t>ve</w:t>
      </w:r>
      <w:r w:rsidR="007F4D40" w:rsidRPr="008B3BAB">
        <w:rPr>
          <w:rFonts w:ascii="Garamond" w:eastAsia="Times New Roman" w:hAnsi="Garamond"/>
          <w:color w:val="121212"/>
          <w:shd w:val="clear" w:color="auto" w:fill="FFFFFF"/>
        </w:rPr>
        <w:t xml:space="preserve"> the deforestation </w:t>
      </w:r>
      <w:r w:rsidR="00E560B5" w:rsidRPr="008B3BAB">
        <w:rPr>
          <w:rFonts w:ascii="Garamond" w:eastAsia="Times New Roman" w:hAnsi="Garamond"/>
          <w:color w:val="121212"/>
          <w:shd w:val="clear" w:color="auto" w:fill="FFFFFF"/>
        </w:rPr>
        <w:t xml:space="preserve">rate </w:t>
      </w:r>
      <w:r w:rsidR="007F4D40" w:rsidRPr="008B3BAB">
        <w:rPr>
          <w:rFonts w:ascii="Garamond" w:eastAsia="Times New Roman" w:hAnsi="Garamond"/>
          <w:color w:val="121212"/>
          <w:shd w:val="clear" w:color="auto" w:fill="FFFFFF"/>
        </w:rPr>
        <w:t>by 2020 and end it by 2030.</w:t>
      </w:r>
      <w:r w:rsidR="00BB481D" w:rsidRPr="008B3BAB">
        <w:rPr>
          <w:rFonts w:ascii="Garamond" w:eastAsia="Times New Roman" w:hAnsi="Garamond"/>
          <w:color w:val="121212"/>
          <w:shd w:val="clear" w:color="auto" w:fill="FFFFFF"/>
        </w:rPr>
        <w:t xml:space="preserve"> </w:t>
      </w:r>
      <w:r w:rsidR="00FE30DB" w:rsidRPr="008B3BAB">
        <w:rPr>
          <w:rFonts w:ascii="Garamond" w:eastAsia="Times New Roman" w:hAnsi="Garamond"/>
          <w:color w:val="121212"/>
          <w:shd w:val="clear" w:color="auto" w:fill="FFFFFF"/>
        </w:rPr>
        <w:t>California might soon adopt such a policy as the state</w:t>
      </w:r>
      <w:r w:rsidR="00FE30DB" w:rsidRPr="008B3BAB">
        <w:rPr>
          <w:rFonts w:ascii="Garamond" w:eastAsia="Times New Roman" w:hAnsi="Garamond"/>
        </w:rPr>
        <w:t xml:space="preserve"> </w:t>
      </w:r>
      <w:r w:rsidR="00A570F9" w:rsidRPr="008B3BAB">
        <w:rPr>
          <w:rFonts w:ascii="Garamond" w:eastAsia="Times New Roman" w:hAnsi="Garamond"/>
          <w:color w:val="000000" w:themeColor="text1"/>
        </w:rPr>
        <w:t xml:space="preserve">is poised to institute </w:t>
      </w:r>
      <w:r w:rsidR="00E560B5" w:rsidRPr="008B3BAB">
        <w:rPr>
          <w:rFonts w:ascii="Garamond" w:eastAsia="Times New Roman" w:hAnsi="Garamond"/>
          <w:color w:val="000000" w:themeColor="text1"/>
        </w:rPr>
        <w:t xml:space="preserve">a </w:t>
      </w:r>
      <w:r w:rsidR="00E8215F" w:rsidRPr="008B3BAB">
        <w:rPr>
          <w:rFonts w:ascii="Garamond" w:eastAsia="Times New Roman" w:hAnsi="Garamond"/>
          <w:color w:val="000000" w:themeColor="text1"/>
        </w:rPr>
        <w:t>zero-deforestation</w:t>
      </w:r>
      <w:r w:rsidR="003F4F3F" w:rsidRPr="008B3BAB">
        <w:rPr>
          <w:rFonts w:ascii="Garamond" w:eastAsia="Times New Roman" w:hAnsi="Garamond"/>
          <w:color w:val="000000" w:themeColor="text1"/>
        </w:rPr>
        <w:t xml:space="preserve"> policy through</w:t>
      </w:r>
      <w:r w:rsidR="00E67D18" w:rsidRPr="008B3BAB">
        <w:rPr>
          <w:rFonts w:ascii="Garamond" w:eastAsia="Times New Roman" w:hAnsi="Garamond"/>
          <w:color w:val="000000" w:themeColor="text1"/>
        </w:rPr>
        <w:t xml:space="preserve"> </w:t>
      </w:r>
      <w:r w:rsidR="009F1B60">
        <w:rPr>
          <w:rFonts w:ascii="Garamond" w:eastAsia="Times New Roman" w:hAnsi="Garamond"/>
          <w:color w:val="000000" w:themeColor="text1"/>
        </w:rPr>
        <w:t xml:space="preserve">the </w:t>
      </w:r>
      <w:r w:rsidR="00E67D18" w:rsidRPr="008B3BAB">
        <w:rPr>
          <w:rFonts w:ascii="Garamond" w:eastAsia="Times New Roman" w:hAnsi="Garamond"/>
          <w:color w:val="000000" w:themeColor="text1"/>
        </w:rPr>
        <w:t>California Deforestation-Free Procurement Act</w:t>
      </w:r>
      <w:r w:rsidR="005F768D" w:rsidRPr="008B3BAB">
        <w:rPr>
          <w:rFonts w:ascii="Garamond" w:eastAsia="Times New Roman" w:hAnsi="Garamond"/>
          <w:color w:val="000000" w:themeColor="text1"/>
        </w:rPr>
        <w:t xml:space="preserve"> (AB 572)</w:t>
      </w:r>
      <w:r w:rsidR="00FE30DB" w:rsidRPr="008B3BAB">
        <w:rPr>
          <w:rFonts w:ascii="Garamond" w:eastAsia="Times New Roman" w:hAnsi="Garamond"/>
          <w:color w:val="000000" w:themeColor="text1"/>
        </w:rPr>
        <w:t xml:space="preserve">. This legislation </w:t>
      </w:r>
      <w:r w:rsidR="00A570F9" w:rsidRPr="008B3BAB">
        <w:rPr>
          <w:rFonts w:ascii="Garamond" w:eastAsia="Times New Roman" w:hAnsi="Garamond"/>
          <w:color w:val="000000" w:themeColor="text1"/>
        </w:rPr>
        <w:t xml:space="preserve">would ensure that any company selling forest commodities </w:t>
      </w:r>
      <w:r w:rsidR="003F4F3F" w:rsidRPr="008B3BAB">
        <w:rPr>
          <w:rFonts w:ascii="Garamond" w:eastAsia="Times New Roman" w:hAnsi="Garamond"/>
          <w:color w:val="000000" w:themeColor="text1"/>
        </w:rPr>
        <w:t>(</w:t>
      </w:r>
      <w:r w:rsidR="00E560B5" w:rsidRPr="008B3BAB">
        <w:rPr>
          <w:rFonts w:ascii="Garamond" w:hAnsi="Garamond"/>
          <w:color w:val="000000" w:themeColor="text1"/>
        </w:rPr>
        <w:t>wood: paper</w:t>
      </w:r>
      <w:r w:rsidR="00CA030A">
        <w:rPr>
          <w:rFonts w:ascii="Garamond" w:hAnsi="Garamond"/>
          <w:color w:val="000000" w:themeColor="text1"/>
        </w:rPr>
        <w:t xml:space="preserve"> and pulp, palm oil, soy, beef, coffee, cocoa,</w:t>
      </w:r>
      <w:r w:rsidR="003F4F3F" w:rsidRPr="008B3BAB">
        <w:rPr>
          <w:rFonts w:ascii="Garamond" w:hAnsi="Garamond"/>
          <w:color w:val="000000" w:themeColor="text1"/>
        </w:rPr>
        <w:t xml:space="preserve"> and rubber) </w:t>
      </w:r>
      <w:r w:rsidR="00A570F9" w:rsidRPr="008B3BAB">
        <w:rPr>
          <w:rFonts w:ascii="Garamond" w:eastAsia="Times New Roman" w:hAnsi="Garamond"/>
          <w:color w:val="000000" w:themeColor="text1"/>
        </w:rPr>
        <w:t xml:space="preserve">to the state </w:t>
      </w:r>
      <w:r w:rsidR="003F4F3F" w:rsidRPr="008B3BAB">
        <w:rPr>
          <w:rFonts w:ascii="Garamond" w:eastAsia="Times New Roman" w:hAnsi="Garamond"/>
          <w:color w:val="000000" w:themeColor="text1"/>
        </w:rPr>
        <w:t xml:space="preserve">have a credible and robust </w:t>
      </w:r>
      <w:r w:rsidR="003F4F3F" w:rsidRPr="008B3BAB">
        <w:rPr>
          <w:rFonts w:ascii="Garamond" w:eastAsia="Times New Roman" w:hAnsi="Garamond"/>
          <w:i/>
          <w:color w:val="000000" w:themeColor="text1"/>
        </w:rPr>
        <w:t>No Deforestation No Exploitation No Peat</w:t>
      </w:r>
      <w:r w:rsidR="003F4F3F" w:rsidRPr="008B3BAB">
        <w:rPr>
          <w:rFonts w:ascii="Garamond" w:eastAsia="Times New Roman" w:hAnsi="Garamond"/>
          <w:color w:val="000000" w:themeColor="text1"/>
        </w:rPr>
        <w:t xml:space="preserve"> policy and can provide evidence through regular monitoring and reporting.</w:t>
      </w:r>
      <w:r w:rsidR="00FE30DB" w:rsidRPr="008B3BAB">
        <w:rPr>
          <w:rFonts w:ascii="Garamond" w:eastAsia="Times New Roman" w:hAnsi="Garamond"/>
          <w:color w:val="000000" w:themeColor="text1"/>
        </w:rPr>
        <w:t xml:space="preserve"> This is a step in the right direction.</w:t>
      </w:r>
    </w:p>
    <w:p w14:paraId="760859A4" w14:textId="77777777" w:rsidR="00445DA3" w:rsidRPr="008B3BAB" w:rsidRDefault="00445DA3" w:rsidP="0070638D">
      <w:pPr>
        <w:rPr>
          <w:rFonts w:ascii="Garamond" w:eastAsia="Times New Roman" w:hAnsi="Garamond"/>
        </w:rPr>
      </w:pPr>
    </w:p>
    <w:p w14:paraId="728EFD39" w14:textId="77C332A0" w:rsidR="00C64AC4" w:rsidRPr="008B3BAB" w:rsidRDefault="007F7C84" w:rsidP="0070638D">
      <w:pPr>
        <w:pStyle w:val="Title1"/>
        <w:jc w:val="left"/>
        <w:rPr>
          <w:rFonts w:ascii="Garamond" w:hAnsi="Garamond" w:cs="Times New Roman"/>
          <w:sz w:val="24"/>
          <w:szCs w:val="24"/>
        </w:rPr>
      </w:pPr>
      <w:r w:rsidRPr="008B3BAB">
        <w:rPr>
          <w:rFonts w:ascii="Garamond" w:hAnsi="Garamond" w:cs="Times New Roman"/>
          <w:sz w:val="24"/>
          <w:szCs w:val="24"/>
        </w:rPr>
        <w:t xml:space="preserve">BAN </w:t>
      </w:r>
      <w:r w:rsidR="00DA3CB1" w:rsidRPr="008B3BAB">
        <w:rPr>
          <w:rFonts w:ascii="Garamond" w:hAnsi="Garamond" w:cs="Times New Roman"/>
          <w:sz w:val="24"/>
          <w:szCs w:val="24"/>
        </w:rPr>
        <w:t>A</w:t>
      </w:r>
      <w:r w:rsidR="003F4F3F" w:rsidRPr="008B3BAB">
        <w:rPr>
          <w:rFonts w:ascii="Garamond" w:hAnsi="Garamond" w:cs="Times New Roman"/>
          <w:sz w:val="24"/>
          <w:szCs w:val="24"/>
        </w:rPr>
        <w:t>M</w:t>
      </w:r>
      <w:r w:rsidR="00DA3CB1" w:rsidRPr="008B3BAB">
        <w:rPr>
          <w:rFonts w:ascii="Garamond" w:hAnsi="Garamond" w:cs="Times New Roman"/>
          <w:sz w:val="24"/>
          <w:szCs w:val="24"/>
        </w:rPr>
        <w:t>AZON CRUDE</w:t>
      </w:r>
    </w:p>
    <w:p w14:paraId="17E4000D" w14:textId="2B89989C" w:rsidR="0070638D" w:rsidRPr="008B3BAB" w:rsidRDefault="00704EAD" w:rsidP="00DC7EAE">
      <w:pPr>
        <w:shd w:val="clear" w:color="auto" w:fill="FFFFFF"/>
        <w:rPr>
          <w:rFonts w:ascii="Garamond" w:hAnsi="Garamond"/>
          <w:color w:val="313132"/>
        </w:rPr>
      </w:pPr>
      <w:r w:rsidRPr="008B3BAB">
        <w:rPr>
          <w:rFonts w:ascii="Garamond" w:hAnsi="Garamond"/>
          <w:color w:val="000000" w:themeColor="text1"/>
        </w:rPr>
        <w:t>California’s energy supply is deeply tied to the Amazon. The vast majority of Amazon crude is currently imported by the US and of the 23 US refineries that use Amazon crude 74% are located in California</w:t>
      </w:r>
      <w:r w:rsidR="00DC7EAE" w:rsidRPr="008B3BAB">
        <w:rPr>
          <w:rStyle w:val="FootnoteReference"/>
          <w:rFonts w:ascii="Garamond" w:hAnsi="Garamond"/>
          <w:color w:val="000000" w:themeColor="text1"/>
        </w:rPr>
        <w:footnoteReference w:id="8"/>
      </w:r>
      <w:r w:rsidRPr="008B3BAB">
        <w:rPr>
          <w:rFonts w:ascii="Garamond" w:hAnsi="Garamond"/>
          <w:color w:val="000000" w:themeColor="text1"/>
        </w:rPr>
        <w:t xml:space="preserve">. </w:t>
      </w:r>
      <w:r w:rsidR="00A16CB4" w:rsidRPr="008B3BAB">
        <w:rPr>
          <w:rFonts w:ascii="Garamond" w:hAnsi="Garamond"/>
          <w:color w:val="000000" w:themeColor="text1"/>
        </w:rPr>
        <w:t xml:space="preserve"> According to a report by Amazon Watch “</w:t>
      </w:r>
      <w:r w:rsidR="00A16CB4" w:rsidRPr="008B3BAB">
        <w:rPr>
          <w:rFonts w:ascii="Garamond" w:hAnsi="Garamond"/>
        </w:rPr>
        <w:t xml:space="preserve">California’s refineries are the worst offenders, processing an average of 170,978 barrels (almost 7.2 million gallons) of Amazon </w:t>
      </w:r>
      <w:r w:rsidR="009F1B60">
        <w:rPr>
          <w:rFonts w:ascii="Garamond" w:hAnsi="Garamond"/>
        </w:rPr>
        <w:t>c</w:t>
      </w:r>
      <w:r w:rsidR="00A16CB4" w:rsidRPr="008B3BAB">
        <w:rPr>
          <w:rFonts w:ascii="Garamond" w:hAnsi="Garamond"/>
        </w:rPr>
        <w:t>rude every day, accounting for roughly 60 percent of total global exports of Amazon crude from Ecuador, Peru, and Colombia, and 74 percent of all the Amazon crude exports that enter th</w:t>
      </w:r>
      <w:r w:rsidR="00DC7EAE" w:rsidRPr="008B3BAB">
        <w:rPr>
          <w:rFonts w:ascii="Garamond" w:hAnsi="Garamond"/>
        </w:rPr>
        <w:t>e United States.</w:t>
      </w:r>
      <w:r w:rsidR="00DC7EAE" w:rsidRPr="008B3BAB">
        <w:rPr>
          <w:rStyle w:val="FootnoteReference"/>
          <w:rFonts w:ascii="Garamond" w:hAnsi="Garamond"/>
        </w:rPr>
        <w:footnoteReference w:id="9"/>
      </w:r>
      <w:r w:rsidR="00DC7EAE" w:rsidRPr="008B3BAB">
        <w:rPr>
          <w:rFonts w:ascii="Garamond" w:hAnsi="Garamond"/>
        </w:rPr>
        <w:t>”</w:t>
      </w:r>
      <w:r w:rsidR="00A16CB4" w:rsidRPr="008B3BAB">
        <w:rPr>
          <w:rFonts w:ascii="Garamond" w:hAnsi="Garamond"/>
        </w:rPr>
        <w:t xml:space="preserve"> </w:t>
      </w:r>
      <w:r w:rsidRPr="008B3BAB">
        <w:rPr>
          <w:rFonts w:ascii="Garamond" w:hAnsi="Garamond"/>
          <w:color w:val="000000" w:themeColor="text1"/>
        </w:rPr>
        <w:t xml:space="preserve">The irony of the TFS </w:t>
      </w:r>
      <w:r w:rsidR="00D70D9F" w:rsidRPr="008B3BAB">
        <w:rPr>
          <w:rFonts w:ascii="Garamond" w:hAnsi="Garamond"/>
          <w:color w:val="000000" w:themeColor="text1"/>
        </w:rPr>
        <w:t xml:space="preserve">is that it could benefit the same oil companies refining Amazon crude. According to </w:t>
      </w:r>
      <w:r w:rsidR="00D70D9F" w:rsidRPr="008B3BAB">
        <w:rPr>
          <w:rFonts w:ascii="Garamond" w:hAnsi="Garamond"/>
          <w:color w:val="313132"/>
        </w:rPr>
        <w:t>Zoe Cina-Sklar of Amazon Watch</w:t>
      </w:r>
      <w:r w:rsidR="00D70D9F" w:rsidRPr="008B3BAB">
        <w:rPr>
          <w:rFonts w:ascii="Garamond" w:hAnsi="Garamond"/>
          <w:color w:val="000000" w:themeColor="text1"/>
        </w:rPr>
        <w:t xml:space="preserve">, </w:t>
      </w:r>
      <w:r w:rsidR="00D70D9F" w:rsidRPr="008B3BAB">
        <w:rPr>
          <w:rFonts w:ascii="Garamond" w:hAnsi="Garamond"/>
          <w:color w:val="313132"/>
        </w:rPr>
        <w:t>“TFS could allow oil refiners, which are purchasing oil from Ecuador to turn around and buy offset credits from the same regions in Ecuador that have been devastated by oil drilling”.</w:t>
      </w:r>
      <w:r w:rsidR="009C7921" w:rsidRPr="008B3BAB">
        <w:rPr>
          <w:rFonts w:ascii="Garamond" w:hAnsi="Garamond"/>
          <w:color w:val="313132"/>
        </w:rPr>
        <w:t xml:space="preserve"> Instead California should ban all imports from the Amazon which would not only help keep fossil fuels underground in the Amazon it would also help reduce </w:t>
      </w:r>
      <w:r w:rsidR="00DC7EAE" w:rsidRPr="008B3BAB">
        <w:rPr>
          <w:rFonts w:ascii="Garamond" w:hAnsi="Garamond"/>
          <w:color w:val="313132"/>
        </w:rPr>
        <w:t>the risk of deforestation from other forest risk commodities</w:t>
      </w:r>
      <w:r w:rsidR="009C7921" w:rsidRPr="008B3BAB">
        <w:rPr>
          <w:rFonts w:ascii="Garamond" w:hAnsi="Garamond"/>
          <w:color w:val="313132"/>
        </w:rPr>
        <w:t>.</w:t>
      </w:r>
      <w:r w:rsidR="00DC7EAE" w:rsidRPr="008B3BAB">
        <w:rPr>
          <w:rFonts w:ascii="Garamond" w:hAnsi="Garamond"/>
          <w:color w:val="313132"/>
        </w:rPr>
        <w:t xml:space="preserve"> </w:t>
      </w:r>
      <w:r w:rsidR="009C7921" w:rsidRPr="008B3BAB">
        <w:rPr>
          <w:rFonts w:ascii="Garamond" w:hAnsi="Garamond"/>
          <w:color w:val="313132"/>
        </w:rPr>
        <w:t xml:space="preserve">Fossil fuel exploitation begins with the construction roads, which </w:t>
      </w:r>
      <w:r w:rsidR="00DC7EAE" w:rsidRPr="008B3BAB">
        <w:rPr>
          <w:rFonts w:ascii="Garamond" w:hAnsi="Garamond"/>
          <w:color w:val="313132"/>
        </w:rPr>
        <w:t xml:space="preserve">notoriously </w:t>
      </w:r>
      <w:r w:rsidR="009C7921" w:rsidRPr="008B3BAB">
        <w:rPr>
          <w:rFonts w:ascii="Garamond" w:hAnsi="Garamond"/>
          <w:color w:val="313132"/>
        </w:rPr>
        <w:t>open up forests to further deforestation. Therefore, keeping fossil fuels underground in the Amazon through a ba</w:t>
      </w:r>
      <w:r w:rsidR="00344307" w:rsidRPr="008B3BAB">
        <w:rPr>
          <w:rFonts w:ascii="Garamond" w:hAnsi="Garamond"/>
          <w:color w:val="313132"/>
        </w:rPr>
        <w:t xml:space="preserve">n on Amazon crude imports could </w:t>
      </w:r>
      <w:r w:rsidR="009F1B60">
        <w:rPr>
          <w:rFonts w:ascii="Garamond" w:hAnsi="Garamond"/>
          <w:color w:val="313132"/>
        </w:rPr>
        <w:t>help keep</w:t>
      </w:r>
      <w:r w:rsidR="00DC7EAE" w:rsidRPr="008B3BAB">
        <w:rPr>
          <w:rFonts w:ascii="Garamond" w:hAnsi="Garamond"/>
          <w:color w:val="313132"/>
        </w:rPr>
        <w:t xml:space="preserve"> forests intact</w:t>
      </w:r>
      <w:r w:rsidR="009C7921" w:rsidRPr="008B3BAB">
        <w:rPr>
          <w:rFonts w:ascii="Garamond" w:hAnsi="Garamond"/>
          <w:color w:val="313132"/>
        </w:rPr>
        <w:t xml:space="preserve">.  </w:t>
      </w:r>
    </w:p>
    <w:p w14:paraId="53C635BC" w14:textId="77777777" w:rsidR="00445DA3" w:rsidRPr="008B3BAB" w:rsidRDefault="00445DA3" w:rsidP="0070638D">
      <w:pPr>
        <w:textAlignment w:val="baseline"/>
        <w:rPr>
          <w:rFonts w:ascii="Garamond" w:hAnsi="Garamond"/>
          <w:color w:val="313132"/>
        </w:rPr>
      </w:pPr>
    </w:p>
    <w:p w14:paraId="785982D3" w14:textId="6ED0F2DA" w:rsidR="00867E5E" w:rsidRPr="008B3BAB" w:rsidRDefault="009470DE" w:rsidP="0070638D">
      <w:pPr>
        <w:pStyle w:val="Title1"/>
        <w:jc w:val="left"/>
        <w:rPr>
          <w:rFonts w:ascii="Garamond" w:hAnsi="Garamond" w:cs="Times New Roman"/>
          <w:sz w:val="24"/>
          <w:szCs w:val="24"/>
        </w:rPr>
      </w:pPr>
      <w:r w:rsidRPr="008B3BAB">
        <w:rPr>
          <w:rFonts w:ascii="Garamond" w:hAnsi="Garamond" w:cs="Times New Roman"/>
          <w:sz w:val="24"/>
          <w:szCs w:val="24"/>
        </w:rPr>
        <w:t>DIVEST</w:t>
      </w:r>
      <w:r w:rsidR="003915E9">
        <w:rPr>
          <w:rFonts w:ascii="Garamond" w:hAnsi="Garamond" w:cs="Times New Roman"/>
          <w:sz w:val="24"/>
          <w:szCs w:val="24"/>
        </w:rPr>
        <w:t>MENT</w:t>
      </w:r>
      <w:r w:rsidRPr="008B3BAB">
        <w:rPr>
          <w:rFonts w:ascii="Garamond" w:hAnsi="Garamond" w:cs="Times New Roman"/>
          <w:sz w:val="24"/>
          <w:szCs w:val="24"/>
        </w:rPr>
        <w:t xml:space="preserve"> AND </w:t>
      </w:r>
      <w:r w:rsidR="00463609" w:rsidRPr="008B3BAB">
        <w:rPr>
          <w:rFonts w:ascii="Garamond" w:hAnsi="Garamond" w:cs="Times New Roman"/>
          <w:sz w:val="24"/>
          <w:szCs w:val="24"/>
        </w:rPr>
        <w:t xml:space="preserve">DEFORESTATION-FREE </w:t>
      </w:r>
      <w:r w:rsidRPr="008B3BAB">
        <w:rPr>
          <w:rFonts w:ascii="Garamond" w:hAnsi="Garamond" w:cs="Times New Roman"/>
          <w:sz w:val="24"/>
          <w:szCs w:val="24"/>
        </w:rPr>
        <w:t>INVEST</w:t>
      </w:r>
      <w:r w:rsidR="003915E9">
        <w:rPr>
          <w:rFonts w:ascii="Garamond" w:hAnsi="Garamond" w:cs="Times New Roman"/>
          <w:sz w:val="24"/>
          <w:szCs w:val="24"/>
        </w:rPr>
        <w:t>MENT</w:t>
      </w:r>
    </w:p>
    <w:p w14:paraId="0BB19664" w14:textId="0DF3D5AC" w:rsidR="009805A8" w:rsidRPr="008B3BAB" w:rsidRDefault="009470DE" w:rsidP="0070638D">
      <w:pPr>
        <w:rPr>
          <w:rFonts w:ascii="Garamond" w:hAnsi="Garamond"/>
          <w:color w:val="000000" w:themeColor="text1"/>
        </w:rPr>
      </w:pPr>
      <w:r w:rsidRPr="008B3BAB">
        <w:rPr>
          <w:rFonts w:ascii="Garamond" w:hAnsi="Garamond"/>
          <w:color w:val="000000" w:themeColor="text1"/>
        </w:rPr>
        <w:t xml:space="preserve">Another alternative strategy is </w:t>
      </w:r>
      <w:r w:rsidR="00DC7EAE" w:rsidRPr="008B3BAB">
        <w:rPr>
          <w:rFonts w:ascii="Garamond" w:hAnsi="Garamond"/>
          <w:color w:val="000000" w:themeColor="text1"/>
        </w:rPr>
        <w:t>divestment</w:t>
      </w:r>
      <w:r w:rsidRPr="008B3BAB">
        <w:rPr>
          <w:rFonts w:ascii="Garamond" w:hAnsi="Garamond"/>
          <w:color w:val="000000" w:themeColor="text1"/>
        </w:rPr>
        <w:t xml:space="preserve"> from companies associated with tropical deforestation and invest</w:t>
      </w:r>
      <w:r w:rsidR="00DC7EAE" w:rsidRPr="008B3BAB">
        <w:rPr>
          <w:rFonts w:ascii="Garamond" w:hAnsi="Garamond"/>
          <w:color w:val="000000" w:themeColor="text1"/>
        </w:rPr>
        <w:t>ment</w:t>
      </w:r>
      <w:r w:rsidRPr="008B3BAB">
        <w:rPr>
          <w:rFonts w:ascii="Garamond" w:hAnsi="Garamond"/>
          <w:color w:val="000000" w:themeColor="text1"/>
        </w:rPr>
        <w:t xml:space="preserve"> in sustainable </w:t>
      </w:r>
      <w:r w:rsidR="00463609" w:rsidRPr="008B3BAB">
        <w:rPr>
          <w:rFonts w:ascii="Garamond" w:hAnsi="Garamond"/>
          <w:color w:val="000000" w:themeColor="text1"/>
        </w:rPr>
        <w:t>alternative</w:t>
      </w:r>
      <w:r w:rsidRPr="008B3BAB">
        <w:rPr>
          <w:rFonts w:ascii="Garamond" w:hAnsi="Garamond"/>
          <w:color w:val="000000" w:themeColor="text1"/>
        </w:rPr>
        <w:t xml:space="preserve">s. </w:t>
      </w:r>
      <w:r w:rsidR="00CC358A" w:rsidRPr="008B3BAB">
        <w:rPr>
          <w:rFonts w:ascii="Garamond" w:hAnsi="Garamond"/>
          <w:color w:val="000000" w:themeColor="text1"/>
        </w:rPr>
        <w:t xml:space="preserve">There has been a growing call for financial institutions such as </w:t>
      </w:r>
      <w:r w:rsidR="00CC358A" w:rsidRPr="008B3BAB">
        <w:rPr>
          <w:rFonts w:ascii="Garamond" w:eastAsia="Times New Roman" w:hAnsi="Garamond"/>
          <w:color w:val="333333"/>
          <w:shd w:val="clear" w:color="auto" w:fill="FFFFFF"/>
        </w:rPr>
        <w:t>banks and investors (including asset managers, pension funds and insurance companies)</w:t>
      </w:r>
      <w:r w:rsidR="00CC358A" w:rsidRPr="008B3BAB">
        <w:rPr>
          <w:rStyle w:val="apple-converted-space"/>
          <w:rFonts w:ascii="Garamond" w:eastAsia="Times New Roman" w:hAnsi="Garamond"/>
          <w:color w:val="333333"/>
          <w:shd w:val="clear" w:color="auto" w:fill="FFFFFF"/>
        </w:rPr>
        <w:t> to address deforestation in tropical forests.</w:t>
      </w:r>
      <w:r w:rsidR="00CC358A" w:rsidRPr="008B3BAB">
        <w:rPr>
          <w:rFonts w:ascii="Garamond" w:hAnsi="Garamond"/>
          <w:color w:val="000000" w:themeColor="text1"/>
        </w:rPr>
        <w:t xml:space="preserve"> </w:t>
      </w:r>
      <w:r w:rsidR="00463609" w:rsidRPr="008B3BAB">
        <w:rPr>
          <w:rFonts w:ascii="Garamond" w:hAnsi="Garamond"/>
          <w:color w:val="000000" w:themeColor="text1"/>
        </w:rPr>
        <w:t xml:space="preserve">Palm oil is the most rapidly growing driver of deforestation and has been the commodity targeted by countries and investment firms for divestment. </w:t>
      </w:r>
      <w:r w:rsidR="00280947" w:rsidRPr="008B3BAB">
        <w:rPr>
          <w:rFonts w:ascii="Garamond" w:hAnsi="Garamond"/>
          <w:color w:val="000000" w:themeColor="text1"/>
        </w:rPr>
        <w:t>Since 2012,</w:t>
      </w:r>
      <w:r w:rsidRPr="008B3BAB">
        <w:rPr>
          <w:rFonts w:ascii="Garamond" w:hAnsi="Garamond"/>
          <w:color w:val="000000" w:themeColor="text1"/>
        </w:rPr>
        <w:t xml:space="preserve"> Norway’s </w:t>
      </w:r>
      <w:r w:rsidR="00E8215F" w:rsidRPr="008B3BAB">
        <w:rPr>
          <w:rFonts w:ascii="Garamond" w:hAnsi="Garamond"/>
          <w:color w:val="000000" w:themeColor="text1"/>
        </w:rPr>
        <w:t>sovereign</w:t>
      </w:r>
      <w:r w:rsidRPr="008B3BAB">
        <w:rPr>
          <w:rFonts w:ascii="Garamond" w:hAnsi="Garamond"/>
          <w:color w:val="000000" w:themeColor="text1"/>
        </w:rPr>
        <w:t xml:space="preserve"> wealth fund</w:t>
      </w:r>
      <w:r w:rsidR="00A67930" w:rsidRPr="008B3BAB">
        <w:rPr>
          <w:rFonts w:ascii="Garamond" w:hAnsi="Garamond"/>
          <w:color w:val="000000" w:themeColor="text1"/>
        </w:rPr>
        <w:t>, Government Pension Fund Global, with appro</w:t>
      </w:r>
      <w:r w:rsidR="00CC358A" w:rsidRPr="008B3BAB">
        <w:rPr>
          <w:rFonts w:ascii="Garamond" w:hAnsi="Garamond"/>
          <w:color w:val="000000" w:themeColor="text1"/>
        </w:rPr>
        <w:t>ximately $1 trillion in assets,</w:t>
      </w:r>
      <w:r w:rsidRPr="008B3BAB">
        <w:rPr>
          <w:rFonts w:ascii="Garamond" w:hAnsi="Garamond"/>
          <w:color w:val="000000" w:themeColor="text1"/>
        </w:rPr>
        <w:t xml:space="preserve"> </w:t>
      </w:r>
      <w:r w:rsidR="00280947" w:rsidRPr="008B3BAB">
        <w:rPr>
          <w:rFonts w:ascii="Garamond" w:hAnsi="Garamond"/>
          <w:color w:val="000000" w:themeColor="text1"/>
        </w:rPr>
        <w:t xml:space="preserve">has </w:t>
      </w:r>
      <w:r w:rsidRPr="008B3BAB">
        <w:rPr>
          <w:rFonts w:ascii="Garamond" w:hAnsi="Garamond"/>
          <w:color w:val="000000" w:themeColor="text1"/>
        </w:rPr>
        <w:t xml:space="preserve">divested from </w:t>
      </w:r>
      <w:r w:rsidR="00280947" w:rsidRPr="008B3BAB">
        <w:rPr>
          <w:rFonts w:ascii="Garamond" w:hAnsi="Garamond"/>
          <w:color w:val="000000" w:themeColor="text1"/>
        </w:rPr>
        <w:t>more than 60 c</w:t>
      </w:r>
      <w:r w:rsidRPr="008B3BAB">
        <w:rPr>
          <w:rFonts w:ascii="Garamond" w:hAnsi="Garamond"/>
          <w:color w:val="000000" w:themeColor="text1"/>
        </w:rPr>
        <w:t xml:space="preserve">ompanies </w:t>
      </w:r>
      <w:r w:rsidR="00280947" w:rsidRPr="008B3BAB">
        <w:rPr>
          <w:rFonts w:ascii="Garamond" w:hAnsi="Garamond"/>
          <w:color w:val="000000" w:themeColor="text1"/>
        </w:rPr>
        <w:t xml:space="preserve">associated with deforestation, 33 of which </w:t>
      </w:r>
      <w:r w:rsidRPr="008B3BAB">
        <w:rPr>
          <w:rFonts w:ascii="Garamond" w:hAnsi="Garamond"/>
          <w:color w:val="000000" w:themeColor="text1"/>
        </w:rPr>
        <w:t>produc</w:t>
      </w:r>
      <w:r w:rsidR="00280947" w:rsidRPr="008B3BAB">
        <w:rPr>
          <w:rFonts w:ascii="Garamond" w:hAnsi="Garamond"/>
          <w:color w:val="000000" w:themeColor="text1"/>
        </w:rPr>
        <w:t>e</w:t>
      </w:r>
      <w:r w:rsidRPr="008B3BAB">
        <w:rPr>
          <w:rFonts w:ascii="Garamond" w:hAnsi="Garamond"/>
          <w:color w:val="000000" w:themeColor="text1"/>
        </w:rPr>
        <w:t xml:space="preserve"> palm oil unsustainably</w:t>
      </w:r>
      <w:r w:rsidRPr="008B3BAB">
        <w:rPr>
          <w:rStyle w:val="FootnoteReference"/>
          <w:rFonts w:ascii="Garamond" w:hAnsi="Garamond"/>
          <w:color w:val="000000" w:themeColor="text1"/>
        </w:rPr>
        <w:footnoteReference w:id="10"/>
      </w:r>
      <w:r w:rsidR="00280947" w:rsidRPr="008B3BAB">
        <w:rPr>
          <w:rFonts w:ascii="Garamond" w:hAnsi="Garamond"/>
          <w:color w:val="000000" w:themeColor="text1"/>
        </w:rPr>
        <w:t>.</w:t>
      </w:r>
      <w:r w:rsidR="00280947" w:rsidRPr="008B3BAB">
        <w:rPr>
          <w:rFonts w:ascii="Garamond" w:eastAsia="Times New Roman" w:hAnsi="Garamond"/>
          <w:color w:val="292B2C"/>
          <w:shd w:val="clear" w:color="auto" w:fill="FFFFFF"/>
        </w:rPr>
        <w:t xml:space="preserve"> </w:t>
      </w:r>
      <w:r w:rsidR="00756C6C" w:rsidRPr="008B3BAB">
        <w:rPr>
          <w:rFonts w:ascii="Garamond" w:eastAsia="Times New Roman" w:hAnsi="Garamond"/>
          <w:color w:val="292B2C"/>
          <w:shd w:val="clear" w:color="auto" w:fill="FFFFFF"/>
        </w:rPr>
        <w:t xml:space="preserve">These companies are involved in the production of forest risk commodities particularly palm oil </w:t>
      </w:r>
      <w:r w:rsidR="0062324F" w:rsidRPr="008B3BAB">
        <w:rPr>
          <w:rFonts w:ascii="Garamond" w:eastAsia="Times New Roman" w:hAnsi="Garamond"/>
          <w:color w:val="292B2C"/>
          <w:shd w:val="clear" w:color="auto" w:fill="FFFFFF"/>
        </w:rPr>
        <w:t xml:space="preserve">in </w:t>
      </w:r>
      <w:r w:rsidR="00756C6C" w:rsidRPr="008B3BAB">
        <w:rPr>
          <w:rFonts w:ascii="Garamond" w:eastAsia="Times New Roman" w:hAnsi="Garamond"/>
          <w:color w:val="292B2C"/>
          <w:shd w:val="clear" w:color="auto" w:fill="FFFFFF"/>
        </w:rPr>
        <w:t xml:space="preserve">the tropical forests of </w:t>
      </w:r>
      <w:r w:rsidR="00756C6C" w:rsidRPr="008B3BAB">
        <w:rPr>
          <w:rStyle w:val="Emphasis"/>
          <w:rFonts w:ascii="Garamond" w:eastAsia="Times New Roman" w:hAnsi="Garamond"/>
          <w:i w:val="0"/>
          <w:color w:val="292B2C"/>
        </w:rPr>
        <w:t>Southeast Asia, West Africa, and Oceania</w:t>
      </w:r>
      <w:r w:rsidR="00756C6C" w:rsidRPr="008B3BAB">
        <w:rPr>
          <w:rStyle w:val="Emphasis"/>
          <w:rFonts w:ascii="Garamond" w:eastAsia="Times New Roman" w:hAnsi="Garamond"/>
          <w:color w:val="292B2C"/>
        </w:rPr>
        <w:t>.</w:t>
      </w:r>
      <w:r w:rsidR="009805A8" w:rsidRPr="008B3BAB">
        <w:rPr>
          <w:rFonts w:ascii="Garamond" w:hAnsi="Garamond"/>
          <w:color w:val="000000" w:themeColor="text1"/>
        </w:rPr>
        <w:t xml:space="preserve"> In 2016, </w:t>
      </w:r>
      <w:r w:rsidR="009805A8" w:rsidRPr="008B3BAB">
        <w:rPr>
          <w:rFonts w:ascii="Garamond" w:eastAsia="Times New Roman" w:hAnsi="Garamond"/>
          <w:color w:val="000000"/>
          <w:shd w:val="clear" w:color="auto" w:fill="FFFFFF"/>
        </w:rPr>
        <w:t>Dimensional Fund Advisors, a major US investment firm with $445 billion of assets, divested two of its sustainability portfolios of all palm oil plantation companies.</w:t>
      </w:r>
    </w:p>
    <w:bookmarkEnd w:id="0"/>
    <w:p w14:paraId="672B787E" w14:textId="77777777" w:rsidR="002B5573" w:rsidRPr="008B3BAB" w:rsidRDefault="002B5573" w:rsidP="005E2EF9">
      <w:pPr>
        <w:pStyle w:val="Normal1"/>
        <w:tabs>
          <w:tab w:val="left" w:pos="4950"/>
        </w:tabs>
        <w:rPr>
          <w:rFonts w:ascii="Garamond" w:hAnsi="Garamond" w:cs="Times New Roman"/>
        </w:rPr>
      </w:pPr>
    </w:p>
    <w:p w14:paraId="17997384" w14:textId="2E6DB666" w:rsidR="00525511" w:rsidRPr="008B3BAB" w:rsidRDefault="002B5573" w:rsidP="005E2EF9">
      <w:pPr>
        <w:pStyle w:val="Normal1"/>
        <w:tabs>
          <w:tab w:val="left" w:pos="4950"/>
        </w:tabs>
        <w:rPr>
          <w:rFonts w:ascii="Garamond" w:hAnsi="Garamond" w:cs="Times New Roman"/>
        </w:rPr>
      </w:pPr>
      <w:r w:rsidRPr="008B3BAB">
        <w:rPr>
          <w:rFonts w:ascii="Garamond" w:hAnsi="Garamond" w:cs="Times New Roman"/>
        </w:rPr>
        <w:t xml:space="preserve">In this public comment, </w:t>
      </w:r>
      <w:r w:rsidR="00525511" w:rsidRPr="008B3BAB">
        <w:rPr>
          <w:rFonts w:ascii="Garamond" w:hAnsi="Garamond" w:cs="Times New Roman"/>
        </w:rPr>
        <w:t>I have highlighted a few</w:t>
      </w:r>
      <w:r w:rsidRPr="008B3BAB">
        <w:rPr>
          <w:rFonts w:ascii="Garamond" w:hAnsi="Garamond" w:cs="Times New Roman"/>
        </w:rPr>
        <w:t xml:space="preserve"> alternatives to the TFS that </w:t>
      </w:r>
      <w:r w:rsidR="00516C56" w:rsidRPr="008B3BAB">
        <w:rPr>
          <w:rFonts w:ascii="Garamond" w:hAnsi="Garamond" w:cs="Times New Roman"/>
        </w:rPr>
        <w:t>are</w:t>
      </w:r>
      <w:r w:rsidRPr="008B3BAB">
        <w:rPr>
          <w:rFonts w:ascii="Garamond" w:hAnsi="Garamond" w:cs="Times New Roman"/>
        </w:rPr>
        <w:t xml:space="preserve"> </w:t>
      </w:r>
      <w:r w:rsidR="00525511" w:rsidRPr="008B3BAB">
        <w:rPr>
          <w:rFonts w:ascii="Garamond" w:hAnsi="Garamond" w:cs="Times New Roman"/>
        </w:rPr>
        <w:t>recommend</w:t>
      </w:r>
      <w:r w:rsidR="00516C56" w:rsidRPr="008B3BAB">
        <w:rPr>
          <w:rFonts w:ascii="Garamond" w:hAnsi="Garamond" w:cs="Times New Roman"/>
        </w:rPr>
        <w:t>ed</w:t>
      </w:r>
      <w:r w:rsidR="00525511" w:rsidRPr="008B3BAB">
        <w:rPr>
          <w:rFonts w:ascii="Garamond" w:hAnsi="Garamond" w:cs="Times New Roman"/>
        </w:rPr>
        <w:t xml:space="preserve"> </w:t>
      </w:r>
      <w:r w:rsidR="00516C56" w:rsidRPr="008B3BAB">
        <w:rPr>
          <w:rFonts w:ascii="Garamond" w:hAnsi="Garamond" w:cs="Times New Roman"/>
        </w:rPr>
        <w:t xml:space="preserve">for </w:t>
      </w:r>
      <w:r w:rsidR="00525511" w:rsidRPr="008B3BAB">
        <w:rPr>
          <w:rFonts w:ascii="Garamond" w:hAnsi="Garamond" w:cs="Times New Roman"/>
        </w:rPr>
        <w:t>CARB</w:t>
      </w:r>
      <w:r w:rsidR="00516C56" w:rsidRPr="008B3BAB">
        <w:rPr>
          <w:rFonts w:ascii="Garamond" w:hAnsi="Garamond" w:cs="Times New Roman"/>
        </w:rPr>
        <w:t>’s consideration</w:t>
      </w:r>
      <w:r w:rsidR="00525511" w:rsidRPr="008B3BAB">
        <w:rPr>
          <w:rFonts w:ascii="Garamond" w:hAnsi="Garamond" w:cs="Times New Roman"/>
        </w:rPr>
        <w:t xml:space="preserve">. California </w:t>
      </w:r>
      <w:r w:rsidR="00565F85" w:rsidRPr="008B3BAB">
        <w:rPr>
          <w:rFonts w:ascii="Garamond" w:hAnsi="Garamond" w:cs="Times New Roman"/>
        </w:rPr>
        <w:t>is internationally recognized</w:t>
      </w:r>
      <w:r w:rsidRPr="008B3BAB">
        <w:rPr>
          <w:rFonts w:ascii="Garamond" w:hAnsi="Garamond" w:cs="Times New Roman"/>
        </w:rPr>
        <w:t xml:space="preserve"> as a</w:t>
      </w:r>
      <w:r w:rsidR="00565F85" w:rsidRPr="008B3BAB">
        <w:rPr>
          <w:rFonts w:ascii="Garamond" w:hAnsi="Garamond" w:cs="Times New Roman"/>
        </w:rPr>
        <w:t>n innovative and bold</w:t>
      </w:r>
      <w:r w:rsidRPr="008B3BAB">
        <w:rPr>
          <w:rFonts w:ascii="Garamond" w:hAnsi="Garamond" w:cs="Times New Roman"/>
        </w:rPr>
        <w:t xml:space="preserve"> </w:t>
      </w:r>
      <w:r w:rsidR="00516C56" w:rsidRPr="008B3BAB">
        <w:rPr>
          <w:rFonts w:ascii="Garamond" w:hAnsi="Garamond" w:cs="Times New Roman"/>
        </w:rPr>
        <w:t xml:space="preserve">climate </w:t>
      </w:r>
      <w:r w:rsidRPr="008B3BAB">
        <w:rPr>
          <w:rFonts w:ascii="Garamond" w:hAnsi="Garamond" w:cs="Times New Roman"/>
        </w:rPr>
        <w:t>leader</w:t>
      </w:r>
      <w:r w:rsidR="00565F85" w:rsidRPr="008B3BAB">
        <w:rPr>
          <w:rFonts w:ascii="Garamond" w:hAnsi="Garamond" w:cs="Times New Roman"/>
        </w:rPr>
        <w:t xml:space="preserve">, however the TFS, which is rife with flaws, is not aligned with </w:t>
      </w:r>
      <w:r w:rsidR="008B3BAB" w:rsidRPr="008B3BAB">
        <w:rPr>
          <w:rFonts w:ascii="Garamond" w:hAnsi="Garamond" w:cs="Times New Roman"/>
        </w:rPr>
        <w:t>this vision</w:t>
      </w:r>
      <w:r w:rsidR="00565F85" w:rsidRPr="008B3BAB">
        <w:rPr>
          <w:rFonts w:ascii="Garamond" w:hAnsi="Garamond" w:cs="Times New Roman"/>
        </w:rPr>
        <w:t xml:space="preserve">. </w:t>
      </w:r>
      <w:r w:rsidRPr="008B3BAB">
        <w:rPr>
          <w:rFonts w:ascii="Garamond" w:hAnsi="Garamond" w:cs="Times New Roman"/>
        </w:rPr>
        <w:t>California</w:t>
      </w:r>
      <w:r w:rsidR="00525511" w:rsidRPr="008B3BAB">
        <w:rPr>
          <w:rFonts w:ascii="Garamond" w:hAnsi="Garamond" w:cs="Times New Roman"/>
        </w:rPr>
        <w:t xml:space="preserve"> has the opportunity to </w:t>
      </w:r>
      <w:r w:rsidRPr="008B3BAB">
        <w:rPr>
          <w:rFonts w:ascii="Garamond" w:hAnsi="Garamond" w:cs="Times New Roman"/>
        </w:rPr>
        <w:t xml:space="preserve">demonstrate </w:t>
      </w:r>
      <w:r w:rsidR="00525511" w:rsidRPr="008B3BAB">
        <w:rPr>
          <w:rFonts w:ascii="Garamond" w:hAnsi="Garamond" w:cs="Times New Roman"/>
        </w:rPr>
        <w:t xml:space="preserve">true leadership by </w:t>
      </w:r>
      <w:r w:rsidRPr="008B3BAB">
        <w:rPr>
          <w:rFonts w:ascii="Garamond" w:hAnsi="Garamond" w:cs="Times New Roman"/>
        </w:rPr>
        <w:t xml:space="preserve">piloting alternatives </w:t>
      </w:r>
      <w:r w:rsidR="00525511" w:rsidRPr="008B3BAB">
        <w:rPr>
          <w:rFonts w:ascii="Garamond" w:hAnsi="Garamond" w:cs="Times New Roman"/>
        </w:rPr>
        <w:t xml:space="preserve">to carbon offsets that are more </w:t>
      </w:r>
      <w:r w:rsidRPr="008B3BAB">
        <w:rPr>
          <w:rFonts w:ascii="Garamond" w:hAnsi="Garamond" w:cs="Times New Roman"/>
        </w:rPr>
        <w:t xml:space="preserve">effective, </w:t>
      </w:r>
      <w:r w:rsidR="00565F85" w:rsidRPr="008B3BAB">
        <w:rPr>
          <w:rFonts w:ascii="Garamond" w:hAnsi="Garamond" w:cs="Times New Roman"/>
        </w:rPr>
        <w:t xml:space="preserve">sustainable </w:t>
      </w:r>
      <w:r w:rsidRPr="008B3BAB">
        <w:rPr>
          <w:rFonts w:ascii="Garamond" w:hAnsi="Garamond" w:cs="Times New Roman"/>
        </w:rPr>
        <w:t>and just</w:t>
      </w:r>
      <w:r w:rsidR="00525511" w:rsidRPr="008B3BAB">
        <w:rPr>
          <w:rFonts w:ascii="Garamond" w:hAnsi="Garamond" w:cs="Times New Roman"/>
        </w:rPr>
        <w:t>.</w:t>
      </w:r>
      <w:r w:rsidR="00565F85" w:rsidRPr="008B3BAB">
        <w:rPr>
          <w:rFonts w:ascii="Garamond" w:hAnsi="Garamond" w:cs="Times New Roman"/>
        </w:rPr>
        <w:t xml:space="preserve"> </w:t>
      </w:r>
      <w:r w:rsidR="00E664F0">
        <w:rPr>
          <w:rFonts w:ascii="Garamond" w:hAnsi="Garamond" w:cs="Times New Roman"/>
        </w:rPr>
        <w:t>If</w:t>
      </w:r>
      <w:r w:rsidR="001D308A">
        <w:rPr>
          <w:rFonts w:ascii="Garamond" w:hAnsi="Garamond" w:cs="Times New Roman"/>
        </w:rPr>
        <w:t xml:space="preserve"> </w:t>
      </w:r>
      <w:r w:rsidR="00471396">
        <w:rPr>
          <w:rFonts w:ascii="Garamond" w:hAnsi="Garamond" w:cs="Times New Roman"/>
        </w:rPr>
        <w:t>CARB members and/or</w:t>
      </w:r>
      <w:r w:rsidR="001053F5">
        <w:rPr>
          <w:rFonts w:ascii="Garamond" w:hAnsi="Garamond" w:cs="Times New Roman"/>
        </w:rPr>
        <w:t xml:space="preserve"> staff </w:t>
      </w:r>
      <w:r w:rsidR="001D308A">
        <w:rPr>
          <w:rFonts w:ascii="Garamond" w:hAnsi="Garamond" w:cs="Times New Roman"/>
        </w:rPr>
        <w:t>have</w:t>
      </w:r>
      <w:r w:rsidR="001053F5">
        <w:rPr>
          <w:rFonts w:ascii="Garamond" w:hAnsi="Garamond" w:cs="Times New Roman"/>
        </w:rPr>
        <w:t xml:space="preserve"> interest in further </w:t>
      </w:r>
      <w:r w:rsidR="00471396">
        <w:rPr>
          <w:rFonts w:ascii="Garamond" w:hAnsi="Garamond" w:cs="Times New Roman"/>
        </w:rPr>
        <w:t>exploring</w:t>
      </w:r>
      <w:r w:rsidR="001053F5">
        <w:rPr>
          <w:rFonts w:ascii="Garamond" w:hAnsi="Garamond" w:cs="Times New Roman"/>
        </w:rPr>
        <w:t xml:space="preserve"> the alt</w:t>
      </w:r>
      <w:r w:rsidR="001D308A">
        <w:rPr>
          <w:rFonts w:ascii="Garamond" w:hAnsi="Garamond" w:cs="Times New Roman"/>
        </w:rPr>
        <w:t xml:space="preserve">ernatives </w:t>
      </w:r>
      <w:r w:rsidR="00E664F0">
        <w:rPr>
          <w:rFonts w:ascii="Garamond" w:hAnsi="Garamond" w:cs="Times New Roman"/>
        </w:rPr>
        <w:t>outlined in this stat</w:t>
      </w:r>
      <w:r w:rsidR="006D05F8">
        <w:rPr>
          <w:rFonts w:ascii="Garamond" w:hAnsi="Garamond" w:cs="Times New Roman"/>
        </w:rPr>
        <w:t>ement</w:t>
      </w:r>
      <w:r w:rsidR="00F35878">
        <w:rPr>
          <w:rFonts w:ascii="Garamond" w:hAnsi="Garamond" w:cs="Times New Roman"/>
        </w:rPr>
        <w:t xml:space="preserve"> and have any questions</w:t>
      </w:r>
      <w:r w:rsidR="006D05F8">
        <w:rPr>
          <w:rFonts w:ascii="Garamond" w:hAnsi="Garamond" w:cs="Times New Roman"/>
        </w:rPr>
        <w:t>, I stand ready to support.</w:t>
      </w:r>
    </w:p>
    <w:p w14:paraId="04BA5D0A" w14:textId="77777777" w:rsidR="008B3BAB" w:rsidRPr="008B3BAB" w:rsidRDefault="008B3BAB" w:rsidP="005E2EF9">
      <w:pPr>
        <w:pStyle w:val="Normal1"/>
        <w:tabs>
          <w:tab w:val="left" w:pos="4950"/>
        </w:tabs>
        <w:rPr>
          <w:rFonts w:ascii="Garamond" w:hAnsi="Garamond" w:cs="Times New Roman"/>
        </w:rPr>
      </w:pPr>
    </w:p>
    <w:p w14:paraId="3946782B" w14:textId="77777777" w:rsidR="008B3BAB" w:rsidRPr="008B3BAB" w:rsidRDefault="008B3BAB" w:rsidP="008B3BAB">
      <w:pPr>
        <w:spacing w:before="100" w:beforeAutospacing="1" w:after="100" w:afterAutospacing="1"/>
        <w:rPr>
          <w:rFonts w:ascii="Garamond" w:eastAsia="Times New Roman" w:hAnsi="Garamond"/>
          <w:color w:val="000000"/>
        </w:rPr>
      </w:pPr>
      <w:r w:rsidRPr="008B3BAB">
        <w:rPr>
          <w:rFonts w:ascii="Garamond" w:eastAsia="Times New Roman" w:hAnsi="Garamond"/>
          <w:color w:val="000000"/>
        </w:rPr>
        <w:t xml:space="preserve">Most sincerely, </w:t>
      </w:r>
    </w:p>
    <w:p w14:paraId="5C57A0FF" w14:textId="77777777" w:rsidR="00F35878" w:rsidRDefault="00F35878" w:rsidP="000372BB">
      <w:pPr>
        <w:rPr>
          <w:rFonts w:ascii="Garamond" w:eastAsia="Times New Roman" w:hAnsi="Garamond"/>
        </w:rPr>
      </w:pPr>
      <w:r>
        <w:rPr>
          <w:rFonts w:ascii="Garamond" w:eastAsia="Times New Roman" w:hAnsi="Garamond"/>
        </w:rPr>
        <w:t>Tracey Osborne</w:t>
      </w:r>
    </w:p>
    <w:p w14:paraId="136EA181" w14:textId="1636832B" w:rsidR="00F35878" w:rsidRDefault="00F35878" w:rsidP="000372BB">
      <w:pPr>
        <w:rPr>
          <w:rFonts w:ascii="Garamond" w:eastAsia="Times New Roman" w:hAnsi="Garamond"/>
        </w:rPr>
      </w:pPr>
      <w:r>
        <w:rPr>
          <w:rFonts w:ascii="Garamond" w:eastAsia="Times New Roman" w:hAnsi="Garamond"/>
        </w:rPr>
        <w:t>Associate Professor</w:t>
      </w:r>
    </w:p>
    <w:p w14:paraId="7879B86A" w14:textId="7C4DB668" w:rsidR="00F35878" w:rsidRDefault="00F35878" w:rsidP="000372BB">
      <w:pPr>
        <w:rPr>
          <w:rFonts w:ascii="Garamond" w:eastAsia="Times New Roman" w:hAnsi="Garamond"/>
        </w:rPr>
      </w:pPr>
      <w:r>
        <w:rPr>
          <w:rFonts w:ascii="Garamond" w:eastAsia="Times New Roman" w:hAnsi="Garamond"/>
        </w:rPr>
        <w:t>School of Geography and Development</w:t>
      </w:r>
    </w:p>
    <w:p w14:paraId="70A4C606" w14:textId="4C5BB914" w:rsidR="00F35878" w:rsidRDefault="00F35878" w:rsidP="000372BB">
      <w:pPr>
        <w:rPr>
          <w:rFonts w:ascii="Garamond" w:eastAsia="Times New Roman" w:hAnsi="Garamond"/>
        </w:rPr>
      </w:pPr>
      <w:r>
        <w:rPr>
          <w:rFonts w:ascii="Garamond" w:eastAsia="Times New Roman" w:hAnsi="Garamond"/>
        </w:rPr>
        <w:t>University of Arizona</w:t>
      </w:r>
    </w:p>
    <w:p w14:paraId="69F85C7E" w14:textId="38037A5B" w:rsidR="0066798C" w:rsidRPr="000372BB" w:rsidRDefault="008B3BAB" w:rsidP="000372BB">
      <w:pPr>
        <w:rPr>
          <w:rFonts w:ascii="Garamond" w:eastAsia="Times New Roman" w:hAnsi="Garamond"/>
        </w:rPr>
      </w:pPr>
      <w:hyperlink r:id="rId7" w:history="1">
        <w:r w:rsidR="00F35878">
          <w:rPr>
            <w:rStyle w:val="Hyperlink"/>
            <w:rFonts w:ascii="Garamond" w:eastAsia="Times New Roman" w:hAnsi="Garamond"/>
          </w:rPr>
          <w:t>tosborne@email.arizona.edu</w:t>
        </w:r>
      </w:hyperlink>
    </w:p>
    <w:sectPr w:rsidR="0066798C" w:rsidRPr="000372BB" w:rsidSect="002070B7">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C8CC84" w14:textId="77777777" w:rsidR="000B7C42" w:rsidRDefault="000B7C42" w:rsidP="00FF4504">
      <w:r>
        <w:separator/>
      </w:r>
    </w:p>
  </w:endnote>
  <w:endnote w:type="continuationSeparator" w:id="0">
    <w:p w14:paraId="56D69EEA" w14:textId="77777777" w:rsidR="000B7C42" w:rsidRDefault="000B7C42" w:rsidP="00FF45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idot">
    <w:panose1 w:val="02000503000000020003"/>
    <w:charset w:val="00"/>
    <w:family w:val="modern"/>
    <w:pitch w:val="variable"/>
    <w:sig w:usb0="80000067" w:usb1="00000000" w:usb2="00000000" w:usb3="00000000" w:csb0="000001FB"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Helvetica">
    <w:panose1 w:val="00000000000000000000"/>
    <w:charset w:val="00"/>
    <w:family w:val="swiss"/>
    <w:pitch w:val="variable"/>
    <w:sig w:usb0="E00002FF" w:usb1="5000785B"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630E9F" w14:textId="77777777" w:rsidR="00E8215F" w:rsidRDefault="00E8215F" w:rsidP="00B6186B">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3CE1E09" w14:textId="77777777" w:rsidR="00E8215F" w:rsidRDefault="00E8215F">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12BCC4" w14:textId="77777777" w:rsidR="00E8215F" w:rsidRDefault="00E8215F" w:rsidP="00B6186B">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B7C42">
      <w:rPr>
        <w:rStyle w:val="PageNumber"/>
        <w:noProof/>
      </w:rPr>
      <w:t>1</w:t>
    </w:r>
    <w:r>
      <w:rPr>
        <w:rStyle w:val="PageNumber"/>
      </w:rPr>
      <w:fldChar w:fldCharType="end"/>
    </w:r>
  </w:p>
  <w:p w14:paraId="638F072A" w14:textId="77777777" w:rsidR="00E8215F" w:rsidRDefault="00E8215F">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894909" w14:textId="77777777" w:rsidR="000B7C42" w:rsidRDefault="000B7C42" w:rsidP="00FF4504">
      <w:r>
        <w:separator/>
      </w:r>
    </w:p>
  </w:footnote>
  <w:footnote w:type="continuationSeparator" w:id="0">
    <w:p w14:paraId="2D99F7E4" w14:textId="77777777" w:rsidR="000B7C42" w:rsidRDefault="000B7C42" w:rsidP="00FF4504">
      <w:r>
        <w:continuationSeparator/>
      </w:r>
    </w:p>
  </w:footnote>
  <w:footnote w:id="1">
    <w:p w14:paraId="6AD91B37" w14:textId="2AB1E2F9" w:rsidR="00923511" w:rsidRPr="00A678DE" w:rsidRDefault="00923511" w:rsidP="00923511">
      <w:pPr>
        <w:rPr>
          <w:rFonts w:eastAsia="Times New Roman"/>
          <w:sz w:val="20"/>
          <w:szCs w:val="20"/>
        </w:rPr>
      </w:pPr>
      <w:r w:rsidRPr="00A678DE">
        <w:rPr>
          <w:rStyle w:val="FootnoteReference"/>
          <w:sz w:val="20"/>
          <w:szCs w:val="20"/>
        </w:rPr>
        <w:footnoteRef/>
      </w:r>
      <w:r w:rsidRPr="00A678DE">
        <w:rPr>
          <w:sz w:val="20"/>
          <w:szCs w:val="20"/>
        </w:rPr>
        <w:t xml:space="preserve"> </w:t>
      </w:r>
      <w:r w:rsidRPr="00A678DE">
        <w:rPr>
          <w:rFonts w:eastAsia="Times New Roman"/>
          <w:color w:val="222222"/>
          <w:sz w:val="20"/>
          <w:szCs w:val="20"/>
          <w:shd w:val="clear" w:color="auto" w:fill="FFFFFF"/>
        </w:rPr>
        <w:t>Stern, N. and Stern, N.H., 2007.</w:t>
      </w:r>
      <w:r w:rsidRPr="00A678DE">
        <w:rPr>
          <w:rStyle w:val="apple-converted-space"/>
          <w:rFonts w:eastAsia="Times New Roman"/>
          <w:color w:val="222222"/>
          <w:sz w:val="20"/>
          <w:szCs w:val="20"/>
          <w:shd w:val="clear" w:color="auto" w:fill="FFFFFF"/>
        </w:rPr>
        <w:t> </w:t>
      </w:r>
      <w:r w:rsidRPr="00A678DE">
        <w:rPr>
          <w:rFonts w:eastAsia="Times New Roman"/>
          <w:i/>
          <w:iCs/>
          <w:color w:val="222222"/>
          <w:sz w:val="20"/>
          <w:szCs w:val="20"/>
        </w:rPr>
        <w:t xml:space="preserve">The economics of climate change: </w:t>
      </w:r>
      <w:r w:rsidR="0095794C" w:rsidRPr="00A678DE">
        <w:rPr>
          <w:rFonts w:eastAsia="Times New Roman"/>
          <w:i/>
          <w:iCs/>
          <w:color w:val="222222"/>
          <w:sz w:val="20"/>
          <w:szCs w:val="20"/>
        </w:rPr>
        <w:t>The</w:t>
      </w:r>
      <w:r w:rsidRPr="00A678DE">
        <w:rPr>
          <w:rFonts w:eastAsia="Times New Roman"/>
          <w:i/>
          <w:iCs/>
          <w:color w:val="222222"/>
          <w:sz w:val="20"/>
          <w:szCs w:val="20"/>
        </w:rPr>
        <w:t xml:space="preserve"> Stern review</w:t>
      </w:r>
      <w:r w:rsidR="00A678DE" w:rsidRPr="00A678DE">
        <w:rPr>
          <w:rFonts w:eastAsia="Times New Roman"/>
          <w:color w:val="222222"/>
          <w:sz w:val="20"/>
          <w:szCs w:val="20"/>
          <w:shd w:val="clear" w:color="auto" w:fill="FFFFFF"/>
        </w:rPr>
        <w:t>. C</w:t>
      </w:r>
      <w:r w:rsidRPr="00A678DE">
        <w:rPr>
          <w:rFonts w:eastAsia="Times New Roman"/>
          <w:color w:val="222222"/>
          <w:sz w:val="20"/>
          <w:szCs w:val="20"/>
          <w:shd w:val="clear" w:color="auto" w:fill="FFFFFF"/>
        </w:rPr>
        <w:t>ambridge University press.</w:t>
      </w:r>
    </w:p>
  </w:footnote>
  <w:footnote w:id="2">
    <w:p w14:paraId="1EA599C1" w14:textId="6EABB190" w:rsidR="009C2B71" w:rsidRPr="00A678DE" w:rsidRDefault="009C2B71" w:rsidP="00C27400">
      <w:pPr>
        <w:contextualSpacing/>
        <w:rPr>
          <w:rFonts w:eastAsia="Times New Roman"/>
          <w:sz w:val="20"/>
          <w:szCs w:val="20"/>
        </w:rPr>
      </w:pPr>
      <w:r w:rsidRPr="00A678DE">
        <w:rPr>
          <w:rStyle w:val="FootnoteReference"/>
          <w:sz w:val="20"/>
          <w:szCs w:val="20"/>
        </w:rPr>
        <w:footnoteRef/>
      </w:r>
      <w:r w:rsidRPr="00A678DE">
        <w:rPr>
          <w:sz w:val="20"/>
          <w:szCs w:val="20"/>
        </w:rPr>
        <w:t xml:space="preserve"> </w:t>
      </w:r>
      <w:r w:rsidRPr="00A678DE">
        <w:rPr>
          <w:rFonts w:eastAsia="Times New Roman"/>
          <w:color w:val="222222"/>
          <w:sz w:val="20"/>
          <w:szCs w:val="20"/>
          <w:shd w:val="clear" w:color="auto" w:fill="FFFFFF"/>
        </w:rPr>
        <w:t>IPCC</w:t>
      </w:r>
      <w:r w:rsidRPr="00A678DE">
        <w:rPr>
          <w:rFonts w:eastAsia="Times New Roman"/>
          <w:color w:val="222222"/>
          <w:sz w:val="20"/>
          <w:szCs w:val="20"/>
          <w:shd w:val="clear" w:color="auto" w:fill="FFFFFF"/>
        </w:rPr>
        <w:t>, 2019. Climate Change and Land: an IPCC special report on climate change, desertification, land degradation, sustainable land management, food security, and greenhouse gas f</w:t>
      </w:r>
      <w:r w:rsidRPr="00A678DE">
        <w:rPr>
          <w:rFonts w:eastAsia="Times New Roman"/>
          <w:color w:val="222222"/>
          <w:sz w:val="20"/>
          <w:szCs w:val="20"/>
          <w:shd w:val="clear" w:color="auto" w:fill="FFFFFF"/>
        </w:rPr>
        <w:t>luxes in terrestrial ecosystems. Intergovernmental Panel on Climate Change.</w:t>
      </w:r>
    </w:p>
  </w:footnote>
  <w:footnote w:id="3">
    <w:p w14:paraId="6087FBFA" w14:textId="77BC47B2" w:rsidR="00F2711E" w:rsidRPr="00A678DE" w:rsidRDefault="00F2711E" w:rsidP="00C27400">
      <w:pPr>
        <w:pStyle w:val="FootnoteText"/>
        <w:contextualSpacing/>
        <w:rPr>
          <w:rFonts w:ascii="Times New Roman" w:hAnsi="Times New Roman" w:cs="Times New Roman"/>
        </w:rPr>
      </w:pPr>
      <w:r w:rsidRPr="00A678DE">
        <w:rPr>
          <w:rStyle w:val="FootnoteReference"/>
          <w:rFonts w:ascii="Times New Roman" w:hAnsi="Times New Roman" w:cs="Times New Roman"/>
        </w:rPr>
        <w:footnoteRef/>
      </w:r>
      <w:r w:rsidRPr="00A678DE">
        <w:rPr>
          <w:rFonts w:ascii="Times New Roman" w:hAnsi="Times New Roman" w:cs="Times New Roman"/>
        </w:rPr>
        <w:t xml:space="preserve"> Ibid.</w:t>
      </w:r>
    </w:p>
  </w:footnote>
  <w:footnote w:id="4">
    <w:p w14:paraId="59B21214" w14:textId="4BC7CFD5" w:rsidR="00C53861" w:rsidRPr="00A678DE" w:rsidRDefault="00C53861" w:rsidP="00C27400">
      <w:pPr>
        <w:contextualSpacing/>
        <w:rPr>
          <w:rFonts w:eastAsia="Times New Roman"/>
          <w:sz w:val="20"/>
          <w:szCs w:val="20"/>
        </w:rPr>
      </w:pPr>
      <w:r w:rsidRPr="00A678DE">
        <w:rPr>
          <w:rStyle w:val="FootnoteReference"/>
          <w:sz w:val="20"/>
          <w:szCs w:val="20"/>
        </w:rPr>
        <w:footnoteRef/>
      </w:r>
      <w:r w:rsidRPr="00A678DE">
        <w:rPr>
          <w:sz w:val="20"/>
          <w:szCs w:val="20"/>
        </w:rPr>
        <w:t xml:space="preserve"> </w:t>
      </w:r>
      <w:r w:rsidRPr="00A678DE">
        <w:rPr>
          <w:rFonts w:eastAsia="Times New Roman"/>
          <w:color w:val="222222"/>
          <w:sz w:val="20"/>
          <w:szCs w:val="20"/>
          <w:shd w:val="clear" w:color="auto" w:fill="FFFFFF"/>
        </w:rPr>
        <w:t>Nepstad, D., Schwartzman, S., Bamberger, B., Santilli</w:t>
      </w:r>
      <w:bookmarkStart w:id="1" w:name="_GoBack"/>
      <w:bookmarkEnd w:id="1"/>
      <w:r w:rsidRPr="00A678DE">
        <w:rPr>
          <w:rFonts w:eastAsia="Times New Roman"/>
          <w:color w:val="222222"/>
          <w:sz w:val="20"/>
          <w:szCs w:val="20"/>
          <w:shd w:val="clear" w:color="auto" w:fill="FFFFFF"/>
        </w:rPr>
        <w:t>, M., Ray, D., Schlesinger, P., Lefebvre, P., Alencar, A., Prinz, E., Fiske, G. and Rolla, A., 2006. Inhibition of Amazon deforestation and fire by parks and indigenous lands.</w:t>
      </w:r>
      <w:r w:rsidRPr="00A678DE">
        <w:rPr>
          <w:rStyle w:val="apple-converted-space"/>
          <w:rFonts w:eastAsia="Times New Roman"/>
          <w:color w:val="222222"/>
          <w:sz w:val="20"/>
          <w:szCs w:val="20"/>
          <w:shd w:val="clear" w:color="auto" w:fill="FFFFFF"/>
        </w:rPr>
        <w:t> </w:t>
      </w:r>
      <w:r w:rsidRPr="00A678DE">
        <w:rPr>
          <w:rFonts w:eastAsia="Times New Roman"/>
          <w:i/>
          <w:iCs/>
          <w:color w:val="222222"/>
          <w:sz w:val="20"/>
          <w:szCs w:val="20"/>
        </w:rPr>
        <w:t>Conservation biology</w:t>
      </w:r>
      <w:r w:rsidRPr="00A678DE">
        <w:rPr>
          <w:rFonts w:eastAsia="Times New Roman"/>
          <w:color w:val="222222"/>
          <w:sz w:val="20"/>
          <w:szCs w:val="20"/>
          <w:shd w:val="clear" w:color="auto" w:fill="FFFFFF"/>
        </w:rPr>
        <w:t>,</w:t>
      </w:r>
      <w:r w:rsidRPr="00A678DE">
        <w:rPr>
          <w:rStyle w:val="apple-converted-space"/>
          <w:rFonts w:eastAsia="Times New Roman"/>
          <w:color w:val="222222"/>
          <w:sz w:val="20"/>
          <w:szCs w:val="20"/>
          <w:shd w:val="clear" w:color="auto" w:fill="FFFFFF"/>
        </w:rPr>
        <w:t> </w:t>
      </w:r>
      <w:r w:rsidRPr="00A678DE">
        <w:rPr>
          <w:rFonts w:eastAsia="Times New Roman"/>
          <w:i/>
          <w:iCs/>
          <w:color w:val="222222"/>
          <w:sz w:val="20"/>
          <w:szCs w:val="20"/>
        </w:rPr>
        <w:t>20</w:t>
      </w:r>
      <w:r w:rsidRPr="00A678DE">
        <w:rPr>
          <w:rFonts w:eastAsia="Times New Roman"/>
          <w:color w:val="222222"/>
          <w:sz w:val="20"/>
          <w:szCs w:val="20"/>
          <w:shd w:val="clear" w:color="auto" w:fill="FFFFFF"/>
        </w:rPr>
        <w:t>(1), pp.65-73.</w:t>
      </w:r>
    </w:p>
  </w:footnote>
  <w:footnote w:id="5">
    <w:p w14:paraId="1495D3FF" w14:textId="534134C5" w:rsidR="005A2379" w:rsidRPr="00A678DE" w:rsidRDefault="005A2379" w:rsidP="00C27400">
      <w:pPr>
        <w:pStyle w:val="FootnoteText"/>
        <w:contextualSpacing/>
        <w:rPr>
          <w:rFonts w:ascii="Times New Roman" w:hAnsi="Times New Roman" w:cs="Times New Roman"/>
        </w:rPr>
      </w:pPr>
      <w:r w:rsidRPr="00A678DE">
        <w:rPr>
          <w:rStyle w:val="FootnoteReference"/>
          <w:rFonts w:ascii="Times New Roman" w:hAnsi="Times New Roman" w:cs="Times New Roman"/>
        </w:rPr>
        <w:footnoteRef/>
      </w:r>
      <w:r w:rsidRPr="00A678DE">
        <w:rPr>
          <w:rFonts w:ascii="Times New Roman" w:hAnsi="Times New Roman" w:cs="Times New Roman"/>
        </w:rPr>
        <w:t xml:space="preserve"> Ibid.</w:t>
      </w:r>
    </w:p>
  </w:footnote>
  <w:footnote w:id="6">
    <w:p w14:paraId="1D7EB8BC" w14:textId="77777777" w:rsidR="00C27400" w:rsidRPr="00A678DE" w:rsidRDefault="00C27400" w:rsidP="00C27400">
      <w:pPr>
        <w:contextualSpacing/>
        <w:rPr>
          <w:rFonts w:eastAsia="Times New Roman"/>
          <w:sz w:val="20"/>
          <w:szCs w:val="20"/>
        </w:rPr>
      </w:pPr>
      <w:r w:rsidRPr="00A678DE">
        <w:rPr>
          <w:rStyle w:val="FootnoteReference"/>
          <w:sz w:val="20"/>
          <w:szCs w:val="20"/>
        </w:rPr>
        <w:footnoteRef/>
      </w:r>
      <w:r w:rsidRPr="00A678DE">
        <w:rPr>
          <w:sz w:val="20"/>
          <w:szCs w:val="20"/>
        </w:rPr>
        <w:t xml:space="preserve"> </w:t>
      </w:r>
      <w:r w:rsidRPr="00A678DE">
        <w:rPr>
          <w:rFonts w:eastAsia="Times New Roman"/>
          <w:color w:val="222222"/>
          <w:sz w:val="20"/>
          <w:szCs w:val="20"/>
          <w:shd w:val="clear" w:color="auto" w:fill="FFFFFF"/>
        </w:rPr>
        <w:t>White, A., 2011. Cash alone will not slow forest carbon emissions.</w:t>
      </w:r>
      <w:r w:rsidRPr="00A678DE">
        <w:rPr>
          <w:rStyle w:val="apple-converted-space"/>
          <w:rFonts w:eastAsia="Times New Roman"/>
          <w:color w:val="222222"/>
          <w:sz w:val="20"/>
          <w:szCs w:val="20"/>
          <w:shd w:val="clear" w:color="auto" w:fill="FFFFFF"/>
        </w:rPr>
        <w:t> </w:t>
      </w:r>
      <w:r w:rsidRPr="00A678DE">
        <w:rPr>
          <w:rFonts w:eastAsia="Times New Roman"/>
          <w:i/>
          <w:iCs/>
          <w:color w:val="222222"/>
          <w:sz w:val="20"/>
          <w:szCs w:val="20"/>
        </w:rPr>
        <w:t>Nature News</w:t>
      </w:r>
      <w:r w:rsidRPr="00A678DE">
        <w:rPr>
          <w:rFonts w:eastAsia="Times New Roman"/>
          <w:color w:val="222222"/>
          <w:sz w:val="20"/>
          <w:szCs w:val="20"/>
          <w:shd w:val="clear" w:color="auto" w:fill="FFFFFF"/>
        </w:rPr>
        <w:t>,</w:t>
      </w:r>
      <w:r w:rsidRPr="00A678DE">
        <w:rPr>
          <w:rStyle w:val="apple-converted-space"/>
          <w:rFonts w:eastAsia="Times New Roman"/>
          <w:color w:val="222222"/>
          <w:sz w:val="20"/>
          <w:szCs w:val="20"/>
          <w:shd w:val="clear" w:color="auto" w:fill="FFFFFF"/>
        </w:rPr>
        <w:t> </w:t>
      </w:r>
      <w:r w:rsidRPr="00A678DE">
        <w:rPr>
          <w:rFonts w:eastAsia="Times New Roman"/>
          <w:i/>
          <w:iCs/>
          <w:color w:val="222222"/>
          <w:sz w:val="20"/>
          <w:szCs w:val="20"/>
        </w:rPr>
        <w:t>471</w:t>
      </w:r>
      <w:r w:rsidRPr="00A678DE">
        <w:rPr>
          <w:rFonts w:eastAsia="Times New Roman"/>
          <w:color w:val="222222"/>
          <w:sz w:val="20"/>
          <w:szCs w:val="20"/>
          <w:shd w:val="clear" w:color="auto" w:fill="FFFFFF"/>
        </w:rPr>
        <w:t>(7338), pp.267-267.</w:t>
      </w:r>
    </w:p>
    <w:p w14:paraId="21D79779" w14:textId="71A0821C" w:rsidR="00C27400" w:rsidRPr="00A678DE" w:rsidRDefault="00C27400">
      <w:pPr>
        <w:pStyle w:val="FootnoteText"/>
        <w:rPr>
          <w:rFonts w:ascii="Times New Roman" w:hAnsi="Times New Roman" w:cs="Times New Roman"/>
        </w:rPr>
      </w:pPr>
    </w:p>
  </w:footnote>
  <w:footnote w:id="7">
    <w:p w14:paraId="09E8FAC1" w14:textId="036CDA8A" w:rsidR="00A570F9" w:rsidRPr="00A678DE" w:rsidRDefault="00A570F9">
      <w:pPr>
        <w:pStyle w:val="FootnoteText"/>
        <w:rPr>
          <w:rFonts w:ascii="Times New Roman" w:hAnsi="Times New Roman" w:cs="Times New Roman"/>
        </w:rPr>
      </w:pPr>
      <w:r w:rsidRPr="00A678DE">
        <w:rPr>
          <w:rStyle w:val="FootnoteReference"/>
          <w:rFonts w:ascii="Times New Roman" w:hAnsi="Times New Roman" w:cs="Times New Roman"/>
        </w:rPr>
        <w:footnoteRef/>
      </w:r>
      <w:r w:rsidRPr="00A678DE">
        <w:rPr>
          <w:rFonts w:ascii="Times New Roman" w:hAnsi="Times New Roman" w:cs="Times New Roman"/>
        </w:rPr>
        <w:t xml:space="preserve"> https://sustainabledevelopment.un.org/sdg15</w:t>
      </w:r>
    </w:p>
  </w:footnote>
  <w:footnote w:id="8">
    <w:p w14:paraId="08184B8E" w14:textId="167A1964" w:rsidR="00DC7EAE" w:rsidRPr="00516C56" w:rsidRDefault="00DC7EAE" w:rsidP="00516C56">
      <w:pPr>
        <w:rPr>
          <w:rFonts w:eastAsia="Times New Roman"/>
          <w:sz w:val="20"/>
          <w:szCs w:val="20"/>
        </w:rPr>
      </w:pPr>
      <w:r w:rsidRPr="00A678DE">
        <w:rPr>
          <w:rStyle w:val="FootnoteReference"/>
          <w:sz w:val="20"/>
          <w:szCs w:val="20"/>
        </w:rPr>
        <w:footnoteRef/>
      </w:r>
      <w:r w:rsidRPr="00A678DE">
        <w:rPr>
          <w:sz w:val="20"/>
          <w:szCs w:val="20"/>
        </w:rPr>
        <w:t xml:space="preserve"> </w:t>
      </w:r>
      <w:r w:rsidRPr="00A678DE">
        <w:rPr>
          <w:rFonts w:eastAsia="Times New Roman"/>
          <w:color w:val="222222"/>
          <w:sz w:val="20"/>
          <w:szCs w:val="20"/>
          <w:shd w:val="clear" w:color="auto" w:fill="FFFFFF"/>
        </w:rPr>
        <w:t>Amazon Watch., 2016. From Well to Wheel: The Social, Environmental, and Climate Costs of Amazon Crude. Oakland, CA.</w:t>
      </w:r>
    </w:p>
  </w:footnote>
  <w:footnote w:id="9">
    <w:p w14:paraId="0D35FAC0" w14:textId="3FF8E36E" w:rsidR="00DC7EAE" w:rsidRPr="00A678DE" w:rsidRDefault="00DC7EAE" w:rsidP="00DC7EAE">
      <w:pPr>
        <w:rPr>
          <w:rFonts w:eastAsia="Times New Roman"/>
          <w:sz w:val="20"/>
          <w:szCs w:val="20"/>
        </w:rPr>
      </w:pPr>
      <w:r w:rsidRPr="00A678DE">
        <w:rPr>
          <w:rStyle w:val="FootnoteReference"/>
          <w:sz w:val="20"/>
          <w:szCs w:val="20"/>
        </w:rPr>
        <w:footnoteRef/>
      </w:r>
      <w:r w:rsidRPr="00A678DE">
        <w:rPr>
          <w:sz w:val="20"/>
          <w:szCs w:val="20"/>
        </w:rPr>
        <w:t xml:space="preserve"> </w:t>
      </w:r>
      <w:r w:rsidRPr="00A678DE">
        <w:rPr>
          <w:rFonts w:eastAsia="Times New Roman"/>
          <w:color w:val="222222"/>
          <w:sz w:val="20"/>
          <w:szCs w:val="20"/>
          <w:shd w:val="clear" w:color="auto" w:fill="FFFFFF"/>
        </w:rPr>
        <w:t>Ibid</w:t>
      </w:r>
    </w:p>
  </w:footnote>
  <w:footnote w:id="10">
    <w:p w14:paraId="5D6339F1" w14:textId="2DDC86E0" w:rsidR="00280947" w:rsidRPr="00A678DE" w:rsidRDefault="009470DE" w:rsidP="001B5BB3">
      <w:pPr>
        <w:pStyle w:val="FootnoteText"/>
        <w:rPr>
          <w:rFonts w:ascii="Times New Roman" w:hAnsi="Times New Roman" w:cs="Times New Roman"/>
        </w:rPr>
      </w:pPr>
      <w:r w:rsidRPr="00A678DE">
        <w:rPr>
          <w:rStyle w:val="FootnoteReference"/>
          <w:rFonts w:ascii="Times New Roman" w:hAnsi="Times New Roman" w:cs="Times New Roman"/>
        </w:rPr>
        <w:footnoteRef/>
      </w:r>
      <w:r w:rsidRPr="00A678DE">
        <w:rPr>
          <w:rFonts w:ascii="Times New Roman" w:hAnsi="Times New Roman" w:cs="Times New Roman"/>
        </w:rPr>
        <w:t xml:space="preserve"> </w:t>
      </w:r>
      <w:r w:rsidR="001B5BB3">
        <w:rPr>
          <w:rFonts w:ascii="Times New Roman" w:hAnsi="Times New Roman" w:cs="Times New Roman"/>
        </w:rPr>
        <w:t xml:space="preserve">Taylor, M. 2019. Norway’s wealth fund ditches 33 palm oil firms over deforestation. </w:t>
      </w:r>
      <w:r w:rsidR="001B5BB3" w:rsidRPr="001B5BB3">
        <w:rPr>
          <w:rFonts w:ascii="Times New Roman" w:hAnsi="Times New Roman" w:cs="Times New Roman"/>
          <w:i/>
        </w:rPr>
        <w:t>Reuters.</w:t>
      </w:r>
      <w:r w:rsidR="001B5BB3">
        <w:rPr>
          <w:rFonts w:ascii="Times New Roman" w:hAnsi="Times New Roman" w:cs="Times New Roman"/>
        </w:rPr>
        <w:t xml:space="preserve"> February 28, 2019.</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081373"/>
    <w:multiLevelType w:val="multilevel"/>
    <w:tmpl w:val="CA281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CC1BEA"/>
    <w:multiLevelType w:val="hybridMultilevel"/>
    <w:tmpl w:val="47166D5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C072930"/>
    <w:multiLevelType w:val="hybridMultilevel"/>
    <w:tmpl w:val="90B04472"/>
    <w:lvl w:ilvl="0" w:tplc="8F2AAD6E">
      <w:numFmt w:val="bullet"/>
      <w:lvlText w:val=""/>
      <w:lvlJc w:val="left"/>
      <w:pPr>
        <w:ind w:left="720" w:hanging="360"/>
      </w:pPr>
      <w:rPr>
        <w:rFonts w:ascii="Wingdings" w:eastAsia="Didot" w:hAnsi="Wingdings" w:cs="Dido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A82398"/>
    <w:multiLevelType w:val="hybridMultilevel"/>
    <w:tmpl w:val="7A96314E"/>
    <w:lvl w:ilvl="0" w:tplc="8F2AAD6E">
      <w:numFmt w:val="bullet"/>
      <w:lvlText w:val=""/>
      <w:lvlJc w:val="left"/>
      <w:pPr>
        <w:ind w:left="720" w:hanging="360"/>
      </w:pPr>
      <w:rPr>
        <w:rFonts w:ascii="Wingdings" w:eastAsia="Didot" w:hAnsi="Wingdings" w:cs="Dido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EF97FCB"/>
    <w:multiLevelType w:val="hybridMultilevel"/>
    <w:tmpl w:val="5D364E0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B3D5AC5"/>
    <w:multiLevelType w:val="hybridMultilevel"/>
    <w:tmpl w:val="EDBA92AA"/>
    <w:lvl w:ilvl="0" w:tplc="8F2AAD6E">
      <w:numFmt w:val="bullet"/>
      <w:lvlText w:val=""/>
      <w:lvlJc w:val="left"/>
      <w:pPr>
        <w:ind w:left="720" w:hanging="360"/>
      </w:pPr>
      <w:rPr>
        <w:rFonts w:ascii="Wingdings" w:eastAsia="Didot" w:hAnsi="Wingdings" w:cs="Didot"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3A0119B"/>
    <w:multiLevelType w:val="hybridMultilevel"/>
    <w:tmpl w:val="2F0C52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01F77FC"/>
    <w:multiLevelType w:val="multilevel"/>
    <w:tmpl w:val="ACB66538"/>
    <w:styleLink w:val="List21"/>
    <w:lvl w:ilvl="0">
      <w:start w:val="1"/>
      <w:numFmt w:val="decimal"/>
      <w:lvlText w:val="%1."/>
      <w:lvlJc w:val="left"/>
      <w:rPr>
        <w:b/>
        <w:bCs/>
        <w:i/>
        <w:iCs/>
        <w:position w:val="0"/>
      </w:rPr>
    </w:lvl>
    <w:lvl w:ilvl="1">
      <w:start w:val="1"/>
      <w:numFmt w:val="lowerLetter"/>
      <w:lvlText w:val="%2."/>
      <w:lvlJc w:val="left"/>
      <w:rPr>
        <w:b/>
        <w:bCs/>
        <w:i/>
        <w:iCs/>
        <w:position w:val="0"/>
      </w:rPr>
    </w:lvl>
    <w:lvl w:ilvl="2">
      <w:start w:val="1"/>
      <w:numFmt w:val="lowerRoman"/>
      <w:lvlText w:val="%3."/>
      <w:lvlJc w:val="left"/>
      <w:rPr>
        <w:b/>
        <w:bCs/>
        <w:i/>
        <w:iCs/>
        <w:position w:val="0"/>
      </w:rPr>
    </w:lvl>
    <w:lvl w:ilvl="3">
      <w:start w:val="1"/>
      <w:numFmt w:val="decimal"/>
      <w:lvlText w:val="%4."/>
      <w:lvlJc w:val="left"/>
      <w:rPr>
        <w:b/>
        <w:bCs/>
        <w:i/>
        <w:iCs/>
        <w:position w:val="0"/>
      </w:rPr>
    </w:lvl>
    <w:lvl w:ilvl="4">
      <w:start w:val="1"/>
      <w:numFmt w:val="lowerLetter"/>
      <w:lvlText w:val="%5."/>
      <w:lvlJc w:val="left"/>
      <w:rPr>
        <w:b/>
        <w:bCs/>
        <w:i/>
        <w:iCs/>
        <w:position w:val="0"/>
      </w:rPr>
    </w:lvl>
    <w:lvl w:ilvl="5">
      <w:start w:val="1"/>
      <w:numFmt w:val="lowerRoman"/>
      <w:lvlText w:val="%6."/>
      <w:lvlJc w:val="left"/>
      <w:rPr>
        <w:b/>
        <w:bCs/>
        <w:i/>
        <w:iCs/>
        <w:position w:val="0"/>
      </w:rPr>
    </w:lvl>
    <w:lvl w:ilvl="6">
      <w:start w:val="1"/>
      <w:numFmt w:val="decimal"/>
      <w:lvlText w:val="%7."/>
      <w:lvlJc w:val="left"/>
      <w:rPr>
        <w:b/>
        <w:bCs/>
        <w:i/>
        <w:iCs/>
        <w:position w:val="0"/>
      </w:rPr>
    </w:lvl>
    <w:lvl w:ilvl="7">
      <w:start w:val="1"/>
      <w:numFmt w:val="lowerLetter"/>
      <w:lvlText w:val="%8."/>
      <w:lvlJc w:val="left"/>
      <w:rPr>
        <w:b/>
        <w:bCs/>
        <w:i/>
        <w:iCs/>
        <w:position w:val="0"/>
      </w:rPr>
    </w:lvl>
    <w:lvl w:ilvl="8">
      <w:start w:val="1"/>
      <w:numFmt w:val="lowerRoman"/>
      <w:lvlText w:val="%9."/>
      <w:lvlJc w:val="left"/>
      <w:rPr>
        <w:b/>
        <w:bCs/>
        <w:i/>
        <w:iCs/>
        <w:position w:val="0"/>
      </w:rPr>
    </w:lvl>
  </w:abstractNum>
  <w:abstractNum w:abstractNumId="8">
    <w:nsid w:val="57290801"/>
    <w:multiLevelType w:val="hybridMultilevel"/>
    <w:tmpl w:val="5D364E0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D6F4672"/>
    <w:multiLevelType w:val="hybridMultilevel"/>
    <w:tmpl w:val="05AABAFE"/>
    <w:lvl w:ilvl="0" w:tplc="0409000F">
      <w:start w:val="1"/>
      <w:numFmt w:val="decimal"/>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5EEF425D"/>
    <w:multiLevelType w:val="multilevel"/>
    <w:tmpl w:val="6AFCB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3155857"/>
    <w:multiLevelType w:val="multilevel"/>
    <w:tmpl w:val="154E93A6"/>
    <w:styleLink w:val="List31"/>
    <w:lvl w:ilvl="0">
      <w:start w:val="1"/>
      <w:numFmt w:val="decimal"/>
      <w:lvlText w:val="%1)"/>
      <w:lvlJc w:val="left"/>
      <w:pPr>
        <w:tabs>
          <w:tab w:val="num" w:pos="1080"/>
        </w:tabs>
        <w:ind w:left="1080" w:hanging="359"/>
      </w:pPr>
      <w:rPr>
        <w:rFonts w:ascii="Didot" w:eastAsia="Didot" w:hAnsi="Didot" w:cs="Didot"/>
        <w:b/>
        <w:bCs/>
        <w:i/>
        <w:iCs/>
        <w:color w:val="AD1915"/>
        <w:position w:val="0"/>
      </w:rPr>
    </w:lvl>
    <w:lvl w:ilvl="1">
      <w:start w:val="1"/>
      <w:numFmt w:val="lowerLetter"/>
      <w:lvlText w:val="%2."/>
      <w:lvlJc w:val="left"/>
      <w:pPr>
        <w:tabs>
          <w:tab w:val="num" w:pos="2880"/>
        </w:tabs>
        <w:ind w:left="2880"/>
      </w:pPr>
      <w:rPr>
        <w:rFonts w:ascii="Didot" w:eastAsia="Didot" w:hAnsi="Didot" w:cs="Didot"/>
        <w:b/>
        <w:bCs/>
        <w:i/>
        <w:iCs/>
        <w:color w:val="AD1915"/>
        <w:position w:val="0"/>
      </w:rPr>
    </w:lvl>
    <w:lvl w:ilvl="2">
      <w:start w:val="1"/>
      <w:numFmt w:val="lowerRoman"/>
      <w:lvlText w:val="%3."/>
      <w:lvlJc w:val="left"/>
      <w:pPr>
        <w:tabs>
          <w:tab w:val="num" w:pos="4384"/>
        </w:tabs>
        <w:ind w:left="4384"/>
      </w:pPr>
      <w:rPr>
        <w:rFonts w:ascii="Didot" w:eastAsia="Didot" w:hAnsi="Didot" w:cs="Didot"/>
        <w:b/>
        <w:bCs/>
        <w:i/>
        <w:iCs/>
        <w:color w:val="AD1915"/>
        <w:position w:val="0"/>
      </w:rPr>
    </w:lvl>
    <w:lvl w:ilvl="3">
      <w:start w:val="1"/>
      <w:numFmt w:val="decimal"/>
      <w:lvlText w:val="%4."/>
      <w:lvlJc w:val="left"/>
      <w:pPr>
        <w:tabs>
          <w:tab w:val="num" w:pos="5760"/>
        </w:tabs>
        <w:ind w:left="5760"/>
      </w:pPr>
      <w:rPr>
        <w:rFonts w:ascii="Didot" w:eastAsia="Didot" w:hAnsi="Didot" w:cs="Didot"/>
        <w:b/>
        <w:bCs/>
        <w:i/>
        <w:iCs/>
        <w:color w:val="AD1915"/>
        <w:position w:val="0"/>
      </w:rPr>
    </w:lvl>
    <w:lvl w:ilvl="4">
      <w:start w:val="1"/>
      <w:numFmt w:val="lowerLetter"/>
      <w:lvlText w:val="%5."/>
      <w:lvlJc w:val="left"/>
      <w:pPr>
        <w:tabs>
          <w:tab w:val="num" w:pos="7200"/>
        </w:tabs>
        <w:ind w:left="7200"/>
      </w:pPr>
      <w:rPr>
        <w:rFonts w:ascii="Didot" w:eastAsia="Didot" w:hAnsi="Didot" w:cs="Didot"/>
        <w:b/>
        <w:bCs/>
        <w:i/>
        <w:iCs/>
        <w:color w:val="AD1915"/>
        <w:position w:val="0"/>
      </w:rPr>
    </w:lvl>
    <w:lvl w:ilvl="5">
      <w:start w:val="1"/>
      <w:numFmt w:val="lowerRoman"/>
      <w:lvlText w:val="%6."/>
      <w:lvlJc w:val="left"/>
      <w:pPr>
        <w:tabs>
          <w:tab w:val="num" w:pos="8704"/>
        </w:tabs>
        <w:ind w:left="8704"/>
      </w:pPr>
      <w:rPr>
        <w:rFonts w:ascii="Didot" w:eastAsia="Didot" w:hAnsi="Didot" w:cs="Didot"/>
        <w:b/>
        <w:bCs/>
        <w:i/>
        <w:iCs/>
        <w:color w:val="AD1915"/>
        <w:position w:val="0"/>
      </w:rPr>
    </w:lvl>
    <w:lvl w:ilvl="6">
      <w:start w:val="1"/>
      <w:numFmt w:val="decimal"/>
      <w:lvlText w:val="%7."/>
      <w:lvlJc w:val="left"/>
      <w:pPr>
        <w:tabs>
          <w:tab w:val="num" w:pos="10080"/>
        </w:tabs>
        <w:ind w:left="10080"/>
      </w:pPr>
      <w:rPr>
        <w:rFonts w:ascii="Didot" w:eastAsia="Didot" w:hAnsi="Didot" w:cs="Didot"/>
        <w:b/>
        <w:bCs/>
        <w:i/>
        <w:iCs/>
        <w:color w:val="AD1915"/>
        <w:position w:val="0"/>
      </w:rPr>
    </w:lvl>
    <w:lvl w:ilvl="7">
      <w:start w:val="1"/>
      <w:numFmt w:val="lowerLetter"/>
      <w:lvlText w:val="%8."/>
      <w:lvlJc w:val="left"/>
      <w:pPr>
        <w:tabs>
          <w:tab w:val="num" w:pos="11520"/>
        </w:tabs>
        <w:ind w:left="11520"/>
      </w:pPr>
      <w:rPr>
        <w:rFonts w:ascii="Didot" w:eastAsia="Didot" w:hAnsi="Didot" w:cs="Didot"/>
        <w:b/>
        <w:bCs/>
        <w:i/>
        <w:iCs/>
        <w:color w:val="AD1915"/>
        <w:position w:val="0"/>
      </w:rPr>
    </w:lvl>
    <w:lvl w:ilvl="8">
      <w:start w:val="1"/>
      <w:numFmt w:val="lowerRoman"/>
      <w:lvlText w:val="%9."/>
      <w:lvlJc w:val="left"/>
      <w:pPr>
        <w:tabs>
          <w:tab w:val="num" w:pos="13024"/>
        </w:tabs>
        <w:ind w:left="13024"/>
      </w:pPr>
      <w:rPr>
        <w:rFonts w:ascii="Didot" w:eastAsia="Didot" w:hAnsi="Didot" w:cs="Didot"/>
        <w:b/>
        <w:bCs/>
        <w:i/>
        <w:iCs/>
        <w:color w:val="AD1915"/>
        <w:position w:val="0"/>
      </w:rPr>
    </w:lvl>
  </w:abstractNum>
  <w:abstractNum w:abstractNumId="12">
    <w:nsid w:val="66076069"/>
    <w:multiLevelType w:val="hybridMultilevel"/>
    <w:tmpl w:val="B1A6A3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E230DD5"/>
    <w:multiLevelType w:val="hybridMultilevel"/>
    <w:tmpl w:val="9BC2E4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783F5EB5"/>
    <w:multiLevelType w:val="hybridMultilevel"/>
    <w:tmpl w:val="1C069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8D314A5"/>
    <w:multiLevelType w:val="hybridMultilevel"/>
    <w:tmpl w:val="DA546308"/>
    <w:lvl w:ilvl="0" w:tplc="8F2AAD6E">
      <w:numFmt w:val="bullet"/>
      <w:lvlText w:val=""/>
      <w:lvlJc w:val="left"/>
      <w:pPr>
        <w:ind w:left="720" w:hanging="360"/>
      </w:pPr>
      <w:rPr>
        <w:rFonts w:ascii="Wingdings" w:eastAsia="Didot" w:hAnsi="Wingdings" w:cs="Dido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1"/>
    <w:lvlOverride w:ilvl="0">
      <w:lvl w:ilvl="0">
        <w:start w:val="1"/>
        <w:numFmt w:val="decimal"/>
        <w:lvlText w:val="%1)"/>
        <w:lvlJc w:val="left"/>
        <w:pPr>
          <w:tabs>
            <w:tab w:val="num" w:pos="359"/>
          </w:tabs>
          <w:ind w:left="359" w:hanging="359"/>
        </w:pPr>
        <w:rPr>
          <w:rFonts w:ascii="Didot" w:eastAsia="Didot" w:hAnsi="Didot" w:cs="Didot"/>
          <w:b/>
          <w:bCs/>
          <w:i/>
          <w:iCs/>
          <w:color w:val="000000" w:themeColor="text1"/>
          <w:position w:val="0"/>
        </w:rPr>
      </w:lvl>
    </w:lvlOverride>
  </w:num>
  <w:num w:numId="3">
    <w:abstractNumId w:val="8"/>
  </w:num>
  <w:num w:numId="4">
    <w:abstractNumId w:val="1"/>
  </w:num>
  <w:num w:numId="5">
    <w:abstractNumId w:val="13"/>
  </w:num>
  <w:num w:numId="6">
    <w:abstractNumId w:val="9"/>
  </w:num>
  <w:num w:numId="7">
    <w:abstractNumId w:val="12"/>
  </w:num>
  <w:num w:numId="8">
    <w:abstractNumId w:val="0"/>
  </w:num>
  <w:num w:numId="9">
    <w:abstractNumId w:val="10"/>
  </w:num>
  <w:num w:numId="10">
    <w:abstractNumId w:val="15"/>
  </w:num>
  <w:num w:numId="11">
    <w:abstractNumId w:val="5"/>
  </w:num>
  <w:num w:numId="12">
    <w:abstractNumId w:val="2"/>
  </w:num>
  <w:num w:numId="13">
    <w:abstractNumId w:val="3"/>
  </w:num>
  <w:num w:numId="14">
    <w:abstractNumId w:val="14"/>
  </w:num>
  <w:num w:numId="15">
    <w:abstractNumId w:val="4"/>
  </w:num>
  <w:num w:numId="16">
    <w:abstractNumId w:val="11"/>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4504"/>
    <w:rsid w:val="000113B5"/>
    <w:rsid w:val="00014A8A"/>
    <w:rsid w:val="00017022"/>
    <w:rsid w:val="0002255E"/>
    <w:rsid w:val="000267C7"/>
    <w:rsid w:val="00032694"/>
    <w:rsid w:val="000372BB"/>
    <w:rsid w:val="000416FF"/>
    <w:rsid w:val="00044AC2"/>
    <w:rsid w:val="000547AE"/>
    <w:rsid w:val="000604AE"/>
    <w:rsid w:val="00062AB1"/>
    <w:rsid w:val="00083974"/>
    <w:rsid w:val="00095F6D"/>
    <w:rsid w:val="000A4E6C"/>
    <w:rsid w:val="000B7C42"/>
    <w:rsid w:val="000C2B6E"/>
    <w:rsid w:val="000F1876"/>
    <w:rsid w:val="000F6E38"/>
    <w:rsid w:val="00100E9C"/>
    <w:rsid w:val="00101F30"/>
    <w:rsid w:val="001053F5"/>
    <w:rsid w:val="001177D8"/>
    <w:rsid w:val="001301EC"/>
    <w:rsid w:val="00137C88"/>
    <w:rsid w:val="00140B1F"/>
    <w:rsid w:val="00147989"/>
    <w:rsid w:val="0015345D"/>
    <w:rsid w:val="00160C49"/>
    <w:rsid w:val="00161189"/>
    <w:rsid w:val="00162640"/>
    <w:rsid w:val="001651CE"/>
    <w:rsid w:val="00174BC1"/>
    <w:rsid w:val="00175B43"/>
    <w:rsid w:val="0018199B"/>
    <w:rsid w:val="0018631C"/>
    <w:rsid w:val="001B5BB3"/>
    <w:rsid w:val="001C5B4B"/>
    <w:rsid w:val="001D308A"/>
    <w:rsid w:val="001E1A83"/>
    <w:rsid w:val="002070B7"/>
    <w:rsid w:val="00213489"/>
    <w:rsid w:val="00223F53"/>
    <w:rsid w:val="002258CB"/>
    <w:rsid w:val="00226CE9"/>
    <w:rsid w:val="00241532"/>
    <w:rsid w:val="002449A8"/>
    <w:rsid w:val="00247E45"/>
    <w:rsid w:val="002562E9"/>
    <w:rsid w:val="00274050"/>
    <w:rsid w:val="002757C2"/>
    <w:rsid w:val="00280947"/>
    <w:rsid w:val="00280FA3"/>
    <w:rsid w:val="00284ECF"/>
    <w:rsid w:val="002947A0"/>
    <w:rsid w:val="0029641A"/>
    <w:rsid w:val="002A032A"/>
    <w:rsid w:val="002A383F"/>
    <w:rsid w:val="002A6384"/>
    <w:rsid w:val="002B1155"/>
    <w:rsid w:val="002B5573"/>
    <w:rsid w:val="002C0E77"/>
    <w:rsid w:val="002C66E2"/>
    <w:rsid w:val="002E16A9"/>
    <w:rsid w:val="00305BA3"/>
    <w:rsid w:val="003128C2"/>
    <w:rsid w:val="00320494"/>
    <w:rsid w:val="00320EF2"/>
    <w:rsid w:val="00331EC8"/>
    <w:rsid w:val="00342D2E"/>
    <w:rsid w:val="00344307"/>
    <w:rsid w:val="00350D80"/>
    <w:rsid w:val="0035601A"/>
    <w:rsid w:val="00362CE6"/>
    <w:rsid w:val="003915E9"/>
    <w:rsid w:val="00394EFF"/>
    <w:rsid w:val="003A6554"/>
    <w:rsid w:val="003B023D"/>
    <w:rsid w:val="003E6F95"/>
    <w:rsid w:val="003F197B"/>
    <w:rsid w:val="003F3373"/>
    <w:rsid w:val="003F3C9B"/>
    <w:rsid w:val="003F4F3F"/>
    <w:rsid w:val="0040492B"/>
    <w:rsid w:val="00406495"/>
    <w:rsid w:val="00416E79"/>
    <w:rsid w:val="00423C7B"/>
    <w:rsid w:val="004459E4"/>
    <w:rsid w:val="00445DA3"/>
    <w:rsid w:val="00462182"/>
    <w:rsid w:val="00463034"/>
    <w:rsid w:val="00463609"/>
    <w:rsid w:val="00463FD4"/>
    <w:rsid w:val="00466EB3"/>
    <w:rsid w:val="00471396"/>
    <w:rsid w:val="00486B3D"/>
    <w:rsid w:val="00487E68"/>
    <w:rsid w:val="004A462C"/>
    <w:rsid w:val="004A5274"/>
    <w:rsid w:val="004D572A"/>
    <w:rsid w:val="00510A63"/>
    <w:rsid w:val="00516C56"/>
    <w:rsid w:val="00525511"/>
    <w:rsid w:val="005256FF"/>
    <w:rsid w:val="00527E00"/>
    <w:rsid w:val="0053590B"/>
    <w:rsid w:val="00560BD0"/>
    <w:rsid w:val="00565F85"/>
    <w:rsid w:val="00576F4C"/>
    <w:rsid w:val="00577FD0"/>
    <w:rsid w:val="00581370"/>
    <w:rsid w:val="0059480C"/>
    <w:rsid w:val="005A05E5"/>
    <w:rsid w:val="005A2379"/>
    <w:rsid w:val="005B271B"/>
    <w:rsid w:val="005B7742"/>
    <w:rsid w:val="005C0998"/>
    <w:rsid w:val="005C75FB"/>
    <w:rsid w:val="005E2EF9"/>
    <w:rsid w:val="005E6EFB"/>
    <w:rsid w:val="005F768D"/>
    <w:rsid w:val="00604358"/>
    <w:rsid w:val="006120C1"/>
    <w:rsid w:val="00613CDC"/>
    <w:rsid w:val="00617769"/>
    <w:rsid w:val="0062324F"/>
    <w:rsid w:val="00623D6E"/>
    <w:rsid w:val="00633593"/>
    <w:rsid w:val="00633764"/>
    <w:rsid w:val="00644947"/>
    <w:rsid w:val="00652B14"/>
    <w:rsid w:val="00654F53"/>
    <w:rsid w:val="0066798C"/>
    <w:rsid w:val="00671569"/>
    <w:rsid w:val="006807F9"/>
    <w:rsid w:val="00685B3E"/>
    <w:rsid w:val="00696373"/>
    <w:rsid w:val="0069786F"/>
    <w:rsid w:val="006B2E50"/>
    <w:rsid w:val="006B3453"/>
    <w:rsid w:val="006D05F8"/>
    <w:rsid w:val="006D2A50"/>
    <w:rsid w:val="006D67C2"/>
    <w:rsid w:val="006E7791"/>
    <w:rsid w:val="006E7C03"/>
    <w:rsid w:val="006F0BDF"/>
    <w:rsid w:val="006F2AC6"/>
    <w:rsid w:val="006F5518"/>
    <w:rsid w:val="00702D0F"/>
    <w:rsid w:val="00703FCF"/>
    <w:rsid w:val="00704EAD"/>
    <w:rsid w:val="00705F36"/>
    <w:rsid w:val="0070638D"/>
    <w:rsid w:val="007108B8"/>
    <w:rsid w:val="0071190E"/>
    <w:rsid w:val="007325BC"/>
    <w:rsid w:val="0073263E"/>
    <w:rsid w:val="0074375B"/>
    <w:rsid w:val="00756C6C"/>
    <w:rsid w:val="00776EE2"/>
    <w:rsid w:val="00780463"/>
    <w:rsid w:val="00787E70"/>
    <w:rsid w:val="00797934"/>
    <w:rsid w:val="007A6639"/>
    <w:rsid w:val="007E22B7"/>
    <w:rsid w:val="007F4D40"/>
    <w:rsid w:val="007F7C84"/>
    <w:rsid w:val="00832528"/>
    <w:rsid w:val="00840E2C"/>
    <w:rsid w:val="00844114"/>
    <w:rsid w:val="00846F9B"/>
    <w:rsid w:val="00867E5E"/>
    <w:rsid w:val="008746CF"/>
    <w:rsid w:val="00882BDA"/>
    <w:rsid w:val="00886A64"/>
    <w:rsid w:val="008940A3"/>
    <w:rsid w:val="008A46FD"/>
    <w:rsid w:val="008B3BAB"/>
    <w:rsid w:val="008B4415"/>
    <w:rsid w:val="008C5246"/>
    <w:rsid w:val="008D2389"/>
    <w:rsid w:val="008F4900"/>
    <w:rsid w:val="00901809"/>
    <w:rsid w:val="009151D5"/>
    <w:rsid w:val="00917D5A"/>
    <w:rsid w:val="009202DC"/>
    <w:rsid w:val="00923511"/>
    <w:rsid w:val="00925975"/>
    <w:rsid w:val="00927109"/>
    <w:rsid w:val="009276AF"/>
    <w:rsid w:val="009440EF"/>
    <w:rsid w:val="009470DE"/>
    <w:rsid w:val="00953DE4"/>
    <w:rsid w:val="0095794C"/>
    <w:rsid w:val="009601F2"/>
    <w:rsid w:val="00980116"/>
    <w:rsid w:val="009805A8"/>
    <w:rsid w:val="0098426D"/>
    <w:rsid w:val="00994338"/>
    <w:rsid w:val="009A64F2"/>
    <w:rsid w:val="009A707A"/>
    <w:rsid w:val="009C2B71"/>
    <w:rsid w:val="009C4107"/>
    <w:rsid w:val="009C7921"/>
    <w:rsid w:val="009D440F"/>
    <w:rsid w:val="009F1B60"/>
    <w:rsid w:val="009F5A91"/>
    <w:rsid w:val="00A161FC"/>
    <w:rsid w:val="00A16CB4"/>
    <w:rsid w:val="00A17076"/>
    <w:rsid w:val="00A367BF"/>
    <w:rsid w:val="00A373E2"/>
    <w:rsid w:val="00A403AB"/>
    <w:rsid w:val="00A40484"/>
    <w:rsid w:val="00A423DF"/>
    <w:rsid w:val="00A55F05"/>
    <w:rsid w:val="00A564B8"/>
    <w:rsid w:val="00A570F9"/>
    <w:rsid w:val="00A64C08"/>
    <w:rsid w:val="00A65446"/>
    <w:rsid w:val="00A678DE"/>
    <w:rsid w:val="00A67930"/>
    <w:rsid w:val="00A70050"/>
    <w:rsid w:val="00A75D19"/>
    <w:rsid w:val="00A85FCB"/>
    <w:rsid w:val="00AB21A8"/>
    <w:rsid w:val="00AC0326"/>
    <w:rsid w:val="00AC4800"/>
    <w:rsid w:val="00AC6495"/>
    <w:rsid w:val="00AD12B9"/>
    <w:rsid w:val="00AD3B26"/>
    <w:rsid w:val="00AD579B"/>
    <w:rsid w:val="00AE56D7"/>
    <w:rsid w:val="00AF06E4"/>
    <w:rsid w:val="00AF1DD6"/>
    <w:rsid w:val="00B03832"/>
    <w:rsid w:val="00B07D34"/>
    <w:rsid w:val="00B10324"/>
    <w:rsid w:val="00B11196"/>
    <w:rsid w:val="00B12863"/>
    <w:rsid w:val="00B162F5"/>
    <w:rsid w:val="00B42327"/>
    <w:rsid w:val="00B428E5"/>
    <w:rsid w:val="00B456BD"/>
    <w:rsid w:val="00B47E6B"/>
    <w:rsid w:val="00B6186B"/>
    <w:rsid w:val="00B623B4"/>
    <w:rsid w:val="00B65644"/>
    <w:rsid w:val="00B83808"/>
    <w:rsid w:val="00B94733"/>
    <w:rsid w:val="00BA40A4"/>
    <w:rsid w:val="00BA43E8"/>
    <w:rsid w:val="00BA785F"/>
    <w:rsid w:val="00BB481D"/>
    <w:rsid w:val="00BB602E"/>
    <w:rsid w:val="00BF313A"/>
    <w:rsid w:val="00BF5D90"/>
    <w:rsid w:val="00C04411"/>
    <w:rsid w:val="00C12DEE"/>
    <w:rsid w:val="00C12F58"/>
    <w:rsid w:val="00C1421E"/>
    <w:rsid w:val="00C21478"/>
    <w:rsid w:val="00C27400"/>
    <w:rsid w:val="00C40364"/>
    <w:rsid w:val="00C42496"/>
    <w:rsid w:val="00C45594"/>
    <w:rsid w:val="00C5347C"/>
    <w:rsid w:val="00C53861"/>
    <w:rsid w:val="00C57EEE"/>
    <w:rsid w:val="00C64AC4"/>
    <w:rsid w:val="00C77132"/>
    <w:rsid w:val="00C83DF8"/>
    <w:rsid w:val="00C84EC4"/>
    <w:rsid w:val="00C9288F"/>
    <w:rsid w:val="00CA030A"/>
    <w:rsid w:val="00CA4815"/>
    <w:rsid w:val="00CB5428"/>
    <w:rsid w:val="00CC2617"/>
    <w:rsid w:val="00CC358A"/>
    <w:rsid w:val="00CE6DF6"/>
    <w:rsid w:val="00D10A21"/>
    <w:rsid w:val="00D11A0D"/>
    <w:rsid w:val="00D16D58"/>
    <w:rsid w:val="00D25F64"/>
    <w:rsid w:val="00D316E3"/>
    <w:rsid w:val="00D3374F"/>
    <w:rsid w:val="00D516DB"/>
    <w:rsid w:val="00D52783"/>
    <w:rsid w:val="00D57CF1"/>
    <w:rsid w:val="00D61EEF"/>
    <w:rsid w:val="00D61F98"/>
    <w:rsid w:val="00D671EF"/>
    <w:rsid w:val="00D70D9F"/>
    <w:rsid w:val="00D818AD"/>
    <w:rsid w:val="00D87EAD"/>
    <w:rsid w:val="00DA30CF"/>
    <w:rsid w:val="00DA3CB1"/>
    <w:rsid w:val="00DB4665"/>
    <w:rsid w:val="00DB5B5E"/>
    <w:rsid w:val="00DC7A0B"/>
    <w:rsid w:val="00DC7EAE"/>
    <w:rsid w:val="00DD6B57"/>
    <w:rsid w:val="00DE451D"/>
    <w:rsid w:val="00DE667B"/>
    <w:rsid w:val="00E028D4"/>
    <w:rsid w:val="00E04136"/>
    <w:rsid w:val="00E1603D"/>
    <w:rsid w:val="00E17673"/>
    <w:rsid w:val="00E26ECF"/>
    <w:rsid w:val="00E4165A"/>
    <w:rsid w:val="00E4346C"/>
    <w:rsid w:val="00E44209"/>
    <w:rsid w:val="00E5475D"/>
    <w:rsid w:val="00E560B5"/>
    <w:rsid w:val="00E570A7"/>
    <w:rsid w:val="00E664F0"/>
    <w:rsid w:val="00E67D18"/>
    <w:rsid w:val="00E8215F"/>
    <w:rsid w:val="00E87B73"/>
    <w:rsid w:val="00E94B8E"/>
    <w:rsid w:val="00E967B6"/>
    <w:rsid w:val="00E9772B"/>
    <w:rsid w:val="00ED118B"/>
    <w:rsid w:val="00ED78DA"/>
    <w:rsid w:val="00EE2C4C"/>
    <w:rsid w:val="00EE5EA9"/>
    <w:rsid w:val="00EF2260"/>
    <w:rsid w:val="00F00E8D"/>
    <w:rsid w:val="00F13743"/>
    <w:rsid w:val="00F15ADF"/>
    <w:rsid w:val="00F24954"/>
    <w:rsid w:val="00F2711E"/>
    <w:rsid w:val="00F35878"/>
    <w:rsid w:val="00F5088C"/>
    <w:rsid w:val="00F51BE5"/>
    <w:rsid w:val="00F55824"/>
    <w:rsid w:val="00F6031F"/>
    <w:rsid w:val="00F6437C"/>
    <w:rsid w:val="00F83D22"/>
    <w:rsid w:val="00F84051"/>
    <w:rsid w:val="00F931CE"/>
    <w:rsid w:val="00FA559B"/>
    <w:rsid w:val="00FC17B9"/>
    <w:rsid w:val="00FC2BE1"/>
    <w:rsid w:val="00FC33DB"/>
    <w:rsid w:val="00FC61FF"/>
    <w:rsid w:val="00FD32DE"/>
    <w:rsid w:val="00FD3C8F"/>
    <w:rsid w:val="00FD5E32"/>
    <w:rsid w:val="00FD6ED7"/>
    <w:rsid w:val="00FE30DB"/>
    <w:rsid w:val="00FE3281"/>
    <w:rsid w:val="00FF4504"/>
    <w:rsid w:val="00FF66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E7A197"/>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80463"/>
    <w:rPr>
      <w:rFonts w:ascii="Times New Roman" w:hAnsi="Times New Roman" w:cs="Times New Roman"/>
    </w:rPr>
  </w:style>
  <w:style w:type="paragraph" w:styleId="Heading2">
    <w:name w:val="heading 2"/>
    <w:next w:val="Normal1"/>
    <w:link w:val="Heading2Char"/>
    <w:rsid w:val="00FF4504"/>
    <w:pPr>
      <w:keepNext/>
      <w:keepLines/>
      <w:pBdr>
        <w:top w:val="nil"/>
        <w:left w:val="nil"/>
        <w:bottom w:val="nil"/>
        <w:right w:val="nil"/>
        <w:between w:val="nil"/>
        <w:bar w:val="nil"/>
      </w:pBdr>
      <w:spacing w:before="200"/>
      <w:outlineLvl w:val="1"/>
    </w:pPr>
    <w:rPr>
      <w:rFonts w:ascii="Calibri" w:eastAsia="Arial Unicode MS" w:hAnsi="Arial Unicode MS" w:cs="Arial Unicode MS"/>
      <w:b/>
      <w:bCs/>
      <w:color w:val="4F81BD"/>
      <w:sz w:val="26"/>
      <w:szCs w:val="26"/>
      <w:u w:color="000000"/>
      <w:bdr w:val="nil"/>
    </w:rPr>
  </w:style>
  <w:style w:type="paragraph" w:styleId="Heading3">
    <w:name w:val="heading 3"/>
    <w:next w:val="Normal1"/>
    <w:link w:val="Heading3Char"/>
    <w:rsid w:val="00FF4504"/>
    <w:pPr>
      <w:keepNext/>
      <w:keepLines/>
      <w:pBdr>
        <w:top w:val="nil"/>
        <w:left w:val="nil"/>
        <w:bottom w:val="nil"/>
        <w:right w:val="nil"/>
        <w:between w:val="nil"/>
        <w:bar w:val="nil"/>
      </w:pBdr>
      <w:spacing w:before="280" w:after="80"/>
      <w:outlineLvl w:val="2"/>
    </w:pPr>
    <w:rPr>
      <w:rFonts w:ascii="Cambria" w:eastAsia="Arial Unicode MS" w:hAnsi="Arial Unicode MS" w:cs="Arial Unicode MS"/>
      <w:b/>
      <w:bCs/>
      <w:color w:val="000000"/>
      <w:sz w:val="28"/>
      <w:szCs w:val="28"/>
      <w:u w:color="000000"/>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F4504"/>
    <w:rPr>
      <w:rFonts w:ascii="Calibri" w:eastAsia="Arial Unicode MS" w:hAnsi="Arial Unicode MS" w:cs="Arial Unicode MS"/>
      <w:b/>
      <w:bCs/>
      <w:color w:val="4F81BD"/>
      <w:sz w:val="26"/>
      <w:szCs w:val="26"/>
      <w:u w:color="000000"/>
      <w:bdr w:val="nil"/>
    </w:rPr>
  </w:style>
  <w:style w:type="character" w:customStyle="1" w:styleId="Heading3Char">
    <w:name w:val="Heading 3 Char"/>
    <w:basedOn w:val="DefaultParagraphFont"/>
    <w:link w:val="Heading3"/>
    <w:rsid w:val="00FF4504"/>
    <w:rPr>
      <w:rFonts w:ascii="Cambria" w:eastAsia="Arial Unicode MS" w:hAnsi="Arial Unicode MS" w:cs="Arial Unicode MS"/>
      <w:b/>
      <w:bCs/>
      <w:color w:val="000000"/>
      <w:sz w:val="28"/>
      <w:szCs w:val="28"/>
      <w:u w:color="000000"/>
      <w:bdr w:val="nil"/>
    </w:rPr>
  </w:style>
  <w:style w:type="character" w:styleId="Hyperlink">
    <w:name w:val="Hyperlink"/>
    <w:rsid w:val="00FF4504"/>
    <w:rPr>
      <w:u w:val="single"/>
    </w:rPr>
  </w:style>
  <w:style w:type="paragraph" w:customStyle="1" w:styleId="Normal1">
    <w:name w:val="Normal1"/>
    <w:rsid w:val="00FF4504"/>
    <w:pPr>
      <w:pBdr>
        <w:top w:val="nil"/>
        <w:left w:val="nil"/>
        <w:bottom w:val="nil"/>
        <w:right w:val="nil"/>
        <w:between w:val="nil"/>
        <w:bar w:val="nil"/>
      </w:pBdr>
    </w:pPr>
    <w:rPr>
      <w:rFonts w:ascii="Cambria" w:eastAsia="Arial Unicode MS" w:hAnsi="Arial Unicode MS" w:cs="Arial Unicode MS"/>
      <w:color w:val="000000"/>
      <w:u w:color="000000"/>
      <w:bdr w:val="nil"/>
    </w:rPr>
  </w:style>
  <w:style w:type="paragraph" w:customStyle="1" w:styleId="Title1">
    <w:name w:val="Title 1"/>
    <w:rsid w:val="00FF4504"/>
    <w:pPr>
      <w:keepNext/>
      <w:pBdr>
        <w:top w:val="nil"/>
        <w:left w:val="nil"/>
        <w:bottom w:val="nil"/>
        <w:right w:val="nil"/>
        <w:between w:val="nil"/>
        <w:bar w:val="nil"/>
      </w:pBdr>
      <w:jc w:val="center"/>
      <w:outlineLvl w:val="2"/>
    </w:pPr>
    <w:rPr>
      <w:rFonts w:ascii="Didot" w:eastAsia="Didot" w:hAnsi="Didot" w:cs="Didot"/>
      <w:color w:val="489BC9"/>
      <w:sz w:val="68"/>
      <w:szCs w:val="68"/>
      <w:bdr w:val="nil"/>
    </w:rPr>
  </w:style>
  <w:style w:type="paragraph" w:styleId="NormalWeb">
    <w:name w:val="Normal (Web)"/>
    <w:uiPriority w:val="99"/>
    <w:rsid w:val="00FF4504"/>
    <w:pPr>
      <w:pBdr>
        <w:top w:val="nil"/>
        <w:left w:val="nil"/>
        <w:bottom w:val="nil"/>
        <w:right w:val="nil"/>
        <w:between w:val="nil"/>
        <w:bar w:val="nil"/>
      </w:pBdr>
      <w:spacing w:before="100" w:after="100"/>
    </w:pPr>
    <w:rPr>
      <w:rFonts w:ascii="Times New Roman" w:eastAsia="Times New Roman" w:hAnsi="Times New Roman" w:cs="Times New Roman"/>
      <w:color w:val="000000"/>
      <w:u w:color="000000"/>
      <w:bdr w:val="nil"/>
    </w:rPr>
  </w:style>
  <w:style w:type="paragraph" w:styleId="FootnoteText">
    <w:name w:val="footnote text"/>
    <w:link w:val="FootnoteTextChar"/>
    <w:rsid w:val="00FF4504"/>
    <w:pPr>
      <w:pBdr>
        <w:top w:val="nil"/>
        <w:left w:val="nil"/>
        <w:bottom w:val="nil"/>
        <w:right w:val="nil"/>
        <w:between w:val="nil"/>
        <w:bar w:val="nil"/>
      </w:pBdr>
    </w:pPr>
    <w:rPr>
      <w:rFonts w:ascii="Cambria" w:eastAsia="Cambria" w:hAnsi="Cambria" w:cs="Cambria"/>
      <w:color w:val="000000"/>
      <w:sz w:val="20"/>
      <w:szCs w:val="20"/>
      <w:u w:color="000000"/>
      <w:bdr w:val="nil"/>
    </w:rPr>
  </w:style>
  <w:style w:type="character" w:customStyle="1" w:styleId="FootnoteTextChar">
    <w:name w:val="Footnote Text Char"/>
    <w:basedOn w:val="DefaultParagraphFont"/>
    <w:link w:val="FootnoteText"/>
    <w:rsid w:val="00FF4504"/>
    <w:rPr>
      <w:rFonts w:ascii="Cambria" w:eastAsia="Cambria" w:hAnsi="Cambria" w:cs="Cambria"/>
      <w:color w:val="000000"/>
      <w:sz w:val="20"/>
      <w:szCs w:val="20"/>
      <w:u w:color="000000"/>
      <w:bdr w:val="nil"/>
    </w:rPr>
  </w:style>
  <w:style w:type="numbering" w:customStyle="1" w:styleId="List21">
    <w:name w:val="List 21"/>
    <w:basedOn w:val="NoList"/>
    <w:rsid w:val="00FF4504"/>
    <w:pPr>
      <w:numPr>
        <w:numId w:val="1"/>
      </w:numPr>
    </w:pPr>
  </w:style>
  <w:style w:type="paragraph" w:customStyle="1" w:styleId="HeadingRed">
    <w:name w:val="Heading Red"/>
    <w:next w:val="Normal"/>
    <w:rsid w:val="00FF4504"/>
    <w:pPr>
      <w:pBdr>
        <w:top w:val="nil"/>
        <w:left w:val="nil"/>
        <w:bottom w:val="nil"/>
        <w:right w:val="nil"/>
        <w:between w:val="nil"/>
        <w:bar w:val="nil"/>
      </w:pBdr>
      <w:outlineLvl w:val="1"/>
    </w:pPr>
    <w:rPr>
      <w:rFonts w:ascii="Helvetica" w:eastAsia="Arial Unicode MS" w:hAnsi="Arial Unicode MS" w:cs="Arial Unicode MS"/>
      <w:b/>
      <w:bCs/>
      <w:color w:val="C82505"/>
      <w:sz w:val="32"/>
      <w:szCs w:val="32"/>
      <w:bdr w:val="nil"/>
    </w:rPr>
  </w:style>
  <w:style w:type="numbering" w:customStyle="1" w:styleId="List31">
    <w:name w:val="List 31"/>
    <w:basedOn w:val="NoList"/>
    <w:rsid w:val="00FF4504"/>
    <w:pPr>
      <w:numPr>
        <w:numId w:val="16"/>
      </w:numPr>
    </w:pPr>
  </w:style>
  <w:style w:type="character" w:styleId="FootnoteReference">
    <w:name w:val="footnote reference"/>
    <w:basedOn w:val="DefaultParagraphFont"/>
    <w:uiPriority w:val="99"/>
    <w:unhideWhenUsed/>
    <w:rsid w:val="00FF4504"/>
    <w:rPr>
      <w:vertAlign w:val="superscript"/>
    </w:rPr>
  </w:style>
  <w:style w:type="paragraph" w:styleId="Header">
    <w:name w:val="header"/>
    <w:basedOn w:val="Normal"/>
    <w:link w:val="HeaderChar"/>
    <w:uiPriority w:val="99"/>
    <w:unhideWhenUsed/>
    <w:rsid w:val="00AD12B9"/>
    <w:pPr>
      <w:pBdr>
        <w:top w:val="nil"/>
        <w:left w:val="nil"/>
        <w:bottom w:val="nil"/>
        <w:right w:val="nil"/>
        <w:between w:val="nil"/>
        <w:bar w:val="nil"/>
      </w:pBdr>
      <w:tabs>
        <w:tab w:val="center" w:pos="4680"/>
        <w:tab w:val="right" w:pos="9360"/>
      </w:tabs>
    </w:pPr>
    <w:rPr>
      <w:rFonts w:eastAsia="Arial Unicode MS"/>
      <w:bdr w:val="nil"/>
    </w:rPr>
  </w:style>
  <w:style w:type="character" w:customStyle="1" w:styleId="HeaderChar">
    <w:name w:val="Header Char"/>
    <w:basedOn w:val="DefaultParagraphFont"/>
    <w:link w:val="Header"/>
    <w:uiPriority w:val="99"/>
    <w:rsid w:val="00AD12B9"/>
    <w:rPr>
      <w:rFonts w:ascii="Times New Roman" w:eastAsia="Arial Unicode MS" w:hAnsi="Times New Roman" w:cs="Times New Roman"/>
      <w:bdr w:val="nil"/>
    </w:rPr>
  </w:style>
  <w:style w:type="paragraph" w:styleId="Footer">
    <w:name w:val="footer"/>
    <w:basedOn w:val="Normal"/>
    <w:link w:val="FooterChar"/>
    <w:uiPriority w:val="99"/>
    <w:unhideWhenUsed/>
    <w:rsid w:val="00AD12B9"/>
    <w:pPr>
      <w:pBdr>
        <w:top w:val="nil"/>
        <w:left w:val="nil"/>
        <w:bottom w:val="nil"/>
        <w:right w:val="nil"/>
        <w:between w:val="nil"/>
        <w:bar w:val="nil"/>
      </w:pBdr>
      <w:tabs>
        <w:tab w:val="center" w:pos="4680"/>
        <w:tab w:val="right" w:pos="9360"/>
      </w:tabs>
    </w:pPr>
    <w:rPr>
      <w:rFonts w:eastAsia="Arial Unicode MS"/>
      <w:bdr w:val="nil"/>
    </w:rPr>
  </w:style>
  <w:style w:type="character" w:customStyle="1" w:styleId="FooterChar">
    <w:name w:val="Footer Char"/>
    <w:basedOn w:val="DefaultParagraphFont"/>
    <w:link w:val="Footer"/>
    <w:uiPriority w:val="99"/>
    <w:rsid w:val="00AD12B9"/>
    <w:rPr>
      <w:rFonts w:ascii="Times New Roman" w:eastAsia="Arial Unicode MS" w:hAnsi="Times New Roman" w:cs="Times New Roman"/>
      <w:bdr w:val="nil"/>
    </w:rPr>
  </w:style>
  <w:style w:type="paragraph" w:styleId="ListParagraph">
    <w:name w:val="List Paragraph"/>
    <w:basedOn w:val="Normal"/>
    <w:uiPriority w:val="34"/>
    <w:qFormat/>
    <w:rsid w:val="00510A63"/>
    <w:pPr>
      <w:ind w:left="720"/>
      <w:contextualSpacing/>
    </w:pPr>
    <w:rPr>
      <w:rFonts w:asciiTheme="minorHAnsi" w:hAnsiTheme="minorHAnsi" w:cstheme="minorBidi"/>
    </w:rPr>
  </w:style>
  <w:style w:type="character" w:customStyle="1" w:styleId="apple-converted-space">
    <w:name w:val="apple-converted-space"/>
    <w:basedOn w:val="DefaultParagraphFont"/>
    <w:rsid w:val="00E26ECF"/>
  </w:style>
  <w:style w:type="table" w:styleId="TableGrid">
    <w:name w:val="Table Grid"/>
    <w:basedOn w:val="TableNormal"/>
    <w:uiPriority w:val="39"/>
    <w:rsid w:val="00B6564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DA30CF"/>
    <w:rPr>
      <w:color w:val="954F72" w:themeColor="followedHyperlink"/>
      <w:u w:val="single"/>
    </w:rPr>
  </w:style>
  <w:style w:type="character" w:styleId="PageNumber">
    <w:name w:val="page number"/>
    <w:basedOn w:val="DefaultParagraphFont"/>
    <w:uiPriority w:val="99"/>
    <w:semiHidden/>
    <w:unhideWhenUsed/>
    <w:rsid w:val="00E8215F"/>
  </w:style>
  <w:style w:type="character" w:styleId="Emphasis">
    <w:name w:val="Emphasis"/>
    <w:basedOn w:val="DefaultParagraphFont"/>
    <w:uiPriority w:val="20"/>
    <w:qFormat/>
    <w:rsid w:val="00756C6C"/>
    <w:rPr>
      <w:i/>
      <w:iCs/>
    </w:rPr>
  </w:style>
  <w:style w:type="paragraph" w:styleId="BalloonText">
    <w:name w:val="Balloon Text"/>
    <w:basedOn w:val="Normal"/>
    <w:link w:val="BalloonTextChar"/>
    <w:uiPriority w:val="99"/>
    <w:semiHidden/>
    <w:unhideWhenUsed/>
    <w:rsid w:val="00D671EF"/>
    <w:rPr>
      <w:sz w:val="18"/>
      <w:szCs w:val="18"/>
    </w:rPr>
  </w:style>
  <w:style w:type="character" w:customStyle="1" w:styleId="BalloonTextChar">
    <w:name w:val="Balloon Text Char"/>
    <w:basedOn w:val="DefaultParagraphFont"/>
    <w:link w:val="BalloonText"/>
    <w:uiPriority w:val="99"/>
    <w:semiHidden/>
    <w:rsid w:val="00D671EF"/>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828292">
      <w:bodyDiv w:val="1"/>
      <w:marLeft w:val="0"/>
      <w:marRight w:val="0"/>
      <w:marTop w:val="0"/>
      <w:marBottom w:val="0"/>
      <w:divBdr>
        <w:top w:val="none" w:sz="0" w:space="0" w:color="auto"/>
        <w:left w:val="none" w:sz="0" w:space="0" w:color="auto"/>
        <w:bottom w:val="none" w:sz="0" w:space="0" w:color="auto"/>
        <w:right w:val="none" w:sz="0" w:space="0" w:color="auto"/>
      </w:divBdr>
    </w:div>
    <w:div w:id="155845447">
      <w:bodyDiv w:val="1"/>
      <w:marLeft w:val="0"/>
      <w:marRight w:val="0"/>
      <w:marTop w:val="0"/>
      <w:marBottom w:val="0"/>
      <w:divBdr>
        <w:top w:val="none" w:sz="0" w:space="0" w:color="auto"/>
        <w:left w:val="none" w:sz="0" w:space="0" w:color="auto"/>
        <w:bottom w:val="none" w:sz="0" w:space="0" w:color="auto"/>
        <w:right w:val="none" w:sz="0" w:space="0" w:color="auto"/>
      </w:divBdr>
    </w:div>
    <w:div w:id="165020949">
      <w:bodyDiv w:val="1"/>
      <w:marLeft w:val="0"/>
      <w:marRight w:val="0"/>
      <w:marTop w:val="0"/>
      <w:marBottom w:val="0"/>
      <w:divBdr>
        <w:top w:val="none" w:sz="0" w:space="0" w:color="auto"/>
        <w:left w:val="none" w:sz="0" w:space="0" w:color="auto"/>
        <w:bottom w:val="none" w:sz="0" w:space="0" w:color="auto"/>
        <w:right w:val="none" w:sz="0" w:space="0" w:color="auto"/>
      </w:divBdr>
    </w:div>
    <w:div w:id="195195664">
      <w:bodyDiv w:val="1"/>
      <w:marLeft w:val="0"/>
      <w:marRight w:val="0"/>
      <w:marTop w:val="0"/>
      <w:marBottom w:val="0"/>
      <w:divBdr>
        <w:top w:val="none" w:sz="0" w:space="0" w:color="auto"/>
        <w:left w:val="none" w:sz="0" w:space="0" w:color="auto"/>
        <w:bottom w:val="none" w:sz="0" w:space="0" w:color="auto"/>
        <w:right w:val="none" w:sz="0" w:space="0" w:color="auto"/>
      </w:divBdr>
    </w:div>
    <w:div w:id="198785036">
      <w:bodyDiv w:val="1"/>
      <w:marLeft w:val="0"/>
      <w:marRight w:val="0"/>
      <w:marTop w:val="0"/>
      <w:marBottom w:val="0"/>
      <w:divBdr>
        <w:top w:val="none" w:sz="0" w:space="0" w:color="auto"/>
        <w:left w:val="none" w:sz="0" w:space="0" w:color="auto"/>
        <w:bottom w:val="none" w:sz="0" w:space="0" w:color="auto"/>
        <w:right w:val="none" w:sz="0" w:space="0" w:color="auto"/>
      </w:divBdr>
    </w:div>
    <w:div w:id="198856900">
      <w:bodyDiv w:val="1"/>
      <w:marLeft w:val="0"/>
      <w:marRight w:val="0"/>
      <w:marTop w:val="0"/>
      <w:marBottom w:val="0"/>
      <w:divBdr>
        <w:top w:val="none" w:sz="0" w:space="0" w:color="auto"/>
        <w:left w:val="none" w:sz="0" w:space="0" w:color="auto"/>
        <w:bottom w:val="none" w:sz="0" w:space="0" w:color="auto"/>
        <w:right w:val="none" w:sz="0" w:space="0" w:color="auto"/>
      </w:divBdr>
    </w:div>
    <w:div w:id="245457313">
      <w:bodyDiv w:val="1"/>
      <w:marLeft w:val="0"/>
      <w:marRight w:val="0"/>
      <w:marTop w:val="0"/>
      <w:marBottom w:val="0"/>
      <w:divBdr>
        <w:top w:val="none" w:sz="0" w:space="0" w:color="auto"/>
        <w:left w:val="none" w:sz="0" w:space="0" w:color="auto"/>
        <w:bottom w:val="none" w:sz="0" w:space="0" w:color="auto"/>
        <w:right w:val="none" w:sz="0" w:space="0" w:color="auto"/>
      </w:divBdr>
    </w:div>
    <w:div w:id="262884109">
      <w:bodyDiv w:val="1"/>
      <w:marLeft w:val="0"/>
      <w:marRight w:val="0"/>
      <w:marTop w:val="0"/>
      <w:marBottom w:val="0"/>
      <w:divBdr>
        <w:top w:val="none" w:sz="0" w:space="0" w:color="auto"/>
        <w:left w:val="none" w:sz="0" w:space="0" w:color="auto"/>
        <w:bottom w:val="none" w:sz="0" w:space="0" w:color="auto"/>
        <w:right w:val="none" w:sz="0" w:space="0" w:color="auto"/>
      </w:divBdr>
    </w:div>
    <w:div w:id="383066970">
      <w:bodyDiv w:val="1"/>
      <w:marLeft w:val="0"/>
      <w:marRight w:val="0"/>
      <w:marTop w:val="0"/>
      <w:marBottom w:val="0"/>
      <w:divBdr>
        <w:top w:val="none" w:sz="0" w:space="0" w:color="auto"/>
        <w:left w:val="none" w:sz="0" w:space="0" w:color="auto"/>
        <w:bottom w:val="none" w:sz="0" w:space="0" w:color="auto"/>
        <w:right w:val="none" w:sz="0" w:space="0" w:color="auto"/>
      </w:divBdr>
      <w:divsChild>
        <w:div w:id="311716041">
          <w:marLeft w:val="0"/>
          <w:marRight w:val="0"/>
          <w:marTop w:val="0"/>
          <w:marBottom w:val="0"/>
          <w:divBdr>
            <w:top w:val="none" w:sz="0" w:space="0" w:color="auto"/>
            <w:left w:val="none" w:sz="0" w:space="0" w:color="auto"/>
            <w:bottom w:val="none" w:sz="0" w:space="0" w:color="auto"/>
            <w:right w:val="none" w:sz="0" w:space="0" w:color="auto"/>
          </w:divBdr>
          <w:divsChild>
            <w:div w:id="1292057237">
              <w:marLeft w:val="0"/>
              <w:marRight w:val="0"/>
              <w:marTop w:val="0"/>
              <w:marBottom w:val="0"/>
              <w:divBdr>
                <w:top w:val="none" w:sz="0" w:space="0" w:color="auto"/>
                <w:left w:val="none" w:sz="0" w:space="0" w:color="auto"/>
                <w:bottom w:val="none" w:sz="0" w:space="0" w:color="auto"/>
                <w:right w:val="none" w:sz="0" w:space="0" w:color="auto"/>
              </w:divBdr>
              <w:divsChild>
                <w:div w:id="2006005883">
                  <w:marLeft w:val="0"/>
                  <w:marRight w:val="0"/>
                  <w:marTop w:val="0"/>
                  <w:marBottom w:val="0"/>
                  <w:divBdr>
                    <w:top w:val="none" w:sz="0" w:space="0" w:color="auto"/>
                    <w:left w:val="none" w:sz="0" w:space="0" w:color="auto"/>
                    <w:bottom w:val="none" w:sz="0" w:space="0" w:color="auto"/>
                    <w:right w:val="none" w:sz="0" w:space="0" w:color="auto"/>
                  </w:divBdr>
                  <w:divsChild>
                    <w:div w:id="1509757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4438750">
      <w:bodyDiv w:val="1"/>
      <w:marLeft w:val="0"/>
      <w:marRight w:val="0"/>
      <w:marTop w:val="0"/>
      <w:marBottom w:val="0"/>
      <w:divBdr>
        <w:top w:val="none" w:sz="0" w:space="0" w:color="auto"/>
        <w:left w:val="none" w:sz="0" w:space="0" w:color="auto"/>
        <w:bottom w:val="none" w:sz="0" w:space="0" w:color="auto"/>
        <w:right w:val="none" w:sz="0" w:space="0" w:color="auto"/>
      </w:divBdr>
    </w:div>
    <w:div w:id="689844482">
      <w:bodyDiv w:val="1"/>
      <w:marLeft w:val="0"/>
      <w:marRight w:val="0"/>
      <w:marTop w:val="0"/>
      <w:marBottom w:val="0"/>
      <w:divBdr>
        <w:top w:val="none" w:sz="0" w:space="0" w:color="auto"/>
        <w:left w:val="none" w:sz="0" w:space="0" w:color="auto"/>
        <w:bottom w:val="none" w:sz="0" w:space="0" w:color="auto"/>
        <w:right w:val="none" w:sz="0" w:space="0" w:color="auto"/>
      </w:divBdr>
    </w:div>
    <w:div w:id="709183955">
      <w:bodyDiv w:val="1"/>
      <w:marLeft w:val="0"/>
      <w:marRight w:val="0"/>
      <w:marTop w:val="0"/>
      <w:marBottom w:val="0"/>
      <w:divBdr>
        <w:top w:val="none" w:sz="0" w:space="0" w:color="auto"/>
        <w:left w:val="none" w:sz="0" w:space="0" w:color="auto"/>
        <w:bottom w:val="none" w:sz="0" w:space="0" w:color="auto"/>
        <w:right w:val="none" w:sz="0" w:space="0" w:color="auto"/>
      </w:divBdr>
    </w:div>
    <w:div w:id="1025867166">
      <w:bodyDiv w:val="1"/>
      <w:marLeft w:val="0"/>
      <w:marRight w:val="0"/>
      <w:marTop w:val="0"/>
      <w:marBottom w:val="0"/>
      <w:divBdr>
        <w:top w:val="none" w:sz="0" w:space="0" w:color="auto"/>
        <w:left w:val="none" w:sz="0" w:space="0" w:color="auto"/>
        <w:bottom w:val="none" w:sz="0" w:space="0" w:color="auto"/>
        <w:right w:val="none" w:sz="0" w:space="0" w:color="auto"/>
      </w:divBdr>
    </w:div>
    <w:div w:id="1270116995">
      <w:bodyDiv w:val="1"/>
      <w:marLeft w:val="0"/>
      <w:marRight w:val="0"/>
      <w:marTop w:val="0"/>
      <w:marBottom w:val="0"/>
      <w:divBdr>
        <w:top w:val="none" w:sz="0" w:space="0" w:color="auto"/>
        <w:left w:val="none" w:sz="0" w:space="0" w:color="auto"/>
        <w:bottom w:val="none" w:sz="0" w:space="0" w:color="auto"/>
        <w:right w:val="none" w:sz="0" w:space="0" w:color="auto"/>
      </w:divBdr>
    </w:div>
    <w:div w:id="1401516636">
      <w:bodyDiv w:val="1"/>
      <w:marLeft w:val="0"/>
      <w:marRight w:val="0"/>
      <w:marTop w:val="0"/>
      <w:marBottom w:val="0"/>
      <w:divBdr>
        <w:top w:val="none" w:sz="0" w:space="0" w:color="auto"/>
        <w:left w:val="none" w:sz="0" w:space="0" w:color="auto"/>
        <w:bottom w:val="none" w:sz="0" w:space="0" w:color="auto"/>
        <w:right w:val="none" w:sz="0" w:space="0" w:color="auto"/>
      </w:divBdr>
    </w:div>
    <w:div w:id="1465730026">
      <w:bodyDiv w:val="1"/>
      <w:marLeft w:val="0"/>
      <w:marRight w:val="0"/>
      <w:marTop w:val="0"/>
      <w:marBottom w:val="0"/>
      <w:divBdr>
        <w:top w:val="none" w:sz="0" w:space="0" w:color="auto"/>
        <w:left w:val="none" w:sz="0" w:space="0" w:color="auto"/>
        <w:bottom w:val="none" w:sz="0" w:space="0" w:color="auto"/>
        <w:right w:val="none" w:sz="0" w:space="0" w:color="auto"/>
      </w:divBdr>
    </w:div>
    <w:div w:id="1501773464">
      <w:bodyDiv w:val="1"/>
      <w:marLeft w:val="0"/>
      <w:marRight w:val="0"/>
      <w:marTop w:val="0"/>
      <w:marBottom w:val="0"/>
      <w:divBdr>
        <w:top w:val="none" w:sz="0" w:space="0" w:color="auto"/>
        <w:left w:val="none" w:sz="0" w:space="0" w:color="auto"/>
        <w:bottom w:val="none" w:sz="0" w:space="0" w:color="auto"/>
        <w:right w:val="none" w:sz="0" w:space="0" w:color="auto"/>
      </w:divBdr>
    </w:div>
    <w:div w:id="1525558440">
      <w:bodyDiv w:val="1"/>
      <w:marLeft w:val="0"/>
      <w:marRight w:val="0"/>
      <w:marTop w:val="0"/>
      <w:marBottom w:val="0"/>
      <w:divBdr>
        <w:top w:val="none" w:sz="0" w:space="0" w:color="auto"/>
        <w:left w:val="none" w:sz="0" w:space="0" w:color="auto"/>
        <w:bottom w:val="none" w:sz="0" w:space="0" w:color="auto"/>
        <w:right w:val="none" w:sz="0" w:space="0" w:color="auto"/>
      </w:divBdr>
    </w:div>
    <w:div w:id="1590774118">
      <w:bodyDiv w:val="1"/>
      <w:marLeft w:val="0"/>
      <w:marRight w:val="0"/>
      <w:marTop w:val="0"/>
      <w:marBottom w:val="0"/>
      <w:divBdr>
        <w:top w:val="none" w:sz="0" w:space="0" w:color="auto"/>
        <w:left w:val="none" w:sz="0" w:space="0" w:color="auto"/>
        <w:bottom w:val="none" w:sz="0" w:space="0" w:color="auto"/>
        <w:right w:val="none" w:sz="0" w:space="0" w:color="auto"/>
      </w:divBdr>
    </w:div>
    <w:div w:id="1607496362">
      <w:bodyDiv w:val="1"/>
      <w:marLeft w:val="0"/>
      <w:marRight w:val="0"/>
      <w:marTop w:val="0"/>
      <w:marBottom w:val="0"/>
      <w:divBdr>
        <w:top w:val="none" w:sz="0" w:space="0" w:color="auto"/>
        <w:left w:val="none" w:sz="0" w:space="0" w:color="auto"/>
        <w:bottom w:val="none" w:sz="0" w:space="0" w:color="auto"/>
        <w:right w:val="none" w:sz="0" w:space="0" w:color="auto"/>
      </w:divBdr>
    </w:div>
    <w:div w:id="1646201847">
      <w:bodyDiv w:val="1"/>
      <w:marLeft w:val="0"/>
      <w:marRight w:val="0"/>
      <w:marTop w:val="0"/>
      <w:marBottom w:val="0"/>
      <w:divBdr>
        <w:top w:val="none" w:sz="0" w:space="0" w:color="auto"/>
        <w:left w:val="none" w:sz="0" w:space="0" w:color="auto"/>
        <w:bottom w:val="none" w:sz="0" w:space="0" w:color="auto"/>
        <w:right w:val="none" w:sz="0" w:space="0" w:color="auto"/>
      </w:divBdr>
    </w:div>
    <w:div w:id="1650862734">
      <w:bodyDiv w:val="1"/>
      <w:marLeft w:val="0"/>
      <w:marRight w:val="0"/>
      <w:marTop w:val="0"/>
      <w:marBottom w:val="0"/>
      <w:divBdr>
        <w:top w:val="none" w:sz="0" w:space="0" w:color="auto"/>
        <w:left w:val="none" w:sz="0" w:space="0" w:color="auto"/>
        <w:bottom w:val="none" w:sz="0" w:space="0" w:color="auto"/>
        <w:right w:val="none" w:sz="0" w:space="0" w:color="auto"/>
      </w:divBdr>
    </w:div>
    <w:div w:id="1755857266">
      <w:bodyDiv w:val="1"/>
      <w:marLeft w:val="0"/>
      <w:marRight w:val="0"/>
      <w:marTop w:val="0"/>
      <w:marBottom w:val="0"/>
      <w:divBdr>
        <w:top w:val="none" w:sz="0" w:space="0" w:color="auto"/>
        <w:left w:val="none" w:sz="0" w:space="0" w:color="auto"/>
        <w:bottom w:val="none" w:sz="0" w:space="0" w:color="auto"/>
        <w:right w:val="none" w:sz="0" w:space="0" w:color="auto"/>
      </w:divBdr>
      <w:divsChild>
        <w:div w:id="1534146813">
          <w:marLeft w:val="0"/>
          <w:marRight w:val="0"/>
          <w:marTop w:val="0"/>
          <w:marBottom w:val="0"/>
          <w:divBdr>
            <w:top w:val="none" w:sz="0" w:space="0" w:color="auto"/>
            <w:left w:val="none" w:sz="0" w:space="0" w:color="auto"/>
            <w:bottom w:val="none" w:sz="0" w:space="0" w:color="auto"/>
            <w:right w:val="none" w:sz="0" w:space="0" w:color="auto"/>
          </w:divBdr>
          <w:divsChild>
            <w:div w:id="471674989">
              <w:marLeft w:val="0"/>
              <w:marRight w:val="0"/>
              <w:marTop w:val="0"/>
              <w:marBottom w:val="0"/>
              <w:divBdr>
                <w:top w:val="none" w:sz="0" w:space="0" w:color="auto"/>
                <w:left w:val="none" w:sz="0" w:space="0" w:color="auto"/>
                <w:bottom w:val="none" w:sz="0" w:space="0" w:color="auto"/>
                <w:right w:val="none" w:sz="0" w:space="0" w:color="auto"/>
              </w:divBdr>
              <w:divsChild>
                <w:div w:id="69364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352844">
      <w:bodyDiv w:val="1"/>
      <w:marLeft w:val="0"/>
      <w:marRight w:val="0"/>
      <w:marTop w:val="0"/>
      <w:marBottom w:val="0"/>
      <w:divBdr>
        <w:top w:val="none" w:sz="0" w:space="0" w:color="auto"/>
        <w:left w:val="none" w:sz="0" w:space="0" w:color="auto"/>
        <w:bottom w:val="none" w:sz="0" w:space="0" w:color="auto"/>
        <w:right w:val="none" w:sz="0" w:space="0" w:color="auto"/>
      </w:divBdr>
    </w:div>
    <w:div w:id="1807772515">
      <w:bodyDiv w:val="1"/>
      <w:marLeft w:val="0"/>
      <w:marRight w:val="0"/>
      <w:marTop w:val="0"/>
      <w:marBottom w:val="0"/>
      <w:divBdr>
        <w:top w:val="none" w:sz="0" w:space="0" w:color="auto"/>
        <w:left w:val="none" w:sz="0" w:space="0" w:color="auto"/>
        <w:bottom w:val="none" w:sz="0" w:space="0" w:color="auto"/>
        <w:right w:val="none" w:sz="0" w:space="0" w:color="auto"/>
      </w:divBdr>
      <w:divsChild>
        <w:div w:id="1450590959">
          <w:marLeft w:val="0"/>
          <w:marRight w:val="0"/>
          <w:marTop w:val="0"/>
          <w:marBottom w:val="0"/>
          <w:divBdr>
            <w:top w:val="none" w:sz="0" w:space="0" w:color="auto"/>
            <w:left w:val="none" w:sz="0" w:space="0" w:color="auto"/>
            <w:bottom w:val="none" w:sz="0" w:space="0" w:color="auto"/>
            <w:right w:val="none" w:sz="0" w:space="0" w:color="auto"/>
          </w:divBdr>
          <w:divsChild>
            <w:div w:id="481166518">
              <w:marLeft w:val="0"/>
              <w:marRight w:val="0"/>
              <w:marTop w:val="0"/>
              <w:marBottom w:val="0"/>
              <w:divBdr>
                <w:top w:val="none" w:sz="0" w:space="0" w:color="auto"/>
                <w:left w:val="none" w:sz="0" w:space="0" w:color="auto"/>
                <w:bottom w:val="none" w:sz="0" w:space="0" w:color="auto"/>
                <w:right w:val="none" w:sz="0" w:space="0" w:color="auto"/>
              </w:divBdr>
              <w:divsChild>
                <w:div w:id="153684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994369">
      <w:bodyDiv w:val="1"/>
      <w:marLeft w:val="0"/>
      <w:marRight w:val="0"/>
      <w:marTop w:val="0"/>
      <w:marBottom w:val="0"/>
      <w:divBdr>
        <w:top w:val="none" w:sz="0" w:space="0" w:color="auto"/>
        <w:left w:val="none" w:sz="0" w:space="0" w:color="auto"/>
        <w:bottom w:val="none" w:sz="0" w:space="0" w:color="auto"/>
        <w:right w:val="none" w:sz="0" w:space="0" w:color="auto"/>
      </w:divBdr>
    </w:div>
    <w:div w:id="1930311729">
      <w:bodyDiv w:val="1"/>
      <w:marLeft w:val="0"/>
      <w:marRight w:val="0"/>
      <w:marTop w:val="0"/>
      <w:marBottom w:val="0"/>
      <w:divBdr>
        <w:top w:val="none" w:sz="0" w:space="0" w:color="auto"/>
        <w:left w:val="none" w:sz="0" w:space="0" w:color="auto"/>
        <w:bottom w:val="none" w:sz="0" w:space="0" w:color="auto"/>
        <w:right w:val="none" w:sz="0" w:space="0" w:color="auto"/>
      </w:divBdr>
    </w:div>
    <w:div w:id="1944338645">
      <w:bodyDiv w:val="1"/>
      <w:marLeft w:val="0"/>
      <w:marRight w:val="0"/>
      <w:marTop w:val="0"/>
      <w:marBottom w:val="0"/>
      <w:divBdr>
        <w:top w:val="none" w:sz="0" w:space="0" w:color="auto"/>
        <w:left w:val="none" w:sz="0" w:space="0" w:color="auto"/>
        <w:bottom w:val="none" w:sz="0" w:space="0" w:color="auto"/>
        <w:right w:val="none" w:sz="0" w:space="0" w:color="auto"/>
      </w:divBdr>
    </w:div>
    <w:div w:id="2025550984">
      <w:bodyDiv w:val="1"/>
      <w:marLeft w:val="0"/>
      <w:marRight w:val="0"/>
      <w:marTop w:val="0"/>
      <w:marBottom w:val="0"/>
      <w:divBdr>
        <w:top w:val="none" w:sz="0" w:space="0" w:color="auto"/>
        <w:left w:val="none" w:sz="0" w:space="0" w:color="auto"/>
        <w:bottom w:val="none" w:sz="0" w:space="0" w:color="auto"/>
        <w:right w:val="none" w:sz="0" w:space="0" w:color="auto"/>
      </w:divBdr>
      <w:divsChild>
        <w:div w:id="18704231">
          <w:marLeft w:val="0"/>
          <w:marRight w:val="0"/>
          <w:marTop w:val="0"/>
          <w:marBottom w:val="0"/>
          <w:divBdr>
            <w:top w:val="none" w:sz="0" w:space="0" w:color="auto"/>
            <w:left w:val="none" w:sz="0" w:space="0" w:color="auto"/>
            <w:bottom w:val="none" w:sz="0" w:space="0" w:color="auto"/>
            <w:right w:val="none" w:sz="0" w:space="0" w:color="auto"/>
          </w:divBdr>
          <w:divsChild>
            <w:div w:id="13388595">
              <w:marLeft w:val="0"/>
              <w:marRight w:val="0"/>
              <w:marTop w:val="0"/>
              <w:marBottom w:val="0"/>
              <w:divBdr>
                <w:top w:val="none" w:sz="0" w:space="0" w:color="auto"/>
                <w:left w:val="none" w:sz="0" w:space="0" w:color="auto"/>
                <w:bottom w:val="none" w:sz="0" w:space="0" w:color="auto"/>
                <w:right w:val="none" w:sz="0" w:space="0" w:color="auto"/>
              </w:divBdr>
              <w:divsChild>
                <w:div w:id="1673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110558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tosborne@email.arizona.edu" TargetMode="Externa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137</TotalTime>
  <Pages>4</Pages>
  <Words>1728</Words>
  <Characters>9852</Characters>
  <Application>Microsoft Macintosh Word</Application>
  <DocSecurity>0</DocSecurity>
  <Lines>82</Lines>
  <Paragraphs>23</Paragraphs>
  <ScaleCrop>false</ScaleCrop>
  <HeadingPairs>
    <vt:vector size="4" baseType="variant">
      <vt:variant>
        <vt:lpstr>Title</vt:lpstr>
      </vt:variant>
      <vt:variant>
        <vt:i4>1</vt:i4>
      </vt:variant>
      <vt:variant>
        <vt:lpstr>Headings</vt:lpstr>
      </vt:variant>
      <vt:variant>
        <vt:i4>9</vt:i4>
      </vt:variant>
    </vt:vector>
  </HeadingPairs>
  <TitlesOfParts>
    <vt:vector size="10" baseType="lpstr">
      <vt:lpstr/>
      <vt:lpstr>        SUPPORTING THE ROLE OF LOCAL AND INDIGENOUS PEOPLES</vt:lpstr>
      <vt:lpstr>        Local and Indigenous peoples play a critical role in addressing climate change. </vt:lpstr>
      <vt:lpstr>        DEMARCATION OF INDIGENOUS LAND</vt:lpstr>
      <vt:lpstr>        Indigenous lands have been proven to have an inhibitory effect on deforestation </vt:lpstr>
      <vt:lpstr>        </vt:lpstr>
      <vt:lpstr>        LOCAL AND INDIGENOUS-LED FOREST MANAGEMENT </vt:lpstr>
      <vt:lpstr>        ZERO DEFORESTATION POLICY</vt:lpstr>
      <vt:lpstr>        BAN AMAZON CRUDE</vt:lpstr>
      <vt:lpstr>        DIVESTMENT AND DEFORESTATION-FREE INVESTMENT</vt:lpstr>
    </vt:vector>
  </TitlesOfParts>
  <LinksUpToDate>false</LinksUpToDate>
  <CharactersWithSpaces>11557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Osborne, Tracey N - (tosborne)</dc:creator>
  <cp:keywords/>
  <dc:description/>
  <cp:lastModifiedBy>Osborne, Tracey N - (tosborne)</cp:lastModifiedBy>
  <cp:revision>9</cp:revision>
  <dcterms:created xsi:type="dcterms:W3CDTF">2019-08-30T02:41:00Z</dcterms:created>
  <dcterms:modified xsi:type="dcterms:W3CDTF">2019-08-30T05:59:00Z</dcterms:modified>
</cp:coreProperties>
</file>