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BC" w:rsidRDefault="004C1DBC" w:rsidP="004C1DBC">
      <w:pPr>
        <w:jc w:val="center"/>
        <w:rPr>
          <w:rFonts w:ascii="Arial" w:hAnsi="Arial" w:cs="Arial"/>
          <w:szCs w:val="20"/>
        </w:rPr>
      </w:pPr>
    </w:p>
    <w:p w:rsidR="004C1DBC" w:rsidRDefault="004C1DBC" w:rsidP="004C1DBC">
      <w:pPr>
        <w:jc w:val="center"/>
        <w:rPr>
          <w:rFonts w:ascii="Arial" w:hAnsi="Arial" w:cs="Arial"/>
          <w:szCs w:val="20"/>
        </w:rPr>
      </w:pPr>
      <w:r>
        <w:rPr>
          <w:rFonts w:ascii="Arial" w:hAnsi="Arial" w:cs="Arial"/>
          <w:szCs w:val="20"/>
        </w:rPr>
        <w:t xml:space="preserve">Comments by Maersk Line to the California Air Resources Board </w:t>
      </w:r>
    </w:p>
    <w:p w:rsidR="004C1DBC" w:rsidRDefault="004C1DBC" w:rsidP="004C1DBC">
      <w:pPr>
        <w:jc w:val="center"/>
        <w:rPr>
          <w:rFonts w:ascii="Arial" w:hAnsi="Arial" w:cs="Arial"/>
          <w:szCs w:val="20"/>
        </w:rPr>
      </w:pPr>
      <w:r>
        <w:rPr>
          <w:rFonts w:ascii="Arial" w:hAnsi="Arial" w:cs="Arial"/>
          <w:szCs w:val="20"/>
        </w:rPr>
        <w:t>In Response to OGV11</w:t>
      </w:r>
    </w:p>
    <w:p w:rsidR="004C1DBC" w:rsidRPr="004C1DBC" w:rsidRDefault="004C1DBC" w:rsidP="004C1DBC">
      <w:pPr>
        <w:jc w:val="center"/>
        <w:rPr>
          <w:rFonts w:ascii="Arial" w:hAnsi="Arial" w:cs="Arial"/>
          <w:szCs w:val="20"/>
        </w:rPr>
      </w:pPr>
    </w:p>
    <w:p w:rsidR="004C1DBC" w:rsidRDefault="004C1DBC" w:rsidP="004C1DBC">
      <w:pPr>
        <w:jc w:val="center"/>
        <w:rPr>
          <w:rFonts w:ascii="Arial" w:hAnsi="Arial" w:cs="Arial"/>
          <w:szCs w:val="20"/>
        </w:rPr>
      </w:pPr>
      <w:r w:rsidRPr="004C1DBC">
        <w:rPr>
          <w:rFonts w:ascii="Arial" w:hAnsi="Arial" w:cs="Arial"/>
          <w:szCs w:val="20"/>
        </w:rPr>
        <w:t>Notice of Public Availability of Modified Text for Amendments to the Regulations for Fuel Sulfur and other Operational Requirements for Ocean-Going Vessels Within California Waters and 24 Nautical Miles of the California Baseline</w:t>
      </w:r>
    </w:p>
    <w:p w:rsidR="004C1DBC" w:rsidRDefault="004C1DBC" w:rsidP="004C1DBC">
      <w:pPr>
        <w:jc w:val="center"/>
        <w:rPr>
          <w:rFonts w:ascii="Arial" w:hAnsi="Arial" w:cs="Arial"/>
          <w:szCs w:val="20"/>
        </w:rPr>
      </w:pPr>
    </w:p>
    <w:p w:rsidR="004C1DBC" w:rsidRPr="004C1DBC" w:rsidRDefault="004C1DBC" w:rsidP="004C1DBC">
      <w:pPr>
        <w:ind w:right="-720"/>
        <w:jc w:val="center"/>
        <w:rPr>
          <w:rFonts w:ascii="Arial" w:hAnsi="Arial" w:cs="Arial"/>
          <w:sz w:val="22"/>
          <w:szCs w:val="22"/>
        </w:rPr>
      </w:pPr>
      <w:r w:rsidRPr="004C1DBC">
        <w:rPr>
          <w:rFonts w:ascii="Arial" w:hAnsi="Arial" w:cs="Arial"/>
          <w:sz w:val="22"/>
          <w:szCs w:val="22"/>
        </w:rPr>
        <w:t>Aug. 9, 2011</w:t>
      </w:r>
    </w:p>
    <w:p w:rsidR="004C1DBC" w:rsidRPr="004C1DBC" w:rsidRDefault="004C1DBC" w:rsidP="004C1DBC">
      <w:pPr>
        <w:ind w:right="-720"/>
        <w:jc w:val="center"/>
        <w:rPr>
          <w:rFonts w:ascii="Arial" w:hAnsi="Arial" w:cs="Arial"/>
          <w:sz w:val="22"/>
          <w:szCs w:val="22"/>
        </w:rPr>
      </w:pP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 xml:space="preserve">RE: Support for OGV Fuel Rule Modifications and Future Considerations </w:t>
      </w: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 xml:space="preserve">Maersk Line appreciates this opportunity to provide comments on the modifications to the OGV Fuel Rule. We appreciate and support CARB's efforts to find a workable solution to balance the US Navy's concerns about use of the missile range, the need to achieve air quality goals, and also consider industry operational and cost impacts. </w:t>
      </w: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 xml:space="preserve">Maersk Line vessels have been switching fuels for over five years, starting in March 2006 in Los Angeles. The program has been expanded since then to include five US and Canadian ports as well as Hong Kong, New Zealand and Singapore. </w:t>
      </w: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 xml:space="preserve">Our experience clearly demonstrates that simplicity and alignment with international standards are highly desirable for achieving the best results and avoiding confusion on requirements. Simplicity and clarity of fuel requirements are especially helpful during vessel redeployments and ensuring that first-time callers have the right fuels and know when and where to use them. </w:t>
      </w:r>
    </w:p>
    <w:p w:rsidR="004C1DBC" w:rsidRPr="004C1DBC" w:rsidRDefault="004C1DBC" w:rsidP="004C1DBC">
      <w:pPr>
        <w:autoSpaceDE w:val="0"/>
        <w:autoSpaceDN w:val="0"/>
        <w:adjustRightInd w:val="0"/>
        <w:spacing w:before="100" w:after="100"/>
        <w:ind w:right="-720"/>
        <w:rPr>
          <w:sz w:val="22"/>
          <w:szCs w:val="22"/>
        </w:rPr>
      </w:pPr>
      <w:r w:rsidRPr="004C1DBC">
        <w:rPr>
          <w:rFonts w:ascii="Arial" w:hAnsi="Arial" w:cs="Arial"/>
          <w:sz w:val="22"/>
          <w:szCs w:val="22"/>
        </w:rPr>
        <w:t xml:space="preserve">Thus we strongly support the plan to better align the timing of the lower sulfur phase of the California OGV fuel rule with the upcoming North American ECA. We hope that future studies will allow even more alignment, moving the 0.1%S fuel requirement to January 2015 (aligned with the ECA) rather than 2014, as currently approved. </w:t>
      </w: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 xml:space="preserve">Until the OGV fuel rule and the ECA requirements are fully aligned, vessels visiting California must carry 3 different fuels (Ocean, ECA &amp; CA), increasing costs and reducing </w:t>
      </w:r>
      <w:proofErr w:type="spellStart"/>
      <w:r w:rsidRPr="004C1DBC">
        <w:rPr>
          <w:rFonts w:ascii="Arial" w:hAnsi="Arial" w:cs="Arial"/>
          <w:sz w:val="22"/>
          <w:szCs w:val="22"/>
        </w:rPr>
        <w:t>tankage</w:t>
      </w:r>
      <w:proofErr w:type="spellEnd"/>
      <w:r w:rsidRPr="004C1DBC">
        <w:rPr>
          <w:rFonts w:ascii="Arial" w:hAnsi="Arial" w:cs="Arial"/>
          <w:sz w:val="22"/>
          <w:szCs w:val="22"/>
        </w:rPr>
        <w:t xml:space="preserve"> available for each grade. Thus having a single fuel standard that aligns with the international standards and the North American ECA is highly preferable. Ideally, the CARB OGV and ECA requirements for 0.1% sulfur fuel would become effective on the same date -- January 1, 2015.</w:t>
      </w:r>
    </w:p>
    <w:p w:rsidR="004C1DBC" w:rsidRPr="004C1DBC" w:rsidRDefault="004C1DBC" w:rsidP="004C1DBC">
      <w:pPr>
        <w:autoSpaceDE w:val="0"/>
        <w:autoSpaceDN w:val="0"/>
        <w:adjustRightInd w:val="0"/>
        <w:spacing w:before="100" w:after="100"/>
        <w:ind w:right="-720"/>
        <w:rPr>
          <w:sz w:val="22"/>
          <w:szCs w:val="22"/>
        </w:rPr>
      </w:pPr>
      <w:r w:rsidRPr="004C1DBC">
        <w:rPr>
          <w:rFonts w:ascii="Arial" w:hAnsi="Arial" w:cs="Arial"/>
          <w:sz w:val="22"/>
          <w:szCs w:val="22"/>
        </w:rPr>
        <w:t xml:space="preserve">For future evaluations, we also note that the emissions reductions achieved by the OGV Fuel program are probably better than has been calculated. Our understanding is that the emissions inventories include only the reductions due to low sulfur fuel use within the 24nm zone. This does not take credit for the reductions outside the zone and during the transitions. This transition lasts from 45 min to several hours, and must be completed before entering the 24nm zone, and initiated only after leaving the zone.  </w:t>
      </w:r>
    </w:p>
    <w:p w:rsid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Thank you again for this opportunity to provide input. Please feel free to call on us if we can assist you or provide further information on our fuel switch programs or other issues.</w:t>
      </w: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Sincerely,</w:t>
      </w:r>
    </w:p>
    <w:p w:rsidR="004C1DBC" w:rsidRPr="004C1DBC" w:rsidRDefault="004C1DBC" w:rsidP="004C1DBC">
      <w:pPr>
        <w:autoSpaceDE w:val="0"/>
        <w:autoSpaceDN w:val="0"/>
        <w:adjustRightInd w:val="0"/>
        <w:spacing w:before="100" w:after="100"/>
        <w:ind w:right="-720"/>
        <w:rPr>
          <w:rFonts w:ascii="Arial" w:hAnsi="Arial" w:cs="Arial"/>
          <w:sz w:val="22"/>
          <w:szCs w:val="22"/>
        </w:rPr>
      </w:pP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Lee Kindberg, Ph.D.</w:t>
      </w:r>
    </w:p>
    <w:p w:rsidR="004C1DBC" w:rsidRPr="004C1DBC" w:rsidRDefault="004C1DBC" w:rsidP="004C1DBC">
      <w:pPr>
        <w:autoSpaceDE w:val="0"/>
        <w:autoSpaceDN w:val="0"/>
        <w:adjustRightInd w:val="0"/>
        <w:spacing w:before="100" w:after="100"/>
        <w:ind w:right="-720"/>
        <w:rPr>
          <w:rFonts w:ascii="Arial" w:hAnsi="Arial" w:cs="Arial"/>
          <w:sz w:val="22"/>
          <w:szCs w:val="22"/>
        </w:rPr>
      </w:pPr>
      <w:r w:rsidRPr="004C1DBC">
        <w:rPr>
          <w:rFonts w:ascii="Arial" w:hAnsi="Arial" w:cs="Arial"/>
          <w:sz w:val="22"/>
          <w:szCs w:val="22"/>
        </w:rPr>
        <w:t>Director, Environment &amp; Sustainability, North America</w:t>
      </w:r>
    </w:p>
    <w:sectPr w:rsidR="004C1DBC" w:rsidRPr="004C1DBC" w:rsidSect="00423EE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152"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5B" w:rsidRDefault="00EB5F5B">
      <w:r>
        <w:separator/>
      </w:r>
    </w:p>
  </w:endnote>
  <w:endnote w:type="continuationSeparator" w:id="0">
    <w:p w:rsidR="00EB5F5B" w:rsidRDefault="00EB5F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A" w:rsidRDefault="00E90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A" w:rsidRDefault="00E900EA">
    <w:pPr>
      <w:pStyle w:val="Footer"/>
    </w:pPr>
    <w:r>
      <w:tab/>
      <w:t>9300 Arrowpoint Boulevard</w:t>
    </w:r>
  </w:p>
  <w:p w:rsidR="00E900EA" w:rsidRDefault="00E900EA">
    <w:pPr>
      <w:pStyle w:val="Footer"/>
    </w:pPr>
    <w:r>
      <w:tab/>
      <w:t>Charlotte, North Carolina 28273-8139</w:t>
    </w:r>
  </w:p>
  <w:p w:rsidR="00E900EA" w:rsidRDefault="00E90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A" w:rsidRDefault="00E90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5B" w:rsidRDefault="00EB5F5B">
      <w:r>
        <w:separator/>
      </w:r>
    </w:p>
  </w:footnote>
  <w:footnote w:type="continuationSeparator" w:id="0">
    <w:p w:rsidR="00EB5F5B" w:rsidRDefault="00EB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A" w:rsidRDefault="00E90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BC" w:rsidRDefault="00F053D2" w:rsidP="00432388">
    <w:pPr>
      <w:pStyle w:val="Header"/>
      <w:jc w:val="center"/>
      <w:rPr>
        <w:rFonts w:ascii="Verdana" w:hAnsi="Verdana" w:cs="Verdana"/>
        <w:sz w:val="22"/>
        <w:szCs w:val="22"/>
      </w:rPr>
    </w:pPr>
    <w:r>
      <w:rPr>
        <w:rFonts w:ascii="Verdana" w:hAnsi="Verdana" w:cs="Verdana"/>
        <w:noProof/>
        <w:sz w:val="22"/>
        <w:szCs w:val="22"/>
      </w:rPr>
      <w:drawing>
        <wp:inline distT="0" distB="0" distL="0" distR="0">
          <wp:extent cx="2114550" cy="476250"/>
          <wp:effectExtent l="19050" t="0" r="0" b="0"/>
          <wp:docPr id="1" name="Picture 1" descr="Maersk_Line_Logo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rsk_Line_Logo_2010"/>
                  <pic:cNvPicPr>
                    <a:picLocks noChangeAspect="1" noChangeArrowheads="1"/>
                  </pic:cNvPicPr>
                </pic:nvPicPr>
                <pic:blipFill>
                  <a:blip r:embed="rId1"/>
                  <a:srcRect/>
                  <a:stretch>
                    <a:fillRect/>
                  </a:stretch>
                </pic:blipFill>
                <pic:spPr bwMode="auto">
                  <a:xfrm>
                    <a:off x="0" y="0"/>
                    <a:ext cx="2114550" cy="476250"/>
                  </a:xfrm>
                  <a:prstGeom prst="rect">
                    <a:avLst/>
                  </a:prstGeom>
                  <a:noFill/>
                  <a:ln w="9525">
                    <a:noFill/>
                    <a:miter lim="800000"/>
                    <a:headEnd/>
                    <a:tailEnd/>
                  </a:ln>
                </pic:spPr>
              </pic:pic>
            </a:graphicData>
          </a:graphic>
        </wp:inline>
      </w:drawing>
    </w:r>
  </w:p>
  <w:p w:rsidR="00D224BC" w:rsidRDefault="00D224BC" w:rsidP="00432388">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EA" w:rsidRDefault="00E90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49192"/>
    <w:lvl w:ilvl="0">
      <w:start w:val="1"/>
      <w:numFmt w:val="decimal"/>
      <w:lvlText w:val="%1."/>
      <w:lvlJc w:val="left"/>
      <w:pPr>
        <w:tabs>
          <w:tab w:val="num" w:pos="1800"/>
        </w:tabs>
        <w:ind w:left="1800" w:hanging="360"/>
      </w:pPr>
    </w:lvl>
  </w:abstractNum>
  <w:abstractNum w:abstractNumId="1">
    <w:nsid w:val="FFFFFF7D"/>
    <w:multiLevelType w:val="singleLevel"/>
    <w:tmpl w:val="7A8240FE"/>
    <w:lvl w:ilvl="0">
      <w:start w:val="1"/>
      <w:numFmt w:val="decimal"/>
      <w:lvlText w:val="%1."/>
      <w:lvlJc w:val="left"/>
      <w:pPr>
        <w:tabs>
          <w:tab w:val="num" w:pos="1440"/>
        </w:tabs>
        <w:ind w:left="1440" w:hanging="360"/>
      </w:pPr>
    </w:lvl>
  </w:abstractNum>
  <w:abstractNum w:abstractNumId="2">
    <w:nsid w:val="FFFFFF7E"/>
    <w:multiLevelType w:val="singleLevel"/>
    <w:tmpl w:val="3B14C0EE"/>
    <w:lvl w:ilvl="0">
      <w:start w:val="1"/>
      <w:numFmt w:val="decimal"/>
      <w:lvlText w:val="%1."/>
      <w:lvlJc w:val="left"/>
      <w:pPr>
        <w:tabs>
          <w:tab w:val="num" w:pos="1080"/>
        </w:tabs>
        <w:ind w:left="1080" w:hanging="360"/>
      </w:pPr>
    </w:lvl>
  </w:abstractNum>
  <w:abstractNum w:abstractNumId="3">
    <w:nsid w:val="FFFFFF7F"/>
    <w:multiLevelType w:val="singleLevel"/>
    <w:tmpl w:val="B96629C0"/>
    <w:lvl w:ilvl="0">
      <w:start w:val="1"/>
      <w:numFmt w:val="decimal"/>
      <w:lvlText w:val="%1."/>
      <w:lvlJc w:val="left"/>
      <w:pPr>
        <w:tabs>
          <w:tab w:val="num" w:pos="720"/>
        </w:tabs>
        <w:ind w:left="720" w:hanging="360"/>
      </w:pPr>
    </w:lvl>
  </w:abstractNum>
  <w:abstractNum w:abstractNumId="4">
    <w:nsid w:val="FFFFFF80"/>
    <w:multiLevelType w:val="singleLevel"/>
    <w:tmpl w:val="9FAE7C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A46F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8C47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6054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D6393A"/>
    <w:lvl w:ilvl="0">
      <w:start w:val="1"/>
      <w:numFmt w:val="decimal"/>
      <w:lvlText w:val="%1."/>
      <w:lvlJc w:val="left"/>
      <w:pPr>
        <w:tabs>
          <w:tab w:val="num" w:pos="360"/>
        </w:tabs>
        <w:ind w:left="360" w:hanging="360"/>
      </w:pPr>
    </w:lvl>
  </w:abstractNum>
  <w:abstractNum w:abstractNumId="9">
    <w:nsid w:val="FFFFFF89"/>
    <w:multiLevelType w:val="singleLevel"/>
    <w:tmpl w:val="8E3C1D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rsids>
    <w:rsidRoot w:val="00E56C69"/>
    <w:rsid w:val="00043C5E"/>
    <w:rsid w:val="00073ED6"/>
    <w:rsid w:val="00081D1C"/>
    <w:rsid w:val="000A792A"/>
    <w:rsid w:val="000D605A"/>
    <w:rsid w:val="000F5593"/>
    <w:rsid w:val="00137822"/>
    <w:rsid w:val="00145328"/>
    <w:rsid w:val="001D7FC5"/>
    <w:rsid w:val="001F1B19"/>
    <w:rsid w:val="001F5AB4"/>
    <w:rsid w:val="00284381"/>
    <w:rsid w:val="002E2405"/>
    <w:rsid w:val="002F3CAC"/>
    <w:rsid w:val="003A29C6"/>
    <w:rsid w:val="003A51F0"/>
    <w:rsid w:val="003B4A61"/>
    <w:rsid w:val="003F220A"/>
    <w:rsid w:val="00423EED"/>
    <w:rsid w:val="00424E17"/>
    <w:rsid w:val="00432388"/>
    <w:rsid w:val="00482BDF"/>
    <w:rsid w:val="004C1DBC"/>
    <w:rsid w:val="004D61FE"/>
    <w:rsid w:val="004E51D2"/>
    <w:rsid w:val="00530A30"/>
    <w:rsid w:val="0053410C"/>
    <w:rsid w:val="006072D7"/>
    <w:rsid w:val="00607A53"/>
    <w:rsid w:val="006926F4"/>
    <w:rsid w:val="006E0B2B"/>
    <w:rsid w:val="00743E40"/>
    <w:rsid w:val="0074437A"/>
    <w:rsid w:val="00762869"/>
    <w:rsid w:val="007C1935"/>
    <w:rsid w:val="007C1F78"/>
    <w:rsid w:val="007E45C1"/>
    <w:rsid w:val="008D533A"/>
    <w:rsid w:val="00907782"/>
    <w:rsid w:val="0093077E"/>
    <w:rsid w:val="00946EED"/>
    <w:rsid w:val="009537D8"/>
    <w:rsid w:val="00982849"/>
    <w:rsid w:val="00983C56"/>
    <w:rsid w:val="009A2BA3"/>
    <w:rsid w:val="00A42AE6"/>
    <w:rsid w:val="00A92733"/>
    <w:rsid w:val="00B33DDD"/>
    <w:rsid w:val="00B56A66"/>
    <w:rsid w:val="00B733DE"/>
    <w:rsid w:val="00B80A17"/>
    <w:rsid w:val="00B839D2"/>
    <w:rsid w:val="00BB7A5A"/>
    <w:rsid w:val="00BF190F"/>
    <w:rsid w:val="00C7245E"/>
    <w:rsid w:val="00CB0CCE"/>
    <w:rsid w:val="00CD3D34"/>
    <w:rsid w:val="00CE4B3F"/>
    <w:rsid w:val="00CE6787"/>
    <w:rsid w:val="00D15B3F"/>
    <w:rsid w:val="00D224BC"/>
    <w:rsid w:val="00DA5B6E"/>
    <w:rsid w:val="00DA73B9"/>
    <w:rsid w:val="00DD0450"/>
    <w:rsid w:val="00DF1116"/>
    <w:rsid w:val="00E25E02"/>
    <w:rsid w:val="00E56B3C"/>
    <w:rsid w:val="00E56C69"/>
    <w:rsid w:val="00E87638"/>
    <w:rsid w:val="00E900EA"/>
    <w:rsid w:val="00E93CF8"/>
    <w:rsid w:val="00EB5F5B"/>
    <w:rsid w:val="00EF5432"/>
    <w:rsid w:val="00F053D2"/>
    <w:rsid w:val="00F85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E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077E"/>
    <w:pPr>
      <w:widowControl w:val="0"/>
      <w:autoSpaceDE w:val="0"/>
      <w:autoSpaceDN w:val="0"/>
      <w:adjustRightInd w:val="0"/>
    </w:pPr>
    <w:rPr>
      <w:color w:val="000000"/>
      <w:sz w:val="24"/>
      <w:szCs w:val="24"/>
    </w:rPr>
  </w:style>
  <w:style w:type="paragraph" w:customStyle="1" w:styleId="CM1">
    <w:name w:val="CM1"/>
    <w:basedOn w:val="Default"/>
    <w:next w:val="Default"/>
    <w:rsid w:val="0093077E"/>
    <w:rPr>
      <w:color w:val="auto"/>
    </w:rPr>
  </w:style>
  <w:style w:type="paragraph" w:customStyle="1" w:styleId="CM4">
    <w:name w:val="CM4"/>
    <w:basedOn w:val="Default"/>
    <w:next w:val="Default"/>
    <w:rsid w:val="0093077E"/>
    <w:pPr>
      <w:spacing w:after="275"/>
    </w:pPr>
    <w:rPr>
      <w:color w:val="auto"/>
    </w:rPr>
  </w:style>
  <w:style w:type="paragraph" w:customStyle="1" w:styleId="CM2">
    <w:name w:val="CM2"/>
    <w:basedOn w:val="Default"/>
    <w:next w:val="Default"/>
    <w:rsid w:val="0093077E"/>
    <w:pPr>
      <w:spacing w:line="276" w:lineRule="atLeast"/>
    </w:pPr>
    <w:rPr>
      <w:color w:val="auto"/>
    </w:rPr>
  </w:style>
  <w:style w:type="paragraph" w:customStyle="1" w:styleId="CM3">
    <w:name w:val="CM3"/>
    <w:basedOn w:val="Default"/>
    <w:next w:val="Default"/>
    <w:rsid w:val="0093077E"/>
    <w:pPr>
      <w:spacing w:line="276" w:lineRule="atLeast"/>
    </w:pPr>
    <w:rPr>
      <w:color w:val="auto"/>
    </w:rPr>
  </w:style>
  <w:style w:type="paragraph" w:styleId="BalloonText">
    <w:name w:val="Balloon Text"/>
    <w:basedOn w:val="Normal"/>
    <w:semiHidden/>
    <w:rsid w:val="00B733DE"/>
    <w:rPr>
      <w:rFonts w:ascii="Tahoma" w:hAnsi="Tahoma" w:cs="Tahoma"/>
      <w:sz w:val="16"/>
      <w:szCs w:val="16"/>
    </w:rPr>
  </w:style>
  <w:style w:type="paragraph" w:styleId="Header">
    <w:name w:val="header"/>
    <w:basedOn w:val="Normal"/>
    <w:rsid w:val="00B33DDD"/>
    <w:pPr>
      <w:tabs>
        <w:tab w:val="center" w:pos="4320"/>
        <w:tab w:val="right" w:pos="8640"/>
      </w:tabs>
    </w:pPr>
  </w:style>
  <w:style w:type="paragraph" w:styleId="Footer">
    <w:name w:val="footer"/>
    <w:basedOn w:val="Normal"/>
    <w:link w:val="FooterChar"/>
    <w:uiPriority w:val="99"/>
    <w:rsid w:val="00B33DDD"/>
    <w:pPr>
      <w:tabs>
        <w:tab w:val="center" w:pos="4320"/>
        <w:tab w:val="right" w:pos="8640"/>
      </w:tabs>
    </w:pPr>
  </w:style>
  <w:style w:type="character" w:styleId="Strong">
    <w:name w:val="Strong"/>
    <w:basedOn w:val="DefaultParagraphFont"/>
    <w:qFormat/>
    <w:rsid w:val="001D7FC5"/>
    <w:rPr>
      <w:b/>
      <w:bCs/>
    </w:rPr>
  </w:style>
  <w:style w:type="paragraph" w:styleId="NormalWeb">
    <w:name w:val="Normal (Web)"/>
    <w:basedOn w:val="Normal"/>
    <w:rsid w:val="0053410C"/>
    <w:pPr>
      <w:spacing w:before="100" w:beforeAutospacing="1" w:after="100" w:afterAutospacing="1"/>
    </w:pPr>
  </w:style>
  <w:style w:type="character" w:customStyle="1" w:styleId="FooterChar">
    <w:name w:val="Footer Char"/>
    <w:basedOn w:val="DefaultParagraphFont"/>
    <w:link w:val="Footer"/>
    <w:uiPriority w:val="99"/>
    <w:rsid w:val="00E900EA"/>
    <w:rPr>
      <w:sz w:val="24"/>
      <w:szCs w:val="24"/>
    </w:rPr>
  </w:style>
</w:styles>
</file>

<file path=word/webSettings.xml><?xml version="1.0" encoding="utf-8"?>
<w:webSettings xmlns:r="http://schemas.openxmlformats.org/officeDocument/2006/relationships" xmlns:w="http://schemas.openxmlformats.org/wordprocessingml/2006/main">
  <w:divs>
    <w:div w:id="346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New Sr Mktng Director Announcemen_Feb 07.doc</vt:lpstr>
    </vt:vector>
  </TitlesOfParts>
  <Company>A.P. MOLLER GROUP</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Sr Mktng Director Announcemen_Feb 07.doc</dc:title>
  <dc:subject/>
  <dc:creator>BJTalley</dc:creator>
  <cp:keywords/>
  <dc:description/>
  <cp:lastModifiedBy>Lee Kindberg</cp:lastModifiedBy>
  <cp:revision>2</cp:revision>
  <cp:lastPrinted>2010-12-09T20:19:00Z</cp:lastPrinted>
  <dcterms:created xsi:type="dcterms:W3CDTF">2011-08-09T17:10:00Z</dcterms:created>
  <dcterms:modified xsi:type="dcterms:W3CDTF">2011-08-09T17:10:00Z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-879049632</vt:i4>
  </property>
  <property fmtid="{D5CDD505-2E9C-101B-9397-08002B2CF9AE}" pid="3" name="_NewReviewCycle">
    <vt:lpwstr/>
  </property>
  <property fmtid="{D5CDD505-2E9C-101B-9397-08002B2CF9AE}" pid="4" name="_EmailSubject">
    <vt:lpwstr>Draft Announcement</vt:lpwstr>
  </property>
  <property fmtid="{D5CDD505-2E9C-101B-9397-08002B2CF9AE}" pid="5" name="_AuthorEmail">
    <vt:lpwstr>Wendy.Belikoff@maersk.com</vt:lpwstr>
  </property>
  <property fmtid="{D5CDD505-2E9C-101B-9397-08002B2CF9AE}" pid="6" name="_AuthorEmailDisplayName">
    <vt:lpwstr>Belikoff, Wendy</vt:lpwstr>
  </property>
  <property fmtid="{D5CDD505-2E9C-101B-9397-08002B2CF9AE}" pid="7" name="_ReviewingToolsShownOnce">
    <vt:lpwstr/>
  </property>
</Properties>
</file>