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BE1" w:rsidRDefault="00816BE1" w:rsidP="00DB7B1A">
      <w:pPr>
        <w:spacing w:line="240" w:lineRule="auto"/>
        <w:contextualSpacing/>
      </w:pPr>
      <w:bookmarkStart w:id="0" w:name="_Toc277738181"/>
      <w:bookmarkStart w:id="1" w:name="_Toc278294301"/>
      <w:r w:rsidRPr="00816BE1">
        <w:t xml:space="preserve">Clerk of the Board </w:t>
      </w:r>
      <w:r w:rsidR="00DB7B1A">
        <w:tab/>
      </w:r>
      <w:r w:rsidR="00DB7B1A">
        <w:tab/>
      </w:r>
      <w:r w:rsidR="00DB7B1A">
        <w:tab/>
      </w:r>
      <w:r w:rsidR="00DB7B1A">
        <w:tab/>
      </w:r>
      <w:r w:rsidR="00DB7B1A">
        <w:tab/>
      </w:r>
      <w:r w:rsidR="00DB7B1A">
        <w:tab/>
      </w:r>
      <w:r w:rsidR="00DB7B1A">
        <w:tab/>
      </w:r>
      <w:r w:rsidR="00DB7B1A">
        <w:tab/>
      </w:r>
      <w:r w:rsidR="00DB7B1A">
        <w:tab/>
      </w:r>
      <w:r w:rsidR="00DB7B1A">
        <w:t>August 11, 2011</w:t>
      </w:r>
      <w:r w:rsidR="00DB7B1A">
        <w:tab/>
      </w:r>
    </w:p>
    <w:p w:rsidR="00816BE1" w:rsidRPr="00816BE1" w:rsidRDefault="00816BE1" w:rsidP="00816BE1">
      <w:pPr>
        <w:spacing w:line="240" w:lineRule="auto"/>
        <w:contextualSpacing/>
      </w:pPr>
      <w:r w:rsidRPr="00816BE1">
        <w:t xml:space="preserve">California Air Resources Board </w:t>
      </w:r>
    </w:p>
    <w:p w:rsidR="00816BE1" w:rsidRPr="00816BE1" w:rsidRDefault="00816BE1" w:rsidP="00816BE1">
      <w:pPr>
        <w:spacing w:line="240" w:lineRule="auto"/>
        <w:contextualSpacing/>
      </w:pPr>
      <w:r w:rsidRPr="00816BE1">
        <w:t xml:space="preserve">1001 I Street </w:t>
      </w:r>
    </w:p>
    <w:p w:rsidR="00816BE1" w:rsidRDefault="00816BE1" w:rsidP="00816BE1">
      <w:pPr>
        <w:spacing w:line="240" w:lineRule="auto"/>
        <w:contextualSpacing/>
      </w:pPr>
      <w:r w:rsidRPr="00816BE1">
        <w:t xml:space="preserve">Sacramento, CA   95814 </w:t>
      </w:r>
    </w:p>
    <w:p w:rsidR="008050D4" w:rsidRPr="00816BE1" w:rsidRDefault="008050D4" w:rsidP="00816BE1">
      <w:pPr>
        <w:spacing w:line="240" w:lineRule="auto"/>
        <w:contextualSpacing/>
      </w:pPr>
    </w:p>
    <w:p w:rsidR="008050D4" w:rsidRPr="00913726" w:rsidRDefault="00816BE1" w:rsidP="00F07A12">
      <w:r w:rsidRPr="00816BE1">
        <w:t xml:space="preserve">Re: Comments on the </w:t>
      </w:r>
      <w:r w:rsidR="00913726">
        <w:t>p</w:t>
      </w:r>
      <w:proofErr w:type="spellStart"/>
      <w:r w:rsidRPr="00816BE1">
        <w:t>roposed</w:t>
      </w:r>
      <w:proofErr w:type="spellEnd"/>
      <w:r w:rsidRPr="00816BE1">
        <w:t xml:space="preserve"> modified California cap and trade regulations </w:t>
      </w:r>
      <w:r w:rsidR="00913726">
        <w:t>with regard to the Improved Forest Management project type</w:t>
      </w:r>
    </w:p>
    <w:p w:rsidR="009D403C" w:rsidRDefault="003541A3" w:rsidP="00816BE1">
      <w:r>
        <w:t>Dear AR</w:t>
      </w:r>
      <w:r w:rsidR="00F07A12">
        <w:t>B staff,</w:t>
      </w:r>
    </w:p>
    <w:p w:rsidR="00F07A12" w:rsidRDefault="00F07A12" w:rsidP="008050D4">
      <w:r>
        <w:t xml:space="preserve">Thank you for the opportunity to weigh in on the </w:t>
      </w:r>
      <w:r w:rsidR="005318C6" w:rsidRPr="005318C6">
        <w:t>Cap-and-Trade rulemaking</w:t>
      </w:r>
      <w:r w:rsidR="005318C6">
        <w:t xml:space="preserve"> process</w:t>
      </w:r>
      <w:r>
        <w:t xml:space="preserve">. </w:t>
      </w:r>
    </w:p>
    <w:p w:rsidR="00F07A12" w:rsidRDefault="00F07A12" w:rsidP="00F07A12">
      <w:r>
        <w:t xml:space="preserve">It is clear that the supply of offsets from </w:t>
      </w:r>
      <w:r w:rsidR="008050D4">
        <w:t xml:space="preserve">the </w:t>
      </w:r>
      <w:r>
        <w:t xml:space="preserve">four protocols under consideration for adoption and those from the Climate Action Reserve will surely fall short of the demand for them.  Thus, </w:t>
      </w:r>
      <w:r w:rsidR="008050D4">
        <w:t>I would like to echo the comments of the Verified Carbon Standard Association addressing the prospect of e</w:t>
      </w:r>
      <w:r w:rsidR="008050D4" w:rsidRPr="008050D4">
        <w:t>xpanding the list of eligible protocols</w:t>
      </w:r>
      <w:r w:rsidR="008050D4">
        <w:t xml:space="preserve"> so </w:t>
      </w:r>
      <w:r w:rsidR="008050D4">
        <w:t xml:space="preserve">that the supply of offset credits issued under the </w:t>
      </w:r>
      <w:r w:rsidR="00A169C0">
        <w:t>ARB-</w:t>
      </w:r>
      <w:r w:rsidR="008050D4">
        <w:t xml:space="preserve">approved protocols </w:t>
      </w:r>
      <w:r w:rsidR="00A169C0">
        <w:t xml:space="preserve">are </w:t>
      </w:r>
      <w:r w:rsidR="009F1AF0">
        <w:t>more cap</w:t>
      </w:r>
      <w:r w:rsidR="00A169C0">
        <w:t xml:space="preserve">able </w:t>
      </w:r>
      <w:r w:rsidR="009F1AF0">
        <w:t>of</w:t>
      </w:r>
      <w:r w:rsidR="008050D4">
        <w:t xml:space="preserve"> meet</w:t>
      </w:r>
      <w:r>
        <w:t>ing</w:t>
      </w:r>
      <w:r w:rsidR="008050D4">
        <w:t xml:space="preserve"> demand.</w:t>
      </w:r>
      <w:r w:rsidR="00913726">
        <w:t xml:space="preserve"> </w:t>
      </w:r>
      <w:r w:rsidR="00A169C0">
        <w:t xml:space="preserve"> </w:t>
      </w:r>
    </w:p>
    <w:p w:rsidR="00597DE1" w:rsidRDefault="00506BE9" w:rsidP="003544F1">
      <w:r>
        <w:t>I agree with the VCSA that “more clarity must be provided for how early action protocols can be brought forward for consideration and approval”</w:t>
      </w:r>
      <w:r>
        <w:t>,</w:t>
      </w:r>
      <w:r>
        <w:t xml:space="preserve"> </w:t>
      </w:r>
      <w:r>
        <w:t>g</w:t>
      </w:r>
      <w:r w:rsidR="00A169C0">
        <w:t xml:space="preserve">iven that the study attached </w:t>
      </w:r>
      <w:r w:rsidR="00DB7B1A">
        <w:t xml:space="preserve">here </w:t>
      </w:r>
      <w:r w:rsidR="00A169C0">
        <w:t>finds CAR’s reversal compensation rule for improved forest management projects</w:t>
      </w:r>
      <w:r>
        <w:t xml:space="preserve"> (</w:t>
      </w:r>
      <w:r w:rsidR="00A169C0">
        <w:t>and in effect</w:t>
      </w:r>
      <w:r>
        <w:t xml:space="preserve"> the same rule ARB is adopting</w:t>
      </w:r>
      <w:r w:rsidR="005318C6">
        <w:t xml:space="preserve"> in </w:t>
      </w:r>
      <w:r w:rsidR="005318C6" w:rsidRPr="005318C6">
        <w:rPr>
          <w:bCs/>
        </w:rPr>
        <w:t>§ 95983(c)(3)</w:t>
      </w:r>
      <w:r w:rsidRPr="005318C6">
        <w:t>)</w:t>
      </w:r>
      <w:r w:rsidR="00A169C0">
        <w:t xml:space="preserve"> to be unnecessarily  punitive for true working forest projects</w:t>
      </w:r>
      <w:r w:rsidR="00A31737">
        <w:t xml:space="preserve"> that do not choose to</w:t>
      </w:r>
      <w:r>
        <w:t xml:space="preserve"> fully</w:t>
      </w:r>
      <w:r w:rsidR="00A31737">
        <w:t xml:space="preserve"> incur the incredible opportunity cost</w:t>
      </w:r>
      <w:r>
        <w:t>s</w:t>
      </w:r>
      <w:r w:rsidR="00A31737">
        <w:t xml:space="preserve"> of </w:t>
      </w:r>
      <w:r>
        <w:t>sacrificing timber values</w:t>
      </w:r>
      <w:r w:rsidR="00DB7B1A">
        <w:t xml:space="preserve"> </w:t>
      </w:r>
      <w:r>
        <w:t>and to</w:t>
      </w:r>
      <w:r w:rsidR="00A169C0">
        <w:t xml:space="preserve"> </w:t>
      </w:r>
      <w:proofErr w:type="spellStart"/>
      <w:r w:rsidR="00A169C0">
        <w:t>therby</w:t>
      </w:r>
      <w:proofErr w:type="spellEnd"/>
      <w:r w:rsidR="00A169C0">
        <w:t xml:space="preserve"> </w:t>
      </w:r>
      <w:r>
        <w:t xml:space="preserve">strongly </w:t>
      </w:r>
      <w:proofErr w:type="spellStart"/>
      <w:r>
        <w:t>disincentivize</w:t>
      </w:r>
      <w:proofErr w:type="spellEnd"/>
      <w:r>
        <w:t xml:space="preserve"> </w:t>
      </w:r>
      <w:r w:rsidR="003541A3">
        <w:t>forestland owners</w:t>
      </w:r>
      <w:r>
        <w:t xml:space="preserve"> to concurrently improve forest management and</w:t>
      </w:r>
      <w:r w:rsidR="00A169C0">
        <w:t xml:space="preserve"> supply</w:t>
      </w:r>
      <w:r>
        <w:t xml:space="preserve"> legitimate offsets to </w:t>
      </w:r>
      <w:r w:rsidR="00A169C0">
        <w:t xml:space="preserve">the </w:t>
      </w:r>
      <w:r>
        <w:t xml:space="preserve">market.  </w:t>
      </w:r>
      <w:r w:rsidR="00A169C0">
        <w:t xml:space="preserve"> </w:t>
      </w:r>
      <w:r w:rsidR="00DB7B1A">
        <w:t>Please s</w:t>
      </w:r>
      <w:r w:rsidR="00DB7B1A" w:rsidRPr="00DB7B1A">
        <w:t>ee pages 6</w:t>
      </w:r>
      <w:r w:rsidR="00B36E79">
        <w:t>5</w:t>
      </w:r>
      <w:r w:rsidR="00DB7B1A" w:rsidRPr="00DB7B1A">
        <w:t>-6</w:t>
      </w:r>
      <w:r w:rsidR="00B36E79">
        <w:t>6</w:t>
      </w:r>
      <w:r w:rsidR="00DB7B1A" w:rsidRPr="00DB7B1A">
        <w:t>, 7</w:t>
      </w:r>
      <w:r w:rsidR="00B36E79">
        <w:t>5</w:t>
      </w:r>
      <w:r w:rsidR="00DB7B1A" w:rsidRPr="00DB7B1A">
        <w:t>, 7</w:t>
      </w:r>
      <w:r w:rsidR="00B36E79">
        <w:t>9</w:t>
      </w:r>
      <w:r w:rsidR="00DB7B1A" w:rsidRPr="00DB7B1A">
        <w:t xml:space="preserve"> in the attached document</w:t>
      </w:r>
      <w:r w:rsidR="00DB7B1A">
        <w:t xml:space="preserve"> for a more in depth discussion of these findings. </w:t>
      </w:r>
      <w:r w:rsidR="00DB7B1A" w:rsidRPr="00DB7B1A">
        <w:t xml:space="preserve"> </w:t>
      </w:r>
    </w:p>
    <w:p w:rsidR="00597DE1" w:rsidRDefault="00506BE9" w:rsidP="003544F1">
      <w:r>
        <w:t>Because of</w:t>
      </w:r>
      <w:r w:rsidR="00A169C0">
        <w:t xml:space="preserve"> the standing </w:t>
      </w:r>
      <w:r w:rsidR="00A31737">
        <w:t>requirement</w:t>
      </w:r>
      <w:r w:rsidR="00A169C0">
        <w:t xml:space="preserve"> </w:t>
      </w:r>
      <w:r>
        <w:t>that the</w:t>
      </w:r>
      <w:r w:rsidR="00A169C0">
        <w:t xml:space="preserve"> </w:t>
      </w:r>
      <w:r w:rsidR="00A31737">
        <w:t xml:space="preserve">credit liability of IFM project owners cover emissions beyond the credits issued prior to the reversal, </w:t>
      </w:r>
      <w:r>
        <w:t xml:space="preserve">it appears that </w:t>
      </w:r>
      <w:r w:rsidR="00A31737">
        <w:t>protocols like those of the VCSA that do not impose such a punitive measure</w:t>
      </w:r>
      <w:r>
        <w:t xml:space="preserve"> on AFOLU projects</w:t>
      </w:r>
      <w:r w:rsidR="00A31737">
        <w:t xml:space="preserve"> will never be compatible with the CA Compliance Offset Protocols. </w:t>
      </w:r>
      <w:r w:rsidR="00DB7B1A">
        <w:t xml:space="preserve"> </w:t>
      </w:r>
      <w:r w:rsidR="00226913">
        <w:t>As stated in the VCS AFOLU Requirements, “all VCUs issued to AFOLU projects (as with all projects) are permanent…because the AFOLU pooled buffer account will always maintain an adequate surplus to cover unanticipated losses from individual project failures”, as the ARB buffer pool is designed to do.</w:t>
      </w:r>
      <w:r w:rsidR="005C3374">
        <w:t xml:space="preserve"> </w:t>
      </w:r>
      <w:r w:rsidR="00E173A7">
        <w:t xml:space="preserve"> Under this line of reasoning, </w:t>
      </w:r>
      <w:r w:rsidR="003544F1">
        <w:t>it</w:t>
      </w:r>
      <w:r w:rsidR="00E173A7">
        <w:t xml:space="preserve"> seems inappropriately burdensome to enforce </w:t>
      </w:r>
      <w:r w:rsidR="00303C60">
        <w:t>ARB’s</w:t>
      </w:r>
      <w:r w:rsidR="00E173A7">
        <w:t xml:space="preserve"> current interpretation of project owner credit liability. </w:t>
      </w:r>
      <w:r w:rsidR="003544F1">
        <w:t xml:space="preserve"> Therefore, </w:t>
      </w:r>
      <w:r w:rsidR="003544F1">
        <w:t xml:space="preserve">if </w:t>
      </w:r>
      <w:r w:rsidR="003544F1">
        <w:t>compensation of reversals continues to be a requirement</w:t>
      </w:r>
      <w:r w:rsidR="00E949E7">
        <w:t>,</w:t>
      </w:r>
      <w:r w:rsidR="003544F1">
        <w:t xml:space="preserve"> as opposed to the VCS method of canceling credits from the buffer pool equal to the reversal, </w:t>
      </w:r>
      <w:r w:rsidR="00E949E7">
        <w:t>reversal compensation</w:t>
      </w:r>
      <w:r w:rsidR="003544F1">
        <w:t xml:space="preserve"> </w:t>
      </w:r>
      <w:r w:rsidR="003544F1">
        <w:t xml:space="preserve">should be limited to the credits issued prior to the reversal. </w:t>
      </w:r>
      <w:r w:rsidR="00E949E7">
        <w:t xml:space="preserve"> </w:t>
      </w:r>
      <w:r w:rsidR="003544F1">
        <w:t xml:space="preserve">Such a </w:t>
      </w:r>
      <w:r w:rsidR="003544F1" w:rsidRPr="003544F1">
        <w:t>rule would significantly improve the appeal of e</w:t>
      </w:r>
      <w:r w:rsidR="003544F1">
        <w:t>ngaging in the CA offset market</w:t>
      </w:r>
      <w:r w:rsidR="003544F1" w:rsidRPr="003544F1">
        <w:t xml:space="preserve"> to forestland owners</w:t>
      </w:r>
      <w:r w:rsidR="003544F1">
        <w:t xml:space="preserve"> </w:t>
      </w:r>
      <w:r w:rsidR="00E949E7">
        <w:t xml:space="preserve">holding less than 1,000 acres because they wouldn’t be penalized for occasional silvicultural activities that temporarily push above-ground </w:t>
      </w:r>
      <w:r w:rsidR="00597DE1">
        <w:t xml:space="preserve">standing </w:t>
      </w:r>
      <w:r w:rsidR="00E949E7">
        <w:t>live carbon stocks below the minimum baseline level (MBL)</w:t>
      </w:r>
      <w:r w:rsidR="00597DE1">
        <w:t xml:space="preserve">.  It is important to note here that article </w:t>
      </w:r>
      <w:r w:rsidR="00597DE1" w:rsidRPr="00597DE1">
        <w:rPr>
          <w:bCs/>
        </w:rPr>
        <w:t>§ 95983(c)(</w:t>
      </w:r>
      <w:r w:rsidR="00597DE1">
        <w:rPr>
          <w:bCs/>
        </w:rPr>
        <w:t>4</w:t>
      </w:r>
      <w:r w:rsidR="00597DE1" w:rsidRPr="00597DE1">
        <w:rPr>
          <w:bCs/>
        </w:rPr>
        <w:t>)</w:t>
      </w:r>
      <w:r w:rsidR="00E949E7">
        <w:t xml:space="preserve"> </w:t>
      </w:r>
      <w:r w:rsidR="00597DE1">
        <w:t xml:space="preserve">contradicts the protocol with regard to these small landowners, </w:t>
      </w:r>
      <w:r w:rsidR="00E949E7">
        <w:t xml:space="preserve">which are allowed to </w:t>
      </w:r>
      <w:r w:rsidR="00597DE1">
        <w:t xml:space="preserve">let such carbon stocks </w:t>
      </w:r>
      <w:r w:rsidR="00E949E7">
        <w:t xml:space="preserve">fall to </w:t>
      </w:r>
      <w:r w:rsidR="00597DE1">
        <w:t xml:space="preserve">no more than </w:t>
      </w:r>
      <w:r w:rsidR="00E949E7">
        <w:t>20% below the MBL</w:t>
      </w:r>
      <w:r w:rsidR="00597DE1">
        <w:t xml:space="preserve"> for justified </w:t>
      </w:r>
      <w:r w:rsidR="00597DE1" w:rsidRPr="00597DE1">
        <w:t>silvicultural activities</w:t>
      </w:r>
      <w:r w:rsidR="00E949E7">
        <w:t>.</w:t>
      </w:r>
      <w:r w:rsidR="003544F1">
        <w:t xml:space="preserve">  </w:t>
      </w:r>
    </w:p>
    <w:p w:rsidR="00DB7B1A" w:rsidRDefault="00597DE1" w:rsidP="003544F1">
      <w:r>
        <w:t>It should be noted that t</w:t>
      </w:r>
      <w:r w:rsidR="003544F1">
        <w:t xml:space="preserve">his potential change </w:t>
      </w:r>
      <w:r>
        <w:t xml:space="preserve">in reversal compensation </w:t>
      </w:r>
      <w:r w:rsidR="003544F1">
        <w:t xml:space="preserve">would also preserve the relevance of conservation easements because </w:t>
      </w:r>
      <w:r w:rsidR="002F5C2B">
        <w:t xml:space="preserve">the protocol wouldn’t necessarily induce the level of conservation practices </w:t>
      </w:r>
      <w:r w:rsidR="002F5C2B">
        <w:lastRenderedPageBreak/>
        <w:t xml:space="preserve">that are </w:t>
      </w:r>
      <w:r w:rsidR="00175972">
        <w:t xml:space="preserve">already incentivized by payments from land conservancies.  Such compensation on top of what a landowner would commit to for carbon value </w:t>
      </w:r>
      <w:r w:rsidR="003544F1">
        <w:t xml:space="preserve">would </w:t>
      </w:r>
      <w:r w:rsidR="00175972">
        <w:t xml:space="preserve">make </w:t>
      </w:r>
      <w:r w:rsidR="003544F1">
        <w:t xml:space="preserve">participation in the CA offset market </w:t>
      </w:r>
      <w:r w:rsidR="00175972">
        <w:t>even more financially rewarding, thereby facilitating increased landowner engagement perhaps</w:t>
      </w:r>
      <w:r w:rsidR="003544F1">
        <w:t xml:space="preserve">.  </w:t>
      </w:r>
    </w:p>
    <w:p w:rsidR="00303C60" w:rsidRPr="00303C60" w:rsidRDefault="00E173A7" w:rsidP="00F07A12">
      <w:r>
        <w:t>Not only do I recommend th</w:t>
      </w:r>
      <w:r w:rsidR="000C5F58">
        <w:t>e reversal compensation</w:t>
      </w:r>
      <w:r>
        <w:t xml:space="preserve"> rule be changed accordingly, but it seems that the VCS rule </w:t>
      </w:r>
      <w:r w:rsidRPr="00303C60">
        <w:t xml:space="preserve">for which the reasoning </w:t>
      </w:r>
      <w:r w:rsidR="00597DE1">
        <w:t xml:space="preserve">quoted </w:t>
      </w:r>
      <w:r w:rsidRPr="00303C60">
        <w:t>above i</w:t>
      </w:r>
      <w:r w:rsidR="00303C60">
        <w:t>s given should also be adopte</w:t>
      </w:r>
      <w:r w:rsidR="003544F1">
        <w:t>d</w:t>
      </w:r>
      <w:r w:rsidR="00303C60" w:rsidRPr="00303C60">
        <w:t>:</w:t>
      </w:r>
    </w:p>
    <w:p w:rsidR="003544F1" w:rsidRPr="003544F1" w:rsidRDefault="00E173A7" w:rsidP="00303C60">
      <w:pPr>
        <w:pStyle w:val="ListParagraph"/>
        <w:numPr>
          <w:ilvl w:val="0"/>
          <w:numId w:val="28"/>
        </w:numPr>
        <w:rPr>
          <w:b/>
        </w:rPr>
      </w:pPr>
      <w:r>
        <w:t xml:space="preserve">Although buffer credits are cancelled to cover carbon known, or believed to be lost, the VCUs already issued to projects that subsequently fail are not cancelled and do not have to be “paid back”.  </w:t>
      </w:r>
    </w:p>
    <w:p w:rsidR="003544F1" w:rsidRPr="003544F1" w:rsidRDefault="003544F1" w:rsidP="003544F1">
      <w:pPr>
        <w:pStyle w:val="ListParagraph"/>
        <w:rPr>
          <w:b/>
        </w:rPr>
      </w:pPr>
      <w:r>
        <w:t>–</w:t>
      </w:r>
      <w:r w:rsidRPr="003544F1">
        <w:rPr>
          <w:b/>
        </w:rPr>
        <w:t>AFOLU rule 3.6.11</w:t>
      </w:r>
    </w:p>
    <w:p w:rsidR="003544F1" w:rsidRDefault="00597DE1" w:rsidP="003544F1">
      <w:r>
        <w:t>This would involve</w:t>
      </w:r>
      <w:r w:rsidR="003544F1">
        <w:t xml:space="preserve"> </w:t>
      </w:r>
      <w:r w:rsidR="00AA74FA">
        <w:t xml:space="preserve">adopting the </w:t>
      </w:r>
      <w:r w:rsidR="003544F1">
        <w:t>VCS approach to intentional reversals</w:t>
      </w:r>
      <w:r w:rsidR="00AA74FA">
        <w:t>, which</w:t>
      </w:r>
      <w:r w:rsidR="003544F1">
        <w:t xml:space="preserve"> is as follows:  </w:t>
      </w:r>
    </w:p>
    <w:p w:rsidR="003544F1" w:rsidRDefault="003544F1" w:rsidP="003544F1">
      <w:pPr>
        <w:pStyle w:val="ListParagraph"/>
        <w:numPr>
          <w:ilvl w:val="0"/>
          <w:numId w:val="29"/>
        </w:numPr>
      </w:pPr>
      <w:r>
        <w:t>Where an event occurs that is likely to qualify as a loss event and VCUs have been previously issued</w:t>
      </w:r>
      <w:proofErr w:type="gramStart"/>
      <w:r>
        <w:t>,…</w:t>
      </w:r>
      <w:proofErr w:type="gramEnd"/>
    </w:p>
    <w:p w:rsidR="003544F1" w:rsidRDefault="003544F1" w:rsidP="003544F1">
      <w:pPr>
        <w:pStyle w:val="ListParagraph"/>
        <w:numPr>
          <w:ilvl w:val="1"/>
          <w:numId w:val="29"/>
        </w:numPr>
      </w:pPr>
      <w:proofErr w:type="gramStart"/>
      <w:r>
        <w:t>at</w:t>
      </w:r>
      <w:proofErr w:type="gramEnd"/>
      <w:r>
        <w:t xml:space="preserve"> the verification even subsequent to the loss event, the monitoring report shall restate the loss from the loss event and calculate the net GHG benefit from the monitoring period in accordance with …the methodology applied. In addition, where the net GHG benefit of the project, compared to the baseline, for the monitoring period is negative, taking into account project emissions, removals and leakage, a reversal has occurred and buffer credits equivalent to the reversal shall be cancelled from the AFOLU pooled buffer account… </w:t>
      </w:r>
      <w:r w:rsidRPr="008A285C">
        <w:t>–</w:t>
      </w:r>
      <w:r w:rsidRPr="008A285C">
        <w:rPr>
          <w:b/>
        </w:rPr>
        <w:t xml:space="preserve">AFOLU </w:t>
      </w:r>
      <w:r>
        <w:rPr>
          <w:b/>
        </w:rPr>
        <w:t>rule</w:t>
      </w:r>
      <w:r w:rsidRPr="008A285C">
        <w:rPr>
          <w:b/>
        </w:rPr>
        <w:t xml:space="preserve"> 3.6.</w:t>
      </w:r>
      <w:r>
        <w:rPr>
          <w:b/>
        </w:rPr>
        <w:t>7</w:t>
      </w:r>
    </w:p>
    <w:p w:rsidR="003544F1" w:rsidRDefault="003544F1" w:rsidP="003544F1">
      <w:pPr>
        <w:pStyle w:val="ListParagraph"/>
        <w:numPr>
          <w:ilvl w:val="0"/>
          <w:numId w:val="29"/>
        </w:numPr>
      </w:pPr>
      <w:r>
        <w:t>At a verification event, where a reversal has occurred, the following applies: Where the reversal is a non-catastrophic reversal (</w:t>
      </w:r>
      <w:proofErr w:type="spellStart"/>
      <w:r>
        <w:t>eg</w:t>
      </w:r>
      <w:proofErr w:type="spellEnd"/>
      <w:r>
        <w:t>, due to poor management or over-harvesting)…No further VCUs shall be issued to the project until the deficit is remedied. The deficit is equivalent to the full amount of the reversal, including GHG emissions from losses to project and baseline carbon stocks.</w:t>
      </w:r>
      <w:r w:rsidR="00AA74FA" w:rsidRPr="00AA74FA">
        <w:t xml:space="preserve"> –</w:t>
      </w:r>
      <w:r w:rsidR="00AA74FA" w:rsidRPr="00AA74FA">
        <w:rPr>
          <w:b/>
        </w:rPr>
        <w:t>AFOLU rule 3.6.</w:t>
      </w:r>
      <w:r w:rsidR="00AA74FA">
        <w:rPr>
          <w:b/>
        </w:rPr>
        <w:t>8</w:t>
      </w:r>
    </w:p>
    <w:p w:rsidR="00B36E79" w:rsidRDefault="00B36E79" w:rsidP="00816BE1">
      <w:r>
        <w:t>The forest protocol</w:t>
      </w:r>
      <w:r w:rsidRPr="00B36E79">
        <w:t xml:space="preserve"> rules in the context of th</w:t>
      </w:r>
      <w:r>
        <w:t>e</w:t>
      </w:r>
      <w:r w:rsidRPr="00B36E79">
        <w:t xml:space="preserve"> </w:t>
      </w:r>
      <w:r>
        <w:t xml:space="preserve">attached </w:t>
      </w:r>
      <w:r w:rsidRPr="00B36E79">
        <w:t>study present an obvious paradox, as they clearly prohibit the long-term diminishment of species diversity but appear to afford quite limited prospects for silviculturally sound and sustainable timber production (in adherence to CAR criteria), which in Southern Appalachia is essential to the maintenance of current biodiversity levels.  These results also revealed that limitations on even-aged opening size and project age-class distribution have no influence on even-age harvest levels, as barely complying with them in the first half of the</w:t>
      </w:r>
      <w:r>
        <w:t xml:space="preserve"> study’s</w:t>
      </w:r>
      <w:r w:rsidRPr="00B36E79">
        <w:t xml:space="preserve"> simulation produced more liabilities than credits.  </w:t>
      </w:r>
      <w:r>
        <w:t>Furthermore, g</w:t>
      </w:r>
      <w:r w:rsidRPr="00B36E79">
        <w:t xml:space="preserve">iven that project viability necessitates low harvest levels to begin </w:t>
      </w:r>
      <w:proofErr w:type="gramStart"/>
      <w:r w:rsidRPr="00B36E79">
        <w:t>with,</w:t>
      </w:r>
      <w:proofErr w:type="gramEnd"/>
      <w:r w:rsidRPr="00B36E79">
        <w:t xml:space="preserve"> sustainable forestry certification will not be needed to ensure sustainable harvesting levels and may otherwise offer little value relative to its cost. </w:t>
      </w:r>
    </w:p>
    <w:p w:rsidR="009D403C" w:rsidRDefault="00AA74FA" w:rsidP="00816BE1">
      <w:r>
        <w:t xml:space="preserve">These suggested changes would not only allow for a more seamless process of incorporating VCS registered projects into the CA offset market, but more importantly, would make the ARB regulations significantly more workable for IFM project owners and developers, especially those with small acreages that altogether could increase the offset supply considerably.  </w:t>
      </w:r>
      <w:r w:rsidR="00833186">
        <w:t>After all, the idea behind IFM offset protocols is to make improvements in forest management more attractive not to bring them into a relatively inflexible regulatory system that landowners or their heirs cannot escape from without bearing overwhelming costs.</w:t>
      </w:r>
    </w:p>
    <w:p w:rsidR="006C1FFF" w:rsidRPr="006C1FFF" w:rsidRDefault="006C1FFF" w:rsidP="00881C70">
      <w:pPr>
        <w:pStyle w:val="Title"/>
        <w:outlineLvl w:val="9"/>
      </w:pPr>
      <w:r w:rsidRPr="006C1FFF">
        <w:lastRenderedPageBreak/>
        <w:t>Project Evaluation of Sustainable Up</w:t>
      </w:r>
      <w:bookmarkStart w:id="2" w:name="_GoBack"/>
      <w:bookmarkEnd w:id="2"/>
      <w:r w:rsidRPr="006C1FFF">
        <w:t xml:space="preserve">land Hardwood Management in the </w:t>
      </w:r>
      <w:r w:rsidR="00AD6D15">
        <w:t xml:space="preserve">U.S. </w:t>
      </w:r>
      <w:r w:rsidRPr="006C1FFF">
        <w:t xml:space="preserve">South with </w:t>
      </w:r>
      <w:r w:rsidR="00007A66">
        <w:t xml:space="preserve">the Monetization of </w:t>
      </w:r>
      <w:r w:rsidRPr="006C1FFF">
        <w:t>Carbon</w:t>
      </w:r>
      <w:bookmarkEnd w:id="0"/>
      <w:bookmarkEnd w:id="1"/>
    </w:p>
    <w:p w:rsidR="00930747" w:rsidRDefault="00B60BBE" w:rsidP="006C1FFF">
      <w:pPr>
        <w:rPr>
          <w:b/>
        </w:rPr>
      </w:pPr>
      <w:r>
        <w:rPr>
          <w:b/>
          <w:noProof/>
        </w:rPr>
        <w:drawing>
          <wp:inline distT="0" distB="0" distL="0" distR="0" wp14:anchorId="0AA488BB" wp14:editId="651E1C16">
            <wp:extent cx="5943600" cy="311404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114040"/>
                    </a:xfrm>
                    <a:prstGeom prst="rect">
                      <a:avLst/>
                    </a:prstGeom>
                    <a:ln>
                      <a:noFill/>
                    </a:ln>
                    <a:effectLst>
                      <a:softEdge rad="112500"/>
                    </a:effectLst>
                  </pic:spPr>
                </pic:pic>
              </a:graphicData>
            </a:graphic>
          </wp:inline>
        </w:drawing>
      </w:r>
    </w:p>
    <w:p w:rsidR="006C1FFF" w:rsidRDefault="00930747" w:rsidP="006613B1">
      <w:pPr>
        <w:ind w:left="5760" w:firstLine="720"/>
        <w:rPr>
          <w:b/>
          <w:sz w:val="16"/>
          <w:szCs w:val="16"/>
        </w:rPr>
      </w:pPr>
      <w:r w:rsidRPr="00930747">
        <w:rPr>
          <w:b/>
          <w:sz w:val="16"/>
          <w:szCs w:val="16"/>
        </w:rPr>
        <w:t>Photo</w:t>
      </w:r>
      <w:r w:rsidR="00802400">
        <w:rPr>
          <w:b/>
          <w:sz w:val="16"/>
          <w:szCs w:val="16"/>
        </w:rPr>
        <w:t xml:space="preserve"> of </w:t>
      </w:r>
      <w:r w:rsidR="001941A9">
        <w:rPr>
          <w:b/>
          <w:sz w:val="16"/>
          <w:szCs w:val="16"/>
        </w:rPr>
        <w:t>study area</w:t>
      </w:r>
      <w:r w:rsidR="0076314B">
        <w:rPr>
          <w:b/>
          <w:sz w:val="16"/>
          <w:szCs w:val="16"/>
        </w:rPr>
        <w:t xml:space="preserve"> by Kingsbury </w:t>
      </w:r>
      <w:r w:rsidRPr="00930747">
        <w:rPr>
          <w:b/>
          <w:sz w:val="16"/>
          <w:szCs w:val="16"/>
        </w:rPr>
        <w:fldChar w:fldCharType="begin"/>
      </w:r>
      <w:r w:rsidR="00B96AA3">
        <w:rPr>
          <w:b/>
          <w:sz w:val="16"/>
          <w:szCs w:val="16"/>
        </w:rPr>
        <w:instrText xml:space="preserve"> ADDIN EN.CITE &lt;EndNote&gt;&lt;Cite ExcludeAuth="1"&gt;&lt;Author&gt;Kingsbury&lt;/Author&gt;&lt;Year&gt;2008&lt;/Year&gt;&lt;RecNum&gt;232&lt;/RecNum&gt;&lt;DisplayText&gt;(2008)&lt;/DisplayText&gt;&lt;record&gt;&lt;rec-number&gt;232&lt;/rec-number&gt;&lt;foreign-keys&gt;&lt;key app="EN" db-id="a90s5zadewrawxeer07v2f90xr5vxv022sat"&gt;232&lt;/key&gt;&lt;/foreign-keys&gt;&lt;ref-type name="Magazine Article"&gt;19&lt;/ref-type&gt;&lt;contributors&gt;&lt;authors&gt;&lt;author&gt;Kingsbury, P.&lt;/author&gt;&lt;/authors&gt;&lt;/contributors&gt;&lt;titles&gt;&lt;title&gt;Connecting the Cumberlands: Tennessee’s Big Conservation Success for People and Nature&lt;/title&gt;&lt;secondary-title&gt;Tennessee Conservationist&lt;/secondary-title&gt;&lt;/titles&gt;&lt;periodical&gt;&lt;full-title&gt;Tennessee Conservationist&lt;/full-title&gt;&lt;/periodical&gt;&lt;pages&gt;18-23&lt;/pages&gt;&lt;number&gt;January/February&lt;/number&gt;&lt;dates&gt;&lt;year&gt;2008&lt;/year&gt;&lt;/dates&gt;&lt;urls&gt;&lt;/urls&gt;&lt;/record&gt;&lt;/Cite&gt;&lt;/EndNote&gt;</w:instrText>
      </w:r>
      <w:r w:rsidRPr="00930747">
        <w:rPr>
          <w:b/>
          <w:sz w:val="16"/>
          <w:szCs w:val="16"/>
        </w:rPr>
        <w:fldChar w:fldCharType="separate"/>
      </w:r>
      <w:r w:rsidR="00B96AA3">
        <w:rPr>
          <w:b/>
          <w:noProof/>
          <w:sz w:val="16"/>
          <w:szCs w:val="16"/>
        </w:rPr>
        <w:t>(</w:t>
      </w:r>
      <w:hyperlink w:anchor="_ENREF_76" w:tooltip="Kingsbury, 2008 #232" w:history="1">
        <w:r w:rsidR="001E4C88">
          <w:rPr>
            <w:b/>
            <w:noProof/>
            <w:sz w:val="16"/>
            <w:szCs w:val="16"/>
          </w:rPr>
          <w:t>2008</w:t>
        </w:r>
      </w:hyperlink>
      <w:r w:rsidR="00B96AA3">
        <w:rPr>
          <w:b/>
          <w:noProof/>
          <w:sz w:val="16"/>
          <w:szCs w:val="16"/>
        </w:rPr>
        <w:t>)</w:t>
      </w:r>
      <w:r w:rsidRPr="00930747">
        <w:rPr>
          <w:b/>
          <w:sz w:val="16"/>
          <w:szCs w:val="16"/>
        </w:rPr>
        <w:fldChar w:fldCharType="end"/>
      </w:r>
    </w:p>
    <w:p w:rsidR="00802400" w:rsidRPr="00930747" w:rsidRDefault="00802400" w:rsidP="00802400">
      <w:pPr>
        <w:ind w:left="4320" w:firstLine="720"/>
        <w:rPr>
          <w:b/>
          <w:sz w:val="16"/>
          <w:szCs w:val="16"/>
        </w:rPr>
      </w:pPr>
    </w:p>
    <w:p w:rsidR="006C1FFF" w:rsidRPr="00802400" w:rsidRDefault="00CB1838" w:rsidP="006C1FFF">
      <w:pPr>
        <w:rPr>
          <w:rFonts w:ascii="Cambria" w:hAnsi="Cambria"/>
          <w:sz w:val="28"/>
          <w:szCs w:val="28"/>
        </w:rPr>
      </w:pPr>
      <w:r>
        <w:rPr>
          <w:b/>
        </w:rPr>
        <w:tab/>
      </w:r>
      <w:r>
        <w:rPr>
          <w:b/>
        </w:rPr>
        <w:tab/>
      </w:r>
      <w:r>
        <w:rPr>
          <w:b/>
        </w:rPr>
        <w:tab/>
      </w:r>
      <w:r>
        <w:rPr>
          <w:b/>
        </w:rPr>
        <w:tab/>
      </w:r>
      <w:r>
        <w:rPr>
          <w:b/>
        </w:rPr>
        <w:tab/>
      </w:r>
      <w:r>
        <w:rPr>
          <w:b/>
        </w:rPr>
        <w:tab/>
      </w:r>
      <w:r w:rsidRPr="00802400">
        <w:rPr>
          <w:rFonts w:ascii="Cambria" w:hAnsi="Cambria"/>
          <w:b/>
          <w:sz w:val="28"/>
          <w:szCs w:val="28"/>
        </w:rPr>
        <w:t xml:space="preserve">         </w:t>
      </w:r>
      <w:proofErr w:type="gramStart"/>
      <w:r w:rsidRPr="00802400">
        <w:rPr>
          <w:rFonts w:ascii="Cambria" w:hAnsi="Cambria"/>
          <w:sz w:val="28"/>
          <w:szCs w:val="28"/>
        </w:rPr>
        <w:t>by</w:t>
      </w:r>
      <w:proofErr w:type="gramEnd"/>
      <w:r w:rsidRPr="00802400">
        <w:rPr>
          <w:rFonts w:ascii="Cambria" w:hAnsi="Cambria"/>
          <w:sz w:val="28"/>
          <w:szCs w:val="28"/>
        </w:rPr>
        <w:t>:</w:t>
      </w:r>
    </w:p>
    <w:p w:rsidR="006C1FFF" w:rsidRPr="00802400" w:rsidRDefault="006C1FFF" w:rsidP="00881C70">
      <w:pPr>
        <w:pStyle w:val="Subtitle"/>
        <w:outlineLvl w:val="9"/>
        <w:rPr>
          <w:sz w:val="28"/>
          <w:szCs w:val="28"/>
        </w:rPr>
      </w:pPr>
      <w:bookmarkStart w:id="3" w:name="_Toc277738182"/>
      <w:bookmarkStart w:id="4" w:name="_Toc278294302"/>
      <w:r w:rsidRPr="00802400">
        <w:rPr>
          <w:sz w:val="28"/>
          <w:szCs w:val="28"/>
        </w:rPr>
        <w:t>Joseph Grinnell</w:t>
      </w:r>
      <w:bookmarkEnd w:id="3"/>
      <w:bookmarkEnd w:id="4"/>
    </w:p>
    <w:p w:rsidR="00802400" w:rsidRPr="00802400" w:rsidRDefault="00802400" w:rsidP="00CB1838">
      <w:pPr>
        <w:rPr>
          <w:sz w:val="24"/>
          <w:szCs w:val="24"/>
        </w:rPr>
      </w:pPr>
    </w:p>
    <w:p w:rsidR="00CB1838" w:rsidRPr="00802400" w:rsidRDefault="00CB1838" w:rsidP="00CB1838">
      <w:pPr>
        <w:rPr>
          <w:sz w:val="24"/>
          <w:szCs w:val="24"/>
        </w:rPr>
      </w:pPr>
      <w:r w:rsidRPr="00802400">
        <w:rPr>
          <w:sz w:val="24"/>
          <w:szCs w:val="24"/>
        </w:rPr>
        <w:t>Approved:</w:t>
      </w:r>
    </w:p>
    <w:p w:rsidR="00CB1838" w:rsidRPr="00802400" w:rsidRDefault="00B96AA3" w:rsidP="00CB1838">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4F2873FF" wp14:editId="5DF6EF14">
                <wp:simplePos x="0" y="0"/>
                <wp:positionH relativeFrom="column">
                  <wp:posOffset>4313</wp:posOffset>
                </wp:positionH>
                <wp:positionV relativeFrom="paragraph">
                  <wp:posOffset>193795</wp:posOffset>
                </wp:positionV>
                <wp:extent cx="2173857" cy="0"/>
                <wp:effectExtent l="0" t="0" r="17145" b="19050"/>
                <wp:wrapNone/>
                <wp:docPr id="9" name="Straight Connector 9"/>
                <wp:cNvGraphicFramePr/>
                <a:graphic xmlns:a="http://schemas.openxmlformats.org/drawingml/2006/main">
                  <a:graphicData uri="http://schemas.microsoft.com/office/word/2010/wordprocessingShape">
                    <wps:wsp>
                      <wps:cNvCnPr/>
                      <wps:spPr>
                        <a:xfrm>
                          <a:off x="0" y="0"/>
                          <a:ext cx="21738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5.25pt" to="17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" strokecolor="black [3040]"/>
            </w:pict>
          </mc:Fallback>
        </mc:AlternateContent>
      </w:r>
    </w:p>
    <w:p w:rsidR="002B58DD" w:rsidRPr="005C7FAE" w:rsidRDefault="005C7FAE" w:rsidP="00802400">
      <w:pPr>
        <w:rPr>
          <w:sz w:val="24"/>
          <w:szCs w:val="24"/>
        </w:rPr>
      </w:pPr>
      <w:r>
        <w:rPr>
          <w:sz w:val="24"/>
          <w:szCs w:val="24"/>
        </w:rPr>
        <w:t>Dr. Brian Murray, Advisor</w:t>
      </w:r>
    </w:p>
    <w:p w:rsidR="00CB1838" w:rsidRPr="002B58DD" w:rsidRDefault="00CB1838" w:rsidP="00CB1838">
      <w:pPr>
        <w:autoSpaceDE w:val="0"/>
        <w:autoSpaceDN w:val="0"/>
        <w:adjustRightInd w:val="0"/>
        <w:spacing w:after="0" w:line="240" w:lineRule="auto"/>
        <w:jc w:val="center"/>
        <w:rPr>
          <w:rFonts w:cs="Calibri"/>
          <w:sz w:val="24"/>
          <w:szCs w:val="24"/>
        </w:rPr>
      </w:pPr>
      <w:r w:rsidRPr="002B58DD">
        <w:rPr>
          <w:rFonts w:cs="Calibri"/>
          <w:sz w:val="24"/>
          <w:szCs w:val="24"/>
        </w:rPr>
        <w:t>Masters project submitted in partial fulfillment of the requirements for the Master of</w:t>
      </w:r>
    </w:p>
    <w:p w:rsidR="00CB1838" w:rsidRPr="002B58DD" w:rsidRDefault="00CB1838" w:rsidP="00CB1838">
      <w:pPr>
        <w:autoSpaceDE w:val="0"/>
        <w:autoSpaceDN w:val="0"/>
        <w:adjustRightInd w:val="0"/>
        <w:spacing w:after="0" w:line="240" w:lineRule="auto"/>
        <w:jc w:val="center"/>
        <w:rPr>
          <w:rFonts w:cs="Calibri"/>
          <w:sz w:val="24"/>
          <w:szCs w:val="24"/>
        </w:rPr>
      </w:pPr>
      <w:r w:rsidRPr="002B58DD">
        <w:rPr>
          <w:rFonts w:cs="Calibri"/>
          <w:sz w:val="24"/>
          <w:szCs w:val="24"/>
        </w:rPr>
        <w:t>Environmental Management degree in the Nicholas School of the Environment and Earth</w:t>
      </w:r>
    </w:p>
    <w:p w:rsidR="00214527" w:rsidRDefault="00CB1838" w:rsidP="00CB1838">
      <w:pPr>
        <w:jc w:val="center"/>
        <w:rPr>
          <w:rFonts w:cs="Calibri"/>
          <w:sz w:val="24"/>
          <w:szCs w:val="24"/>
        </w:rPr>
      </w:pPr>
      <w:r w:rsidRPr="002B58DD">
        <w:rPr>
          <w:rFonts w:cs="Calibri"/>
          <w:sz w:val="24"/>
          <w:szCs w:val="24"/>
        </w:rPr>
        <w:t>Sciences of Duke University</w:t>
      </w:r>
    </w:p>
    <w:p w:rsidR="00CB49B1" w:rsidRPr="002B58DD" w:rsidRDefault="00CB49B1" w:rsidP="00CB1838">
      <w:pPr>
        <w:jc w:val="center"/>
        <w:rPr>
          <w:rFonts w:cs="Calibri"/>
        </w:rPr>
      </w:pPr>
      <w:r>
        <w:rPr>
          <w:rFonts w:cs="Calibri"/>
          <w:sz w:val="24"/>
          <w:szCs w:val="24"/>
        </w:rPr>
        <w:t>201</w:t>
      </w:r>
      <w:r w:rsidR="00071D63">
        <w:rPr>
          <w:rFonts w:cs="Calibri"/>
          <w:sz w:val="24"/>
          <w:szCs w:val="24"/>
        </w:rPr>
        <w:t>1</w:t>
      </w:r>
    </w:p>
    <w:p w:rsidR="002B58DD" w:rsidRPr="009C3C00" w:rsidRDefault="002B58DD" w:rsidP="00470E4B">
      <w:pPr>
        <w:pStyle w:val="TOCHeading"/>
        <w:ind w:right="180"/>
        <w:outlineLvl w:val="0"/>
        <w:rPr>
          <w:noProof/>
        </w:rPr>
      </w:pPr>
      <w:r>
        <w:lastRenderedPageBreak/>
        <w:t>Table of Contents</w:t>
      </w:r>
      <w:r>
        <w:fldChar w:fldCharType="begin"/>
      </w:r>
      <w:r>
        <w:instrText xml:space="preserve"> TOC \o "1-3" \h \z \u </w:instrText>
      </w:r>
      <w:r>
        <w:fldChar w:fldCharType="separate"/>
      </w:r>
    </w:p>
    <w:p w:rsidR="002B58DD" w:rsidRPr="002B58DD" w:rsidRDefault="00816BE1">
      <w:pPr>
        <w:pStyle w:val="TOC2"/>
        <w:tabs>
          <w:tab w:val="right" w:leader="dot" w:pos="10070"/>
        </w:tabs>
        <w:rPr>
          <w:rFonts w:eastAsia="Times New Roman"/>
          <w:noProof/>
        </w:rPr>
      </w:pPr>
      <w:hyperlink w:anchor="_Toc278294303" w:history="1">
        <w:r w:rsidR="002B58DD" w:rsidRPr="00633786">
          <w:rPr>
            <w:rStyle w:val="Hyperlink"/>
            <w:noProof/>
          </w:rPr>
          <w:t>Abstract.</w:t>
        </w:r>
        <w:r w:rsidR="002B58DD">
          <w:rPr>
            <w:noProof/>
            <w:webHidden/>
          </w:rPr>
          <w:tab/>
        </w:r>
        <w:r w:rsidR="002B58DD" w:rsidRPr="006E533E">
          <w:rPr>
            <w:b/>
            <w:noProof/>
            <w:webHidden/>
          </w:rPr>
          <w:fldChar w:fldCharType="begin"/>
        </w:r>
        <w:r w:rsidR="002B58DD" w:rsidRPr="006E533E">
          <w:rPr>
            <w:b/>
            <w:noProof/>
            <w:webHidden/>
          </w:rPr>
          <w:instrText xml:space="preserve"> PAGEREF _Toc278294303 \h </w:instrText>
        </w:r>
        <w:r w:rsidR="002B58DD" w:rsidRPr="006E533E">
          <w:rPr>
            <w:b/>
            <w:noProof/>
            <w:webHidden/>
          </w:rPr>
        </w:r>
        <w:r w:rsidR="002B58DD" w:rsidRPr="006E533E">
          <w:rPr>
            <w:b/>
            <w:noProof/>
            <w:webHidden/>
          </w:rPr>
          <w:fldChar w:fldCharType="separate"/>
        </w:r>
        <w:r w:rsidR="00C77D85">
          <w:rPr>
            <w:b/>
            <w:noProof/>
            <w:webHidden/>
          </w:rPr>
          <w:t>4</w:t>
        </w:r>
        <w:r w:rsidR="002B58DD" w:rsidRPr="006E533E">
          <w:rPr>
            <w:b/>
            <w:noProof/>
            <w:webHidden/>
          </w:rPr>
          <w:fldChar w:fldCharType="end"/>
        </w:r>
      </w:hyperlink>
    </w:p>
    <w:p w:rsidR="002B58DD" w:rsidRDefault="00816BE1">
      <w:pPr>
        <w:pStyle w:val="TOC2"/>
        <w:tabs>
          <w:tab w:val="left" w:pos="660"/>
          <w:tab w:val="right" w:leader="dot" w:pos="10070"/>
        </w:tabs>
        <w:rPr>
          <w:rStyle w:val="Hyperlink"/>
          <w:noProof/>
        </w:rPr>
      </w:pPr>
      <w:hyperlink w:anchor="_Toc278294304" w:history="1">
        <w:r w:rsidR="002B58DD" w:rsidRPr="00633786">
          <w:rPr>
            <w:rStyle w:val="Hyperlink"/>
            <w:noProof/>
          </w:rPr>
          <w:t>1.</w:t>
        </w:r>
        <w:r w:rsidR="002B58DD" w:rsidRPr="002B58DD">
          <w:rPr>
            <w:rFonts w:eastAsia="Times New Roman"/>
            <w:noProof/>
          </w:rPr>
          <w:tab/>
        </w:r>
        <w:r w:rsidR="002B58DD" w:rsidRPr="00633786">
          <w:rPr>
            <w:rStyle w:val="Hyperlink"/>
            <w:noProof/>
          </w:rPr>
          <w:t>INTRODUCTION</w:t>
        </w:r>
        <w:r w:rsidR="002B58DD">
          <w:rPr>
            <w:noProof/>
            <w:webHidden/>
          </w:rPr>
          <w:tab/>
        </w:r>
        <w:r w:rsidR="0098302C">
          <w:rPr>
            <w:b/>
            <w:noProof/>
            <w:webHidden/>
          </w:rPr>
          <w:t>5</w:t>
        </w:r>
      </w:hyperlink>
    </w:p>
    <w:p w:rsidR="00022655" w:rsidRDefault="00022655" w:rsidP="00022655">
      <w:pPr>
        <w:pStyle w:val="TOC3"/>
        <w:rPr>
          <w:noProof/>
        </w:rPr>
      </w:pPr>
      <w:r w:rsidRPr="00022655">
        <w:rPr>
          <w:noProof/>
        </w:rPr>
        <w:t>1.1</w:t>
      </w:r>
      <w:r w:rsidR="009C3C00">
        <w:rPr>
          <w:noProof/>
        </w:rPr>
        <w:t xml:space="preserve">   </w:t>
      </w:r>
      <w:r w:rsidRPr="00022655">
        <w:rPr>
          <w:noProof/>
        </w:rPr>
        <w:t xml:space="preserve"> IFM Potential in the Southern United States</w:t>
      </w:r>
      <w:r>
        <w:rPr>
          <w:noProof/>
        </w:rPr>
        <w:tab/>
      </w:r>
      <w:r w:rsidR="00A67137">
        <w:rPr>
          <w:noProof/>
        </w:rPr>
        <w:t>6</w:t>
      </w:r>
    </w:p>
    <w:p w:rsidR="00022655" w:rsidRDefault="00022655" w:rsidP="00022655">
      <w:pPr>
        <w:pStyle w:val="TOC2"/>
        <w:tabs>
          <w:tab w:val="right" w:leader="dot" w:pos="10080"/>
        </w:tabs>
        <w:ind w:left="450"/>
        <w:rPr>
          <w:noProof/>
        </w:rPr>
      </w:pPr>
      <w:r>
        <w:rPr>
          <w:noProof/>
        </w:rPr>
        <w:t xml:space="preserve">1.2 </w:t>
      </w:r>
      <w:r w:rsidR="009C3C00">
        <w:rPr>
          <w:noProof/>
        </w:rPr>
        <w:t xml:space="preserve">   </w:t>
      </w:r>
      <w:r>
        <w:rPr>
          <w:noProof/>
        </w:rPr>
        <w:t>Focus on Upland Hardwoods</w:t>
      </w:r>
      <w:r>
        <w:rPr>
          <w:noProof/>
        </w:rPr>
        <w:tab/>
      </w:r>
      <w:r w:rsidR="00A67137">
        <w:rPr>
          <w:noProof/>
        </w:rPr>
        <w:t>7</w:t>
      </w:r>
    </w:p>
    <w:p w:rsidR="00022655" w:rsidRDefault="00022655" w:rsidP="00022655">
      <w:pPr>
        <w:pStyle w:val="TOC2"/>
        <w:tabs>
          <w:tab w:val="right" w:leader="dot" w:pos="10080"/>
        </w:tabs>
        <w:ind w:left="450"/>
        <w:rPr>
          <w:noProof/>
        </w:rPr>
      </w:pPr>
      <w:r>
        <w:rPr>
          <w:noProof/>
        </w:rPr>
        <w:t xml:space="preserve">1.3 </w:t>
      </w:r>
      <w:r w:rsidR="009C3C00">
        <w:rPr>
          <w:noProof/>
        </w:rPr>
        <w:t xml:space="preserve">   </w:t>
      </w:r>
      <w:r>
        <w:rPr>
          <w:noProof/>
        </w:rPr>
        <w:t>Coinciding Burdens on Upland Oak Forests</w:t>
      </w:r>
      <w:r>
        <w:rPr>
          <w:noProof/>
        </w:rPr>
        <w:tab/>
      </w:r>
      <w:r w:rsidR="00A67137">
        <w:rPr>
          <w:noProof/>
        </w:rPr>
        <w:t>9</w:t>
      </w:r>
    </w:p>
    <w:p w:rsidR="00022655" w:rsidRDefault="00022655" w:rsidP="00022655">
      <w:pPr>
        <w:pStyle w:val="TOC3"/>
        <w:rPr>
          <w:noProof/>
        </w:rPr>
      </w:pPr>
      <w:r>
        <w:rPr>
          <w:noProof/>
        </w:rPr>
        <w:t xml:space="preserve">1.4 </w:t>
      </w:r>
      <w:r w:rsidR="009C3C00">
        <w:rPr>
          <w:noProof/>
        </w:rPr>
        <w:t xml:space="preserve">   </w:t>
      </w:r>
      <w:r>
        <w:rPr>
          <w:noProof/>
        </w:rPr>
        <w:t>Ownership and Anticipated Behaviors/Opportunities</w:t>
      </w:r>
      <w:r>
        <w:rPr>
          <w:noProof/>
        </w:rPr>
        <w:tab/>
        <w:t>1</w:t>
      </w:r>
      <w:r w:rsidR="003533BE">
        <w:rPr>
          <w:noProof/>
        </w:rPr>
        <w:t>4</w:t>
      </w:r>
    </w:p>
    <w:p w:rsidR="009C3C00" w:rsidRPr="00022655" w:rsidRDefault="009C3C00" w:rsidP="009C3C00">
      <w:pPr>
        <w:pStyle w:val="TOC1"/>
        <w:rPr>
          <w:noProof/>
        </w:rPr>
      </w:pPr>
      <w:r w:rsidRPr="009C3C00">
        <w:rPr>
          <w:noProof/>
        </w:rPr>
        <w:t>1.5   IFM Research History and Relevance</w:t>
      </w:r>
      <w:r w:rsidRPr="009C3C00">
        <w:rPr>
          <w:noProof/>
        </w:rPr>
        <w:tab/>
        <w:t>1</w:t>
      </w:r>
      <w:r w:rsidR="003533BE">
        <w:rPr>
          <w:noProof/>
        </w:rPr>
        <w:t>7</w:t>
      </w:r>
    </w:p>
    <w:p w:rsidR="002B58DD" w:rsidRDefault="00816BE1">
      <w:pPr>
        <w:pStyle w:val="TOC2"/>
        <w:tabs>
          <w:tab w:val="left" w:pos="660"/>
          <w:tab w:val="right" w:leader="dot" w:pos="10070"/>
        </w:tabs>
        <w:rPr>
          <w:rStyle w:val="Hyperlink"/>
          <w:noProof/>
        </w:rPr>
      </w:pPr>
      <w:hyperlink w:anchor="_Toc278294305" w:history="1">
        <w:r w:rsidR="002B58DD" w:rsidRPr="00633786">
          <w:rPr>
            <w:rStyle w:val="Hyperlink"/>
            <w:noProof/>
          </w:rPr>
          <w:t>2.</w:t>
        </w:r>
        <w:r w:rsidR="002B58DD" w:rsidRPr="002B58DD">
          <w:rPr>
            <w:rFonts w:eastAsia="Times New Roman"/>
            <w:noProof/>
          </w:rPr>
          <w:tab/>
        </w:r>
        <w:r w:rsidR="002B58DD" w:rsidRPr="00633786">
          <w:rPr>
            <w:rStyle w:val="Hyperlink"/>
            <w:noProof/>
          </w:rPr>
          <w:t>OBJECTIVES</w:t>
        </w:r>
        <w:r w:rsidR="002B58DD">
          <w:rPr>
            <w:noProof/>
            <w:webHidden/>
          </w:rPr>
          <w:tab/>
        </w:r>
        <w:r w:rsidR="002B58DD" w:rsidRPr="007A1E3E">
          <w:rPr>
            <w:b/>
            <w:noProof/>
            <w:webHidden/>
          </w:rPr>
          <w:fldChar w:fldCharType="begin"/>
        </w:r>
        <w:r w:rsidR="002B58DD" w:rsidRPr="007A1E3E">
          <w:rPr>
            <w:b/>
            <w:noProof/>
            <w:webHidden/>
          </w:rPr>
          <w:instrText xml:space="preserve"> PAGEREF _Toc278294305 \h </w:instrText>
        </w:r>
        <w:r w:rsidR="002B58DD" w:rsidRPr="007A1E3E">
          <w:rPr>
            <w:b/>
            <w:noProof/>
            <w:webHidden/>
          </w:rPr>
        </w:r>
        <w:r w:rsidR="002B58DD" w:rsidRPr="007A1E3E">
          <w:rPr>
            <w:b/>
            <w:noProof/>
            <w:webHidden/>
          </w:rPr>
          <w:fldChar w:fldCharType="separate"/>
        </w:r>
        <w:r w:rsidR="00C77D85">
          <w:rPr>
            <w:b/>
            <w:noProof/>
            <w:webHidden/>
          </w:rPr>
          <w:t>18</w:t>
        </w:r>
        <w:r w:rsidR="002B58DD" w:rsidRPr="007A1E3E">
          <w:rPr>
            <w:b/>
            <w:noProof/>
            <w:webHidden/>
          </w:rPr>
          <w:fldChar w:fldCharType="end"/>
        </w:r>
      </w:hyperlink>
    </w:p>
    <w:p w:rsidR="00022655" w:rsidRDefault="00022655">
      <w:pPr>
        <w:pStyle w:val="TOC3"/>
        <w:rPr>
          <w:noProof/>
        </w:rPr>
      </w:pPr>
      <w:r>
        <w:rPr>
          <w:noProof/>
        </w:rPr>
        <w:t xml:space="preserve">2.1 </w:t>
      </w:r>
      <w:r w:rsidR="009C3C00">
        <w:rPr>
          <w:noProof/>
        </w:rPr>
        <w:t xml:space="preserve">   </w:t>
      </w:r>
      <w:r>
        <w:rPr>
          <w:noProof/>
        </w:rPr>
        <w:t>Commodity Driven Sustainable Forestry with Carbon Value</w:t>
      </w:r>
      <w:r>
        <w:rPr>
          <w:noProof/>
        </w:rPr>
        <w:tab/>
        <w:t>1</w:t>
      </w:r>
      <w:r w:rsidR="00A75A49">
        <w:rPr>
          <w:noProof/>
        </w:rPr>
        <w:t>8</w:t>
      </w:r>
    </w:p>
    <w:p w:rsidR="002B58DD" w:rsidRPr="002B58DD" w:rsidRDefault="00816BE1">
      <w:pPr>
        <w:pStyle w:val="TOC2"/>
        <w:tabs>
          <w:tab w:val="left" w:pos="660"/>
          <w:tab w:val="right" w:leader="dot" w:pos="10070"/>
        </w:tabs>
        <w:rPr>
          <w:rFonts w:eastAsia="Times New Roman"/>
          <w:noProof/>
        </w:rPr>
      </w:pPr>
      <w:hyperlink w:anchor="_Toc278294306" w:history="1">
        <w:r w:rsidR="002B58DD" w:rsidRPr="00633786">
          <w:rPr>
            <w:rStyle w:val="Hyperlink"/>
            <w:noProof/>
          </w:rPr>
          <w:t>3.</w:t>
        </w:r>
        <w:r w:rsidR="002B58DD" w:rsidRPr="002B58DD">
          <w:rPr>
            <w:rFonts w:eastAsia="Times New Roman"/>
            <w:noProof/>
          </w:rPr>
          <w:tab/>
        </w:r>
        <w:r w:rsidR="002B58DD" w:rsidRPr="00633786">
          <w:rPr>
            <w:rStyle w:val="Hyperlink"/>
            <w:noProof/>
          </w:rPr>
          <w:t>METHODS</w:t>
        </w:r>
        <w:r w:rsidR="002B58DD">
          <w:rPr>
            <w:noProof/>
            <w:webHidden/>
          </w:rPr>
          <w:tab/>
        </w:r>
        <w:r w:rsidR="002B58DD" w:rsidRPr="006F7FCF">
          <w:rPr>
            <w:b/>
            <w:noProof/>
            <w:webHidden/>
          </w:rPr>
          <w:fldChar w:fldCharType="begin"/>
        </w:r>
        <w:r w:rsidR="002B58DD" w:rsidRPr="006F7FCF">
          <w:rPr>
            <w:b/>
            <w:noProof/>
            <w:webHidden/>
          </w:rPr>
          <w:instrText xml:space="preserve"> PAGEREF _Toc278294306 \h </w:instrText>
        </w:r>
        <w:r w:rsidR="002B58DD" w:rsidRPr="006F7FCF">
          <w:rPr>
            <w:b/>
            <w:noProof/>
            <w:webHidden/>
          </w:rPr>
        </w:r>
        <w:r w:rsidR="002B58DD" w:rsidRPr="006F7FCF">
          <w:rPr>
            <w:b/>
            <w:noProof/>
            <w:webHidden/>
          </w:rPr>
          <w:fldChar w:fldCharType="separate"/>
        </w:r>
        <w:r w:rsidR="00C77D85">
          <w:rPr>
            <w:b/>
            <w:noProof/>
            <w:webHidden/>
          </w:rPr>
          <w:t>21</w:t>
        </w:r>
        <w:r w:rsidR="002B58DD" w:rsidRPr="006F7FCF">
          <w:rPr>
            <w:b/>
            <w:noProof/>
            <w:webHidden/>
          </w:rPr>
          <w:fldChar w:fldCharType="end"/>
        </w:r>
      </w:hyperlink>
    </w:p>
    <w:p w:rsidR="005E7C96" w:rsidRDefault="005E7C96" w:rsidP="005E7C96">
      <w:pPr>
        <w:pStyle w:val="TOC2"/>
        <w:tabs>
          <w:tab w:val="right" w:leader="dot" w:pos="10080"/>
        </w:tabs>
        <w:ind w:left="216" w:firstLine="234"/>
        <w:rPr>
          <w:noProof/>
        </w:rPr>
      </w:pPr>
      <w:r>
        <w:rPr>
          <w:noProof/>
        </w:rPr>
        <w:t xml:space="preserve">3.1 </w:t>
      </w:r>
      <w:r w:rsidR="009C3C00">
        <w:rPr>
          <w:noProof/>
        </w:rPr>
        <w:t xml:space="preserve">   </w:t>
      </w:r>
      <w:r>
        <w:rPr>
          <w:noProof/>
        </w:rPr>
        <w:t>Forest Model and Data</w:t>
      </w:r>
      <w:r>
        <w:rPr>
          <w:noProof/>
        </w:rPr>
        <w:tab/>
      </w:r>
      <w:r w:rsidR="00A75A49">
        <w:rPr>
          <w:noProof/>
        </w:rPr>
        <w:t>2</w:t>
      </w:r>
      <w:r w:rsidR="003533BE">
        <w:rPr>
          <w:noProof/>
        </w:rPr>
        <w:t>1</w:t>
      </w:r>
    </w:p>
    <w:p w:rsidR="005E7C96" w:rsidRDefault="005E7C96" w:rsidP="005E7C96">
      <w:pPr>
        <w:pStyle w:val="TOC3"/>
        <w:rPr>
          <w:noProof/>
        </w:rPr>
      </w:pPr>
      <w:r>
        <w:rPr>
          <w:noProof/>
        </w:rPr>
        <w:t xml:space="preserve">3.2 </w:t>
      </w:r>
      <w:r w:rsidR="009C3C00">
        <w:rPr>
          <w:noProof/>
        </w:rPr>
        <w:t xml:space="preserve">   </w:t>
      </w:r>
      <w:r>
        <w:rPr>
          <w:noProof/>
        </w:rPr>
        <w:t>Simulation</w:t>
      </w:r>
      <w:r w:rsidR="00E637C1">
        <w:rPr>
          <w:noProof/>
        </w:rPr>
        <w:t xml:space="preserve"> Assumption</w:t>
      </w:r>
      <w:r>
        <w:rPr>
          <w:noProof/>
        </w:rPr>
        <w:t>s</w:t>
      </w:r>
      <w:r>
        <w:rPr>
          <w:noProof/>
        </w:rPr>
        <w:tab/>
      </w:r>
      <w:r w:rsidR="00CF5F1E">
        <w:rPr>
          <w:noProof/>
        </w:rPr>
        <w:t>3</w:t>
      </w:r>
      <w:r w:rsidR="003533BE">
        <w:rPr>
          <w:noProof/>
        </w:rPr>
        <w:t>4</w:t>
      </w:r>
    </w:p>
    <w:p w:rsidR="007A1E3E" w:rsidRDefault="00A75A49" w:rsidP="007A1E3E">
      <w:pPr>
        <w:pStyle w:val="TOC3"/>
        <w:rPr>
          <w:noProof/>
        </w:rPr>
      </w:pPr>
      <w:r>
        <w:rPr>
          <w:noProof/>
        </w:rPr>
        <w:t>3.3    Carbon Accounting Approach and Assumptions</w:t>
      </w:r>
      <w:r w:rsidR="007A1E3E">
        <w:rPr>
          <w:noProof/>
        </w:rPr>
        <w:tab/>
      </w:r>
      <w:r w:rsidR="00CF5F1E">
        <w:rPr>
          <w:noProof/>
        </w:rPr>
        <w:t>5</w:t>
      </w:r>
      <w:r w:rsidR="003533BE">
        <w:rPr>
          <w:noProof/>
        </w:rPr>
        <w:t>1</w:t>
      </w:r>
    </w:p>
    <w:p w:rsidR="002B58DD" w:rsidRPr="002B58DD" w:rsidRDefault="00816BE1">
      <w:pPr>
        <w:pStyle w:val="TOC2"/>
        <w:tabs>
          <w:tab w:val="left" w:pos="660"/>
          <w:tab w:val="right" w:leader="dot" w:pos="10070"/>
        </w:tabs>
        <w:rPr>
          <w:rFonts w:eastAsia="Times New Roman"/>
          <w:noProof/>
        </w:rPr>
      </w:pPr>
      <w:hyperlink w:anchor="_Toc278294307" w:history="1">
        <w:r w:rsidR="002B58DD" w:rsidRPr="00633786">
          <w:rPr>
            <w:rStyle w:val="Hyperlink"/>
            <w:noProof/>
          </w:rPr>
          <w:t>4.</w:t>
        </w:r>
        <w:r w:rsidR="002B58DD" w:rsidRPr="002B58DD">
          <w:rPr>
            <w:rFonts w:eastAsia="Times New Roman"/>
            <w:noProof/>
          </w:rPr>
          <w:tab/>
        </w:r>
        <w:r w:rsidR="002B58DD" w:rsidRPr="00633786">
          <w:rPr>
            <w:rStyle w:val="Hyperlink"/>
            <w:noProof/>
          </w:rPr>
          <w:t>RESULTS</w:t>
        </w:r>
        <w:r w:rsidR="002B58DD">
          <w:rPr>
            <w:noProof/>
            <w:webHidden/>
          </w:rPr>
          <w:tab/>
        </w:r>
        <w:r w:rsidR="002B58DD" w:rsidRPr="007A1E3E">
          <w:rPr>
            <w:b/>
            <w:noProof/>
            <w:webHidden/>
          </w:rPr>
          <w:fldChar w:fldCharType="begin"/>
        </w:r>
        <w:r w:rsidR="002B58DD" w:rsidRPr="007A1E3E">
          <w:rPr>
            <w:b/>
            <w:noProof/>
            <w:webHidden/>
          </w:rPr>
          <w:instrText xml:space="preserve"> PAGEREF _Toc278294307 \h </w:instrText>
        </w:r>
        <w:r w:rsidR="002B58DD" w:rsidRPr="007A1E3E">
          <w:rPr>
            <w:b/>
            <w:noProof/>
            <w:webHidden/>
          </w:rPr>
        </w:r>
        <w:r w:rsidR="002B58DD" w:rsidRPr="007A1E3E">
          <w:rPr>
            <w:b/>
            <w:noProof/>
            <w:webHidden/>
          </w:rPr>
          <w:fldChar w:fldCharType="separate"/>
        </w:r>
        <w:r w:rsidR="00C77D85">
          <w:rPr>
            <w:b/>
            <w:noProof/>
            <w:webHidden/>
          </w:rPr>
          <w:t>59</w:t>
        </w:r>
        <w:r w:rsidR="002B58DD" w:rsidRPr="007A1E3E">
          <w:rPr>
            <w:b/>
            <w:noProof/>
            <w:webHidden/>
          </w:rPr>
          <w:fldChar w:fldCharType="end"/>
        </w:r>
      </w:hyperlink>
    </w:p>
    <w:p w:rsidR="009C3C00" w:rsidRDefault="009C3C00" w:rsidP="009C3C00">
      <w:pPr>
        <w:pStyle w:val="TOC1"/>
        <w:rPr>
          <w:noProof/>
        </w:rPr>
      </w:pPr>
      <w:r>
        <w:rPr>
          <w:noProof/>
        </w:rPr>
        <w:t>4.1    Timber Management Economics: BAU vs. Oak Sustaining Silviculture</w:t>
      </w:r>
      <w:r>
        <w:rPr>
          <w:noProof/>
        </w:rPr>
        <w:tab/>
      </w:r>
      <w:r w:rsidR="00A75A49">
        <w:rPr>
          <w:noProof/>
        </w:rPr>
        <w:t>5</w:t>
      </w:r>
      <w:r w:rsidR="0098302C">
        <w:rPr>
          <w:noProof/>
        </w:rPr>
        <w:t>9</w:t>
      </w:r>
    </w:p>
    <w:p w:rsidR="009C3C00" w:rsidRDefault="009C3C00" w:rsidP="009C3C00">
      <w:pPr>
        <w:pStyle w:val="TOC2"/>
        <w:tabs>
          <w:tab w:val="right" w:leader="dot" w:pos="10080"/>
        </w:tabs>
        <w:ind w:left="216" w:firstLine="234"/>
        <w:rPr>
          <w:noProof/>
        </w:rPr>
      </w:pPr>
      <w:r>
        <w:rPr>
          <w:noProof/>
        </w:rPr>
        <w:t>4.2    IFM Financial Feasibility Under CAR</w:t>
      </w:r>
      <w:r>
        <w:rPr>
          <w:noProof/>
        </w:rPr>
        <w:tab/>
      </w:r>
      <w:r w:rsidR="0098302C">
        <w:rPr>
          <w:noProof/>
        </w:rPr>
        <w:t>6</w:t>
      </w:r>
      <w:r w:rsidR="003533BE">
        <w:rPr>
          <w:noProof/>
        </w:rPr>
        <w:t>0</w:t>
      </w:r>
    </w:p>
    <w:p w:rsidR="00A75A49" w:rsidRPr="00A75A49" w:rsidRDefault="00A75A49" w:rsidP="00A75A49">
      <w:pPr>
        <w:pStyle w:val="TOC2"/>
        <w:tabs>
          <w:tab w:val="right" w:leader="dot" w:pos="10080"/>
        </w:tabs>
        <w:ind w:left="216" w:firstLine="234"/>
        <w:rPr>
          <w:noProof/>
        </w:rPr>
      </w:pPr>
      <w:r>
        <w:rPr>
          <w:noProof/>
        </w:rPr>
        <w:t xml:space="preserve">4.3    Results from </w:t>
      </w:r>
      <w:r w:rsidR="00CF5F1E">
        <w:rPr>
          <w:noProof/>
        </w:rPr>
        <w:t>Potential Protocol Refinements</w:t>
      </w:r>
      <w:r w:rsidR="00CF5F1E">
        <w:rPr>
          <w:noProof/>
        </w:rPr>
        <w:tab/>
        <w:t>6</w:t>
      </w:r>
      <w:r w:rsidR="003533BE">
        <w:rPr>
          <w:noProof/>
        </w:rPr>
        <w:t>3</w:t>
      </w:r>
    </w:p>
    <w:p w:rsidR="002B58DD" w:rsidRPr="002B58DD" w:rsidRDefault="00816BE1">
      <w:pPr>
        <w:pStyle w:val="TOC2"/>
        <w:tabs>
          <w:tab w:val="left" w:pos="660"/>
          <w:tab w:val="right" w:leader="dot" w:pos="10070"/>
        </w:tabs>
        <w:rPr>
          <w:rFonts w:eastAsia="Times New Roman"/>
          <w:noProof/>
        </w:rPr>
      </w:pPr>
      <w:hyperlink w:anchor="_Toc278294308" w:history="1">
        <w:r w:rsidR="002B58DD" w:rsidRPr="00633786">
          <w:rPr>
            <w:rStyle w:val="Hyperlink"/>
            <w:noProof/>
          </w:rPr>
          <w:t>5.</w:t>
        </w:r>
        <w:r w:rsidR="002B58DD" w:rsidRPr="002B58DD">
          <w:rPr>
            <w:rFonts w:eastAsia="Times New Roman"/>
            <w:noProof/>
          </w:rPr>
          <w:tab/>
        </w:r>
        <w:r w:rsidR="002B58DD" w:rsidRPr="00633786">
          <w:rPr>
            <w:rStyle w:val="Hyperlink"/>
            <w:noProof/>
          </w:rPr>
          <w:t>DISCUSSION</w:t>
        </w:r>
        <w:r w:rsidR="002B58DD">
          <w:rPr>
            <w:noProof/>
            <w:webHidden/>
          </w:rPr>
          <w:tab/>
        </w:r>
        <w:r w:rsidR="002B58DD" w:rsidRPr="007A1E3E">
          <w:rPr>
            <w:b/>
            <w:noProof/>
            <w:webHidden/>
          </w:rPr>
          <w:fldChar w:fldCharType="begin"/>
        </w:r>
        <w:r w:rsidR="002B58DD" w:rsidRPr="007A1E3E">
          <w:rPr>
            <w:b/>
            <w:noProof/>
            <w:webHidden/>
          </w:rPr>
          <w:instrText xml:space="preserve"> PAGEREF _Toc278294308 \h </w:instrText>
        </w:r>
        <w:r w:rsidR="002B58DD" w:rsidRPr="007A1E3E">
          <w:rPr>
            <w:b/>
            <w:noProof/>
            <w:webHidden/>
          </w:rPr>
        </w:r>
        <w:r w:rsidR="002B58DD" w:rsidRPr="007A1E3E">
          <w:rPr>
            <w:b/>
            <w:noProof/>
            <w:webHidden/>
          </w:rPr>
          <w:fldChar w:fldCharType="separate"/>
        </w:r>
        <w:r w:rsidR="00C77D85">
          <w:rPr>
            <w:b/>
            <w:noProof/>
            <w:webHidden/>
          </w:rPr>
          <w:t>71</w:t>
        </w:r>
        <w:r w:rsidR="002B58DD" w:rsidRPr="007A1E3E">
          <w:rPr>
            <w:b/>
            <w:noProof/>
            <w:webHidden/>
          </w:rPr>
          <w:fldChar w:fldCharType="end"/>
        </w:r>
      </w:hyperlink>
    </w:p>
    <w:p w:rsidR="009C3C00" w:rsidRDefault="009C3C00" w:rsidP="009C3C00">
      <w:pPr>
        <w:pStyle w:val="TOC1"/>
        <w:rPr>
          <w:noProof/>
        </w:rPr>
      </w:pPr>
      <w:r>
        <w:rPr>
          <w:noProof/>
        </w:rPr>
        <w:t>5.1    Problematic CAR Implementation</w:t>
      </w:r>
      <w:r>
        <w:rPr>
          <w:noProof/>
        </w:rPr>
        <w:tab/>
      </w:r>
      <w:r w:rsidR="00A96C14">
        <w:rPr>
          <w:noProof/>
        </w:rPr>
        <w:t>7</w:t>
      </w:r>
      <w:r w:rsidR="003533BE">
        <w:rPr>
          <w:noProof/>
        </w:rPr>
        <w:t>2</w:t>
      </w:r>
    </w:p>
    <w:p w:rsidR="00A75A49" w:rsidRDefault="00A75A49" w:rsidP="00A75A49">
      <w:pPr>
        <w:pStyle w:val="TOC1"/>
        <w:rPr>
          <w:noProof/>
        </w:rPr>
      </w:pPr>
      <w:r>
        <w:rPr>
          <w:noProof/>
        </w:rPr>
        <w:t>5.2    Additionality Considerations</w:t>
      </w:r>
      <w:r>
        <w:rPr>
          <w:noProof/>
        </w:rPr>
        <w:tab/>
      </w:r>
      <w:r w:rsidR="00A96C14">
        <w:rPr>
          <w:noProof/>
        </w:rPr>
        <w:t>7</w:t>
      </w:r>
      <w:r w:rsidR="00CF5F1E">
        <w:rPr>
          <w:noProof/>
        </w:rPr>
        <w:t>4</w:t>
      </w:r>
    </w:p>
    <w:p w:rsidR="00A75A49" w:rsidRDefault="00A75A49" w:rsidP="00A75A49">
      <w:pPr>
        <w:pStyle w:val="TOC1"/>
        <w:rPr>
          <w:noProof/>
        </w:rPr>
      </w:pPr>
      <w:r>
        <w:rPr>
          <w:noProof/>
        </w:rPr>
        <w:t>5.3    Hybrid Baseline Approach</w:t>
      </w:r>
      <w:r>
        <w:rPr>
          <w:noProof/>
        </w:rPr>
        <w:tab/>
      </w:r>
      <w:r w:rsidR="00A96C14">
        <w:rPr>
          <w:noProof/>
        </w:rPr>
        <w:t>7</w:t>
      </w:r>
      <w:r w:rsidR="003533BE">
        <w:rPr>
          <w:noProof/>
        </w:rPr>
        <w:t>8</w:t>
      </w:r>
    </w:p>
    <w:p w:rsidR="00A75A49" w:rsidRPr="00A75A49" w:rsidRDefault="00A75A49" w:rsidP="00A75A49">
      <w:pPr>
        <w:pStyle w:val="TOC1"/>
        <w:rPr>
          <w:noProof/>
        </w:rPr>
      </w:pPr>
      <w:r>
        <w:rPr>
          <w:noProof/>
        </w:rPr>
        <w:t>5.</w:t>
      </w:r>
      <w:r w:rsidR="003533BE">
        <w:rPr>
          <w:noProof/>
        </w:rPr>
        <w:t>4</w:t>
      </w:r>
      <w:r>
        <w:rPr>
          <w:noProof/>
        </w:rPr>
        <w:t xml:space="preserve">    Alternative Strategies and Niche Opportunities</w:t>
      </w:r>
      <w:r>
        <w:rPr>
          <w:noProof/>
        </w:rPr>
        <w:tab/>
      </w:r>
      <w:r w:rsidR="0057314B">
        <w:rPr>
          <w:noProof/>
        </w:rPr>
        <w:t>8</w:t>
      </w:r>
      <w:r w:rsidR="003533BE">
        <w:rPr>
          <w:noProof/>
        </w:rPr>
        <w:t>2</w:t>
      </w:r>
    </w:p>
    <w:p w:rsidR="00A75A49" w:rsidRPr="00A75A49" w:rsidRDefault="00A75A49" w:rsidP="003533BE">
      <w:pPr>
        <w:pStyle w:val="TOC1"/>
        <w:rPr>
          <w:noProof/>
        </w:rPr>
      </w:pPr>
      <w:r>
        <w:rPr>
          <w:noProof/>
        </w:rPr>
        <w:t>5.</w:t>
      </w:r>
      <w:r w:rsidR="003533BE">
        <w:rPr>
          <w:noProof/>
        </w:rPr>
        <w:t>5</w:t>
      </w:r>
      <w:r>
        <w:rPr>
          <w:noProof/>
        </w:rPr>
        <w:t xml:space="preserve">    Applicability of Results</w:t>
      </w:r>
      <w:r>
        <w:rPr>
          <w:noProof/>
        </w:rPr>
        <w:tab/>
      </w:r>
      <w:r w:rsidR="0057314B">
        <w:rPr>
          <w:noProof/>
        </w:rPr>
        <w:t>8</w:t>
      </w:r>
      <w:r w:rsidR="003533BE">
        <w:rPr>
          <w:noProof/>
        </w:rPr>
        <w:t>4</w:t>
      </w:r>
    </w:p>
    <w:p w:rsidR="002B58DD" w:rsidRPr="002B58DD" w:rsidRDefault="00816BE1">
      <w:pPr>
        <w:pStyle w:val="TOC2"/>
        <w:tabs>
          <w:tab w:val="left" w:pos="660"/>
          <w:tab w:val="right" w:leader="dot" w:pos="10070"/>
        </w:tabs>
        <w:rPr>
          <w:rFonts w:eastAsia="Times New Roman"/>
          <w:noProof/>
        </w:rPr>
      </w:pPr>
      <w:hyperlink w:anchor="_Toc278294309" w:history="1">
        <w:r w:rsidR="002B58DD" w:rsidRPr="00633786">
          <w:rPr>
            <w:rStyle w:val="Hyperlink"/>
            <w:noProof/>
          </w:rPr>
          <w:t>6.</w:t>
        </w:r>
        <w:r w:rsidR="002B58DD" w:rsidRPr="002B58DD">
          <w:rPr>
            <w:rFonts w:eastAsia="Times New Roman"/>
            <w:noProof/>
          </w:rPr>
          <w:tab/>
        </w:r>
        <w:r w:rsidR="002B58DD" w:rsidRPr="00633786">
          <w:rPr>
            <w:rStyle w:val="Hyperlink"/>
            <w:noProof/>
          </w:rPr>
          <w:t>CONCLUSIONS</w:t>
        </w:r>
        <w:r w:rsidR="002B58DD">
          <w:rPr>
            <w:noProof/>
            <w:webHidden/>
          </w:rPr>
          <w:tab/>
        </w:r>
        <w:r w:rsidR="002B58DD" w:rsidRPr="007A1E3E">
          <w:rPr>
            <w:b/>
            <w:noProof/>
            <w:webHidden/>
          </w:rPr>
          <w:fldChar w:fldCharType="begin"/>
        </w:r>
        <w:r w:rsidR="002B58DD" w:rsidRPr="007A1E3E">
          <w:rPr>
            <w:b/>
            <w:noProof/>
            <w:webHidden/>
          </w:rPr>
          <w:instrText xml:space="preserve"> PAGEREF _Toc278294309 \h </w:instrText>
        </w:r>
        <w:r w:rsidR="002B58DD" w:rsidRPr="007A1E3E">
          <w:rPr>
            <w:b/>
            <w:noProof/>
            <w:webHidden/>
          </w:rPr>
        </w:r>
        <w:r w:rsidR="002B58DD" w:rsidRPr="007A1E3E">
          <w:rPr>
            <w:b/>
            <w:noProof/>
            <w:webHidden/>
          </w:rPr>
          <w:fldChar w:fldCharType="separate"/>
        </w:r>
        <w:r w:rsidR="00C77D85">
          <w:rPr>
            <w:b/>
            <w:noProof/>
            <w:webHidden/>
          </w:rPr>
          <w:t>86</w:t>
        </w:r>
        <w:r w:rsidR="002B58DD" w:rsidRPr="007A1E3E">
          <w:rPr>
            <w:b/>
            <w:noProof/>
            <w:webHidden/>
          </w:rPr>
          <w:fldChar w:fldCharType="end"/>
        </w:r>
      </w:hyperlink>
    </w:p>
    <w:p w:rsidR="002B58DD" w:rsidRPr="002B58DD" w:rsidRDefault="00816BE1">
      <w:pPr>
        <w:pStyle w:val="TOC2"/>
        <w:tabs>
          <w:tab w:val="right" w:leader="dot" w:pos="10070"/>
        </w:tabs>
        <w:rPr>
          <w:rFonts w:eastAsia="Times New Roman"/>
          <w:noProof/>
        </w:rPr>
      </w:pPr>
      <w:hyperlink w:anchor="_Toc278294310" w:history="1">
        <w:r w:rsidR="002B58DD" w:rsidRPr="00633786">
          <w:rPr>
            <w:rStyle w:val="Hyperlink"/>
            <w:noProof/>
          </w:rPr>
          <w:t>Literature Cited</w:t>
        </w:r>
        <w:r w:rsidR="002B58DD">
          <w:rPr>
            <w:noProof/>
            <w:webHidden/>
          </w:rPr>
          <w:tab/>
        </w:r>
        <w:r w:rsidR="002B58DD" w:rsidRPr="007A1E3E">
          <w:rPr>
            <w:b/>
            <w:noProof/>
            <w:webHidden/>
          </w:rPr>
          <w:fldChar w:fldCharType="begin"/>
        </w:r>
        <w:r w:rsidR="002B58DD" w:rsidRPr="007A1E3E">
          <w:rPr>
            <w:b/>
            <w:noProof/>
            <w:webHidden/>
          </w:rPr>
          <w:instrText xml:space="preserve"> PAGEREF _Toc278294310 \h </w:instrText>
        </w:r>
        <w:r w:rsidR="002B58DD" w:rsidRPr="007A1E3E">
          <w:rPr>
            <w:b/>
            <w:noProof/>
            <w:webHidden/>
          </w:rPr>
        </w:r>
        <w:r w:rsidR="002B58DD" w:rsidRPr="007A1E3E">
          <w:rPr>
            <w:b/>
            <w:noProof/>
            <w:webHidden/>
          </w:rPr>
          <w:fldChar w:fldCharType="separate"/>
        </w:r>
        <w:r w:rsidR="00C77D85">
          <w:rPr>
            <w:b/>
            <w:noProof/>
            <w:webHidden/>
          </w:rPr>
          <w:t>88</w:t>
        </w:r>
        <w:r w:rsidR="002B58DD" w:rsidRPr="007A1E3E">
          <w:rPr>
            <w:b/>
            <w:noProof/>
            <w:webHidden/>
          </w:rPr>
          <w:fldChar w:fldCharType="end"/>
        </w:r>
      </w:hyperlink>
    </w:p>
    <w:p w:rsidR="002B58DD" w:rsidRDefault="00816BE1">
      <w:pPr>
        <w:pStyle w:val="TOC2"/>
        <w:tabs>
          <w:tab w:val="right" w:leader="dot" w:pos="10070"/>
        </w:tabs>
        <w:rPr>
          <w:b/>
          <w:noProof/>
        </w:rPr>
      </w:pPr>
      <w:hyperlink w:anchor="_Toc278294311" w:history="1">
        <w:r w:rsidR="002B58DD" w:rsidRPr="00776FD8">
          <w:rPr>
            <w:rStyle w:val="Hyperlink"/>
            <w:noProof/>
          </w:rPr>
          <w:t>Appendix A</w:t>
        </w:r>
        <w:r w:rsidR="002B58DD" w:rsidRPr="00776FD8">
          <w:rPr>
            <w:rStyle w:val="Hyperlink"/>
            <w:noProof/>
            <w:webHidden/>
          </w:rPr>
          <w:tab/>
        </w:r>
        <w:r w:rsidR="00776FD8" w:rsidRPr="00776FD8">
          <w:rPr>
            <w:rStyle w:val="Hyperlink"/>
            <w:b/>
            <w:noProof/>
          </w:rPr>
          <w:t>9</w:t>
        </w:r>
        <w:r w:rsidR="00776FD8">
          <w:rPr>
            <w:rStyle w:val="Hyperlink"/>
            <w:b/>
            <w:noProof/>
          </w:rPr>
          <w:t>7</w:t>
        </w:r>
      </w:hyperlink>
    </w:p>
    <w:p w:rsidR="0057314B" w:rsidRPr="002B58DD" w:rsidRDefault="00816BE1" w:rsidP="0057314B">
      <w:pPr>
        <w:pStyle w:val="TOC2"/>
        <w:tabs>
          <w:tab w:val="right" w:leader="dot" w:pos="10070"/>
        </w:tabs>
        <w:rPr>
          <w:rFonts w:eastAsia="Times New Roman"/>
          <w:noProof/>
        </w:rPr>
      </w:pPr>
      <w:hyperlink w:anchor="_Toc278294311" w:history="1">
        <w:r w:rsidR="0057314B" w:rsidRPr="00633786">
          <w:rPr>
            <w:rStyle w:val="Hyperlink"/>
            <w:noProof/>
          </w:rPr>
          <w:t xml:space="preserve">Appendix </w:t>
        </w:r>
        <w:r w:rsidR="0057314B">
          <w:rPr>
            <w:rStyle w:val="Hyperlink"/>
            <w:noProof/>
          </w:rPr>
          <w:t>B</w:t>
        </w:r>
        <w:r w:rsidR="0057314B">
          <w:rPr>
            <w:noProof/>
            <w:webHidden/>
          </w:rPr>
          <w:tab/>
        </w:r>
      </w:hyperlink>
      <w:r w:rsidR="00827953">
        <w:rPr>
          <w:b/>
          <w:noProof/>
        </w:rPr>
        <w:t>98</w:t>
      </w:r>
    </w:p>
    <w:p w:rsidR="0057314B" w:rsidRPr="0057314B" w:rsidRDefault="0057314B" w:rsidP="0057314B">
      <w:pPr>
        <w:rPr>
          <w:noProof/>
        </w:rPr>
      </w:pPr>
    </w:p>
    <w:p w:rsidR="00054CA9" w:rsidRDefault="002B58DD" w:rsidP="0057314B">
      <w:pPr>
        <w:pStyle w:val="TOC2"/>
        <w:tabs>
          <w:tab w:val="right" w:leader="dot" w:pos="10080"/>
        </w:tabs>
        <w:ind w:left="0"/>
      </w:pPr>
      <w:r>
        <w:rPr>
          <w:b/>
          <w:bCs/>
          <w:noProof/>
        </w:rPr>
        <w:fldChar w:fldCharType="end"/>
      </w:r>
    </w:p>
    <w:p w:rsidR="00246971" w:rsidRDefault="00246971"/>
    <w:p w:rsidR="00214527" w:rsidRDefault="00214527"/>
    <w:p w:rsidR="00A96C14" w:rsidRDefault="00A96C14" w:rsidP="00A96C14">
      <w:pPr>
        <w:spacing w:line="480" w:lineRule="auto"/>
        <w:ind w:firstLine="720"/>
      </w:pPr>
    </w:p>
    <w:p w:rsidR="00A96C14" w:rsidRDefault="00A96C14">
      <w:r>
        <w:br w:type="page"/>
      </w:r>
    </w:p>
    <w:p w:rsidR="00A96C14" w:rsidRPr="002B58DD" w:rsidRDefault="00A96C14" w:rsidP="00A96C14">
      <w:pPr>
        <w:pStyle w:val="Heading2"/>
      </w:pPr>
      <w:bookmarkStart w:id="5" w:name="_Toc278294303"/>
      <w:r w:rsidRPr="002B58DD">
        <w:lastRenderedPageBreak/>
        <w:t>Abstract.</w:t>
      </w:r>
      <w:bookmarkEnd w:id="5"/>
    </w:p>
    <w:p w:rsidR="00214527" w:rsidRDefault="00A96C14" w:rsidP="00A90A39">
      <w:pPr>
        <w:spacing w:line="480" w:lineRule="auto"/>
        <w:ind w:firstLine="720"/>
      </w:pPr>
      <w:r w:rsidRPr="002B58DD">
        <w:t>Many studies have demonstrated that working</w:t>
      </w:r>
      <w:r w:rsidR="00C87DAE">
        <w:t xml:space="preserve"> pine forests can be cost-effectively </w:t>
      </w:r>
      <w:r w:rsidRPr="002B58DD">
        <w:t xml:space="preserve">managed to </w:t>
      </w:r>
      <w:r w:rsidR="00C87DAE">
        <w:t xml:space="preserve">enhance carbon sequestration </w:t>
      </w:r>
      <w:r w:rsidRPr="002B58DD">
        <w:t xml:space="preserve">under various, mostly hypothetical compensation frameworks but none have assessed the creditable carbon potential </w:t>
      </w:r>
      <w:r>
        <w:t xml:space="preserve">or </w:t>
      </w:r>
      <w:r w:rsidRPr="002B58DD">
        <w:t>financial viability of rarely employed sustainable forestry practices in upland hardwood</w:t>
      </w:r>
      <w:r w:rsidR="00946643">
        <w:t xml:space="preserve"> forest</w:t>
      </w:r>
      <w:r w:rsidRPr="002B58DD">
        <w:t xml:space="preserve">s, the South’s most abundant, complex and exploited forest type.  </w:t>
      </w:r>
      <w:r w:rsidRPr="00591524">
        <w:rPr>
          <w:rFonts w:cs="Calibri"/>
        </w:rPr>
        <w:t xml:space="preserve">This </w:t>
      </w:r>
      <w:r w:rsidR="00871009">
        <w:rPr>
          <w:rFonts w:cs="Calibri"/>
        </w:rPr>
        <w:t>study</w:t>
      </w:r>
      <w:r w:rsidRPr="00591524">
        <w:rPr>
          <w:rFonts w:cs="Calibri"/>
        </w:rPr>
        <w:t xml:space="preserve"> examines </w:t>
      </w:r>
      <w:r w:rsidR="00117243">
        <w:rPr>
          <w:rFonts w:cs="Calibri"/>
        </w:rPr>
        <w:t xml:space="preserve">the economics of </w:t>
      </w:r>
      <w:r>
        <w:rPr>
          <w:rFonts w:cs="Calibri"/>
        </w:rPr>
        <w:t xml:space="preserve">sustainable </w:t>
      </w:r>
      <w:r w:rsidR="00B21B4C">
        <w:rPr>
          <w:rFonts w:cs="Calibri"/>
        </w:rPr>
        <w:t>forestry</w:t>
      </w:r>
      <w:r w:rsidRPr="00591524">
        <w:rPr>
          <w:rFonts w:cs="Calibri"/>
        </w:rPr>
        <w:t xml:space="preserve"> in the Southern Appalachian </w:t>
      </w:r>
      <w:r w:rsidR="009B2B96">
        <w:rPr>
          <w:rFonts w:cs="Calibri"/>
        </w:rPr>
        <w:t xml:space="preserve">Mountains </w:t>
      </w:r>
      <w:r w:rsidR="00117243">
        <w:rPr>
          <w:rFonts w:cs="Calibri"/>
        </w:rPr>
        <w:t>with and without the monetization of carbon</w:t>
      </w:r>
      <w:r w:rsidRPr="00591524">
        <w:rPr>
          <w:rFonts w:cs="Calibri"/>
        </w:rPr>
        <w:t xml:space="preserve"> due to </w:t>
      </w:r>
      <w:r w:rsidR="00C87DAE">
        <w:rPr>
          <w:rFonts w:cs="Calibri"/>
        </w:rPr>
        <w:t>th</w:t>
      </w:r>
      <w:r w:rsidR="0008026E">
        <w:rPr>
          <w:rFonts w:cs="Calibri"/>
        </w:rPr>
        <w:t xml:space="preserve">e </w:t>
      </w:r>
      <w:r w:rsidR="002E2B92">
        <w:rPr>
          <w:rFonts w:cs="Calibri"/>
        </w:rPr>
        <w:t>region’s</w:t>
      </w:r>
      <w:r w:rsidRPr="00591524">
        <w:rPr>
          <w:rFonts w:cs="Calibri"/>
        </w:rPr>
        <w:t xml:space="preserve"> importance to eastern hardwood timber production and</w:t>
      </w:r>
      <w:r w:rsidR="00C87DAE">
        <w:rPr>
          <w:rFonts w:cs="Calibri"/>
        </w:rPr>
        <w:t xml:space="preserve"> its </w:t>
      </w:r>
      <w:r w:rsidRPr="00591524">
        <w:rPr>
          <w:rFonts w:cs="Calibri"/>
        </w:rPr>
        <w:t>overarching ecological significance</w:t>
      </w:r>
      <w:r>
        <w:rPr>
          <w:rFonts w:cs="Calibri"/>
        </w:rPr>
        <w:t>.  The primary constituent</w:t>
      </w:r>
      <w:r w:rsidR="00117243">
        <w:rPr>
          <w:rFonts w:cs="Calibri"/>
        </w:rPr>
        <w:t xml:space="preserve"> of the</w:t>
      </w:r>
      <w:r w:rsidR="00C87DAE">
        <w:rPr>
          <w:rFonts w:cs="Calibri"/>
        </w:rPr>
        <w:t xml:space="preserve"> landscape</w:t>
      </w:r>
      <w:r>
        <w:rPr>
          <w:rFonts w:cs="Calibri"/>
        </w:rPr>
        <w:t xml:space="preserve">, upland oak forests, </w:t>
      </w:r>
      <w:r w:rsidRPr="00591524">
        <w:rPr>
          <w:rFonts w:cs="Calibri"/>
        </w:rPr>
        <w:t>face a confluence of threats to their</w:t>
      </w:r>
      <w:r>
        <w:rPr>
          <w:rFonts w:cs="Calibri"/>
        </w:rPr>
        <w:t xml:space="preserve"> </w:t>
      </w:r>
      <w:r w:rsidRPr="00206C62">
        <w:rPr>
          <w:rFonts w:cs="Calibri"/>
        </w:rPr>
        <w:t xml:space="preserve">continued prevalence in the </w:t>
      </w:r>
      <w:r>
        <w:rPr>
          <w:rFonts w:cs="Calibri"/>
        </w:rPr>
        <w:t xml:space="preserve">region and are declining </w:t>
      </w:r>
      <w:r w:rsidRPr="00206C62">
        <w:rPr>
          <w:rFonts w:cs="Calibri"/>
        </w:rPr>
        <w:t>in the absence of recommended oak</w:t>
      </w:r>
      <w:r>
        <w:rPr>
          <w:rFonts w:cs="Calibri"/>
        </w:rPr>
        <w:t>-sustaining</w:t>
      </w:r>
      <w:r w:rsidRPr="00206C62">
        <w:rPr>
          <w:rFonts w:cs="Calibri"/>
        </w:rPr>
        <w:t xml:space="preserve"> </w:t>
      </w:r>
      <w:r w:rsidR="002E2B92">
        <w:rPr>
          <w:rFonts w:cs="Calibri"/>
        </w:rPr>
        <w:t>silviculture</w:t>
      </w:r>
      <w:r w:rsidR="00C87DAE">
        <w:rPr>
          <w:rFonts w:cs="Calibri"/>
        </w:rPr>
        <w:t xml:space="preserve">, which </w:t>
      </w:r>
      <w:r w:rsidR="00C37D0D">
        <w:rPr>
          <w:rFonts w:cs="Calibri"/>
        </w:rPr>
        <w:t>will have</w:t>
      </w:r>
      <w:r w:rsidR="00C87DAE">
        <w:rPr>
          <w:rFonts w:cs="Calibri"/>
        </w:rPr>
        <w:t xml:space="preserve"> serious implications </w:t>
      </w:r>
      <w:r w:rsidR="00C37D0D">
        <w:rPr>
          <w:rFonts w:cs="Calibri"/>
        </w:rPr>
        <w:t xml:space="preserve">on the </w:t>
      </w:r>
      <w:r w:rsidR="00C87DAE">
        <w:rPr>
          <w:rFonts w:cs="Calibri"/>
        </w:rPr>
        <w:t xml:space="preserve">biota </w:t>
      </w:r>
      <w:r w:rsidR="00117243">
        <w:rPr>
          <w:rFonts w:cs="Calibri"/>
        </w:rPr>
        <w:t>of these</w:t>
      </w:r>
      <w:r w:rsidR="00C37D0D">
        <w:rPr>
          <w:rFonts w:cs="Calibri"/>
        </w:rPr>
        <w:t xml:space="preserve"> forests</w:t>
      </w:r>
      <w:r>
        <w:rPr>
          <w:rFonts w:cs="Calibri"/>
        </w:rPr>
        <w:t xml:space="preserve">. </w:t>
      </w:r>
      <w:r w:rsidRPr="00AE59DC">
        <w:t xml:space="preserve"> </w:t>
      </w:r>
      <w:r w:rsidRPr="002B58DD">
        <w:t xml:space="preserve">This analysis was therefore conducted to assess the viability of </w:t>
      </w:r>
      <w:r>
        <w:t>oak-</w:t>
      </w:r>
      <w:r w:rsidRPr="002B58DD">
        <w:t xml:space="preserve">management at the project level for a hypothetical </w:t>
      </w:r>
      <w:r w:rsidR="00C87DAE">
        <w:t>Appalachian</w:t>
      </w:r>
      <w:r w:rsidRPr="002B58DD">
        <w:t xml:space="preserve"> hardwood forest according to the updated </w:t>
      </w:r>
      <w:r>
        <w:t>Climate Action Reserve</w:t>
      </w:r>
      <w:r w:rsidRPr="002B58DD">
        <w:t xml:space="preserve"> </w:t>
      </w:r>
      <w:r w:rsidR="00CE5F55">
        <w:t xml:space="preserve">(CAR) </w:t>
      </w:r>
      <w:r w:rsidRPr="002B58DD">
        <w:t xml:space="preserve">forestry protocol </w:t>
      </w:r>
      <w:r>
        <w:t xml:space="preserve">to see if </w:t>
      </w:r>
      <w:r w:rsidR="00C37D0D">
        <w:t>this program</w:t>
      </w:r>
      <w:r>
        <w:t xml:space="preserve"> lend</w:t>
      </w:r>
      <w:r w:rsidR="00C37D0D">
        <w:t>s</w:t>
      </w:r>
      <w:r>
        <w:t xml:space="preserve"> itself to </w:t>
      </w:r>
      <w:r w:rsidR="00C37D0D">
        <w:t xml:space="preserve">mitigating both </w:t>
      </w:r>
      <w:r w:rsidR="00BF147E">
        <w:t>greenhouse gas</w:t>
      </w:r>
      <w:r w:rsidR="00C37D0D">
        <w:t xml:space="preserve"> emissions and the</w:t>
      </w:r>
      <w:r>
        <w:t xml:space="preserve"> </w:t>
      </w:r>
      <w:r w:rsidR="00BF147E">
        <w:t>potential</w:t>
      </w:r>
      <w:r>
        <w:t xml:space="preserve"> ecological calamity</w:t>
      </w:r>
      <w:r w:rsidR="00C37D0D">
        <w:t xml:space="preserve"> </w:t>
      </w:r>
      <w:r w:rsidR="00117243">
        <w:t xml:space="preserve">associated with </w:t>
      </w:r>
      <w:r w:rsidR="00BF147E">
        <w:t>oak decline</w:t>
      </w:r>
      <w:r>
        <w:t xml:space="preserve">.  </w:t>
      </w:r>
      <w:r w:rsidRPr="002B58DD">
        <w:t xml:space="preserve">A dynamic </w:t>
      </w:r>
      <w:r w:rsidR="00B21B4C">
        <w:t xml:space="preserve">100 year </w:t>
      </w:r>
      <w:r w:rsidRPr="002B58DD">
        <w:t>model was built with the Forest Vegetation Simulator to best approximate real world conditions</w:t>
      </w:r>
      <w:r w:rsidR="004A0E43">
        <w:t xml:space="preserve">. </w:t>
      </w:r>
      <w:r w:rsidR="004A0E43" w:rsidRPr="004A0E43">
        <w:t xml:space="preserve"> </w:t>
      </w:r>
      <w:r w:rsidR="00111D73" w:rsidRPr="00111D73">
        <w:t>Even with an appr</w:t>
      </w:r>
      <w:r w:rsidR="00AB3E71">
        <w:t xml:space="preserve">eciable reduction in harvesting </w:t>
      </w:r>
      <w:r w:rsidR="00111D73" w:rsidRPr="00111D73">
        <w:t>on 20 percent of project area</w:t>
      </w:r>
      <w:r w:rsidR="00111D73">
        <w:t xml:space="preserve"> and lower harvest intensities on the rest of the forest </w:t>
      </w:r>
      <w:r w:rsidR="00111D73" w:rsidRPr="00111D73">
        <w:t xml:space="preserve">compared to </w:t>
      </w:r>
      <w:r w:rsidR="00111D73">
        <w:t>business as usual</w:t>
      </w:r>
      <w:r w:rsidR="0021000F">
        <w:t xml:space="preserve"> (BAU)</w:t>
      </w:r>
      <w:r w:rsidR="00111D73" w:rsidRPr="00111D73">
        <w:t xml:space="preserve">, </w:t>
      </w:r>
      <w:r w:rsidR="00BC2FB1" w:rsidRPr="002A6081">
        <w:t>the CAR protocol gave little credit for doing so</w:t>
      </w:r>
      <w:r w:rsidR="00BC2FB1">
        <w:t>.</w:t>
      </w:r>
      <w:r w:rsidR="00111D73">
        <w:t xml:space="preserve">  </w:t>
      </w:r>
      <w:r w:rsidR="00894AD5">
        <w:t>P</w:t>
      </w:r>
      <w:r w:rsidR="00CE5F55">
        <w:t>roject i</w:t>
      </w:r>
      <w:r w:rsidR="00777C0E">
        <w:t>mplementation under all tested-variation</w:t>
      </w:r>
      <w:r w:rsidR="0098302C">
        <w:t>s</w:t>
      </w:r>
      <w:r w:rsidR="00777C0E">
        <w:t xml:space="preserve"> of the protocol </w:t>
      </w:r>
      <w:r w:rsidR="00C37321">
        <w:t>yielded lower</w:t>
      </w:r>
      <w:r w:rsidR="00A31180">
        <w:t xml:space="preserve"> value</w:t>
      </w:r>
      <w:r w:rsidR="0098302C">
        <w:t xml:space="preserve"> </w:t>
      </w:r>
      <w:r w:rsidR="00C37321">
        <w:t>than</w:t>
      </w:r>
      <w:r w:rsidR="00CE5F55">
        <w:t xml:space="preserve"> the timber-only project scenario</w:t>
      </w:r>
      <w:r w:rsidR="00A31180">
        <w:t xml:space="preserve"> or </w:t>
      </w:r>
      <w:r w:rsidR="0021000F">
        <w:t>BAU</w:t>
      </w:r>
      <w:r w:rsidR="00082E6B">
        <w:t xml:space="preserve"> scenario</w:t>
      </w:r>
      <w:r w:rsidR="00A31180">
        <w:t xml:space="preserve"> at reasonable carbon </w:t>
      </w:r>
      <w:r w:rsidR="002A6081">
        <w:t xml:space="preserve">and timber </w:t>
      </w:r>
      <w:r w:rsidR="00A31180">
        <w:t>prices</w:t>
      </w:r>
      <w:r w:rsidR="00CE5F55">
        <w:t xml:space="preserve">.  </w:t>
      </w:r>
      <w:r w:rsidR="00C37321">
        <w:t>These</w:t>
      </w:r>
      <w:r w:rsidR="00C37321" w:rsidRPr="00C37321">
        <w:t xml:space="preserve"> results cast doubt on the utility of </w:t>
      </w:r>
      <w:r w:rsidR="002B32E0">
        <w:t xml:space="preserve">the </w:t>
      </w:r>
      <w:r w:rsidR="00C37321" w:rsidRPr="00C37321">
        <w:t xml:space="preserve">CAR </w:t>
      </w:r>
      <w:r w:rsidR="002B32E0">
        <w:t xml:space="preserve">protocol </w:t>
      </w:r>
      <w:r w:rsidR="00C37321" w:rsidRPr="00C37321">
        <w:t xml:space="preserve">(version 3.2) as a catalyst for popularizing sustainable </w:t>
      </w:r>
      <w:r w:rsidR="00BC2FB1">
        <w:t>even-age forestry</w:t>
      </w:r>
      <w:r w:rsidR="00C37321" w:rsidRPr="00C37321">
        <w:t xml:space="preserve"> in medium to small size tracts of relatively mature upland hardwood forests</w:t>
      </w:r>
      <w:r w:rsidR="002B32E0">
        <w:t>,</w:t>
      </w:r>
      <w:r w:rsidR="003339F5">
        <w:t xml:space="preserve"> as was hypothesized.  </w:t>
      </w:r>
      <w:r w:rsidR="00CE5F55">
        <w:t>An</w:t>
      </w:r>
      <w:r w:rsidR="00777C0E">
        <w:t xml:space="preserve"> alternative </w:t>
      </w:r>
      <w:r w:rsidR="00CE5F55">
        <w:t xml:space="preserve">baseline </w:t>
      </w:r>
      <w:r w:rsidR="00082E6B" w:rsidRPr="00951EC7">
        <w:rPr>
          <w:rFonts w:asciiTheme="minorHAnsi" w:hAnsiTheme="minorHAnsi" w:cstheme="minorHAnsi"/>
          <w:color w:val="000000"/>
        </w:rPr>
        <w:t>linked to</w:t>
      </w:r>
      <w:r w:rsidR="00082E6B">
        <w:rPr>
          <w:rFonts w:asciiTheme="minorHAnsi" w:hAnsiTheme="minorHAnsi" w:cstheme="minorHAnsi"/>
          <w:color w:val="000000"/>
        </w:rPr>
        <w:t xml:space="preserve"> anticipated management</w:t>
      </w:r>
      <w:r w:rsidR="00082E6B">
        <w:rPr>
          <w:rFonts w:cs="Calibri"/>
        </w:rPr>
        <w:t xml:space="preserve"> </w:t>
      </w:r>
      <w:r w:rsidR="00BC2FB1">
        <w:rPr>
          <w:rFonts w:cs="Calibri"/>
        </w:rPr>
        <w:t xml:space="preserve">with </w:t>
      </w:r>
      <w:r w:rsidR="002B32E0">
        <w:rPr>
          <w:rFonts w:cs="Calibri"/>
        </w:rPr>
        <w:t xml:space="preserve">limited </w:t>
      </w:r>
      <w:r w:rsidR="00BC2FB1">
        <w:rPr>
          <w:rFonts w:cs="Calibri"/>
        </w:rPr>
        <w:t xml:space="preserve">liability for carbon credit reversals </w:t>
      </w:r>
      <w:r w:rsidR="0021000F">
        <w:rPr>
          <w:rFonts w:cs="Calibri"/>
        </w:rPr>
        <w:t>was the</w:t>
      </w:r>
      <w:r w:rsidR="00894AD5">
        <w:rPr>
          <w:rFonts w:cs="Calibri"/>
        </w:rPr>
        <w:t xml:space="preserve"> only</w:t>
      </w:r>
      <w:r w:rsidR="0021000F">
        <w:rPr>
          <w:rFonts w:cs="Calibri"/>
        </w:rPr>
        <w:t xml:space="preserve"> variation </w:t>
      </w:r>
      <w:r w:rsidR="00946643">
        <w:rPr>
          <w:rFonts w:cs="Calibri"/>
        </w:rPr>
        <w:t>that rendered</w:t>
      </w:r>
      <w:r w:rsidR="0021000F">
        <w:rPr>
          <w:rFonts w:cs="Calibri"/>
        </w:rPr>
        <w:t xml:space="preserve"> CAR participation more economic </w:t>
      </w:r>
      <w:r w:rsidR="00CF686A">
        <w:rPr>
          <w:rFonts w:cs="Calibri"/>
        </w:rPr>
        <w:t>t</w:t>
      </w:r>
      <w:r w:rsidR="0021000F">
        <w:rPr>
          <w:rFonts w:cs="Calibri"/>
        </w:rPr>
        <w:t>han the timber-only scenario</w:t>
      </w:r>
      <w:r w:rsidR="00A31180">
        <w:rPr>
          <w:rFonts w:cs="Calibri"/>
        </w:rPr>
        <w:t xml:space="preserve"> at foreseeable prices</w:t>
      </w:r>
      <w:r w:rsidR="0021000F">
        <w:rPr>
          <w:rFonts w:cs="Calibri"/>
        </w:rPr>
        <w:t>.</w:t>
      </w:r>
      <w:r w:rsidR="0021000F">
        <w:t xml:space="preserve"> </w:t>
      </w:r>
      <w:r w:rsidR="00082E6B">
        <w:t xml:space="preserve"> </w:t>
      </w:r>
      <w:r w:rsidR="00B21B4C">
        <w:t xml:space="preserve">The </w:t>
      </w:r>
      <w:r w:rsidR="003339F5" w:rsidRPr="00C37321">
        <w:t>pragmatism of different protocol elements</w:t>
      </w:r>
      <w:r w:rsidR="003339F5">
        <w:t xml:space="preserve"> called into question </w:t>
      </w:r>
      <w:r w:rsidR="00B21B4C">
        <w:t>and potential solutions identified</w:t>
      </w:r>
      <w:r w:rsidR="00946643">
        <w:t xml:space="preserve"> herein </w:t>
      </w:r>
      <w:r w:rsidR="00894AD5">
        <w:t xml:space="preserve">certainly </w:t>
      </w:r>
      <w:r w:rsidR="00CF686A">
        <w:t>ne</w:t>
      </w:r>
      <w:r w:rsidR="002B32E0">
        <w:t xml:space="preserve">ed to be examined in future </w:t>
      </w:r>
      <w:r w:rsidR="00CF686A">
        <w:t xml:space="preserve">protocol revisions </w:t>
      </w:r>
      <w:r w:rsidR="00FB2DD3">
        <w:t>if CAR is to become widely applicable</w:t>
      </w:r>
      <w:r w:rsidR="00FB2DD3">
        <w:rPr>
          <w:rFonts w:asciiTheme="minorHAnsi" w:hAnsiTheme="minorHAnsi" w:cstheme="minorHAnsi"/>
          <w:color w:val="000000"/>
        </w:rPr>
        <w:t>.</w:t>
      </w:r>
    </w:p>
    <w:p w:rsidR="00ED31CF" w:rsidRPr="00ED31CF" w:rsidRDefault="00ED31CF" w:rsidP="00591524">
      <w:pPr>
        <w:pStyle w:val="Heading2"/>
        <w:numPr>
          <w:ilvl w:val="0"/>
          <w:numId w:val="16"/>
        </w:numPr>
        <w:spacing w:line="480" w:lineRule="auto"/>
      </w:pPr>
      <w:bookmarkStart w:id="6" w:name="_Toc273520865"/>
      <w:bookmarkStart w:id="7" w:name="_Toc273521328"/>
      <w:bookmarkStart w:id="8" w:name="_Toc273524884"/>
      <w:bookmarkStart w:id="9" w:name="_Toc277738183"/>
      <w:bookmarkStart w:id="10" w:name="_Toc278294304"/>
      <w:r w:rsidRPr="00CF03C8">
        <w:lastRenderedPageBreak/>
        <w:t>I</w:t>
      </w:r>
      <w:bookmarkEnd w:id="6"/>
      <w:bookmarkEnd w:id="7"/>
      <w:bookmarkEnd w:id="8"/>
      <w:r w:rsidR="00F1330A">
        <w:t>NTRODUCTION</w:t>
      </w:r>
      <w:bookmarkEnd w:id="9"/>
      <w:bookmarkEnd w:id="10"/>
    </w:p>
    <w:p w:rsidR="00C5102C" w:rsidRDefault="00C5102C" w:rsidP="00591524">
      <w:pPr>
        <w:spacing w:line="480" w:lineRule="auto"/>
        <w:ind w:firstLine="720"/>
      </w:pPr>
      <w:r>
        <w:t xml:space="preserve">The annual </w:t>
      </w:r>
      <w:r w:rsidRPr="00440180">
        <w:t>sequestration</w:t>
      </w:r>
      <w:r w:rsidR="00487A12">
        <w:t xml:space="preserve"> or </w:t>
      </w:r>
      <w:r w:rsidR="00487A12" w:rsidRPr="00487A12">
        <w:t>removal</w:t>
      </w:r>
      <w:r>
        <w:t xml:space="preserve"> of atmospheric </w:t>
      </w:r>
      <w:r w:rsidRPr="00440180">
        <w:t>carbon</w:t>
      </w:r>
      <w:r>
        <w:t xml:space="preserve"> dioxide</w:t>
      </w:r>
      <w:r w:rsidRPr="00440180">
        <w:t xml:space="preserve"> </w:t>
      </w:r>
      <w:r>
        <w:t>(CO</w:t>
      </w:r>
      <w:r w:rsidRPr="00262806">
        <w:rPr>
          <w:vertAlign w:val="subscript"/>
        </w:rPr>
        <w:t>2</w:t>
      </w:r>
      <w:r>
        <w:t>) by U.S. forests</w:t>
      </w:r>
      <w:r w:rsidR="00D91EBD">
        <w:rPr>
          <w:rStyle w:val="FootnoteReference"/>
        </w:rPr>
        <w:footnoteReference w:id="1"/>
      </w:r>
      <w:r>
        <w:t xml:space="preserve"> significantly ameliorates the national account of greenhouse gas </w:t>
      </w:r>
      <w:r w:rsidR="00F86E8B">
        <w:t xml:space="preserve">(GHG) </w:t>
      </w:r>
      <w:r>
        <w:t>emissions</w:t>
      </w:r>
      <w:r w:rsidR="00F86E8B">
        <w:t>.  In recent years, carbon</w:t>
      </w:r>
      <w:r>
        <w:t xml:space="preserve"> </w:t>
      </w:r>
      <w:r w:rsidR="00C37D0D">
        <w:t xml:space="preserve">removals resulting from </w:t>
      </w:r>
      <w:r>
        <w:t>wood utilization and forest growth have mitigated 12-15</w:t>
      </w:r>
      <w:r w:rsidR="00EB6DF5">
        <w:t xml:space="preserve"> percent</w:t>
      </w:r>
      <w:r>
        <w:t xml:space="preserve"> of total U.S. emissions </w:t>
      </w:r>
      <w:r>
        <w:fldChar w:fldCharType="begin"/>
      </w:r>
      <w:r w:rsidR="00737C5E">
        <w:instrText xml:space="preserve"> ADDIN EN.CITE &lt;EndNote&gt;&lt;Cite&gt;&lt;Year&gt;U.S. EPA 2008&lt;/Year&gt;&lt;RecNum&gt;46&lt;/RecNum&gt;&lt;DisplayText&gt;(U.S. EPA 2008; U.S. EPA 2009)&lt;/DisplayText&gt;&lt;record&gt;&lt;rec-number&gt;46&lt;/rec-number&gt;&lt;foreign-keys&gt;&lt;key app="EN" db-id="a90s5zadewrawxeer07v2f90xr5vxv022sat"&gt;46&lt;/key&gt;&lt;key app="ENWeb" db-id="S3c-7ArtqgcAACfG-zs"&gt;48&lt;/key&gt;&lt;/foreign-keys&gt;&lt;ref-type name="Government Document"&gt;46&lt;/ref-type&gt;&lt;contributors&gt;&lt;/contributors&gt;&lt;titles&gt;&lt;title&gt;Inventory of U.S. Greenhouse Gas Emissions and Sinks: 1990-2006&lt;/title&gt;&lt;/titles&gt;&lt;dates&gt;&lt;year&gt;U.S. EPA 2008&lt;/year&gt;&lt;/dates&gt;&lt;publisher&gt;U.S. Environmental Protection Agency, Washington, D.C. 473p.&lt;/publisher&gt;&lt;urls&gt;&lt;related-urls&gt;&lt;url&gt;http://epa.gov/climatechange/emissions/usinventoryreport.html&lt;/url&gt;&lt;/related-urls&gt;&lt;/urls&gt;&lt;/record&gt;&lt;/Cite&gt;&lt;Cite&gt;&lt;Year&gt;U.S. EPA 2009&lt;/Year&gt;&lt;RecNum&gt;45&lt;/RecNum&gt;&lt;record&gt;&lt;rec-number&gt;45&lt;/rec-number&gt;&lt;foreign-keys&gt;&lt;key app="EN" db-id="a90s5zadewrawxeer07v2f90xr5vxv022sat"&gt;45&lt;/key&gt;&lt;key app="ENWeb" db-id="S3c-7ArtqgcAACfG-zs"&gt;47&lt;/key&gt;&lt;/foreign-keys&gt;&lt;ref-type name="Government Document"&gt;46&lt;/ref-type&gt;&lt;contributors&gt;&lt;/contributors&gt;&lt;titles&gt;&lt;title&gt;Inventory of U.S. Greenhouse Gas Emissions and Sinks: 1990-2007&lt;/title&gt;&lt;/titles&gt;&lt;dates&gt;&lt;year&gt;U.S. EPA 2009&lt;/year&gt;&lt;/dates&gt;&lt;publisher&gt;U.S. Environmental Protection Agency, Washington, DC&lt;/publisher&gt;&lt;urls&gt;&lt;related-urls&gt;&lt;url&gt;http://epa.gov/climatechange/emissions/usinventoryreport.html&lt;/url&gt;&lt;/related-urls&gt;&lt;/urls&gt;&lt;/record&gt;&lt;/Cite&gt;&lt;/EndNote&gt;</w:instrText>
      </w:r>
      <w:r>
        <w:fldChar w:fldCharType="separate"/>
      </w:r>
      <w:r w:rsidR="00737C5E">
        <w:rPr>
          <w:noProof/>
        </w:rPr>
        <w:t>(</w:t>
      </w:r>
      <w:hyperlink w:anchor="_ENREF_12" w:tooltip=", U.S. EPA 2008 #46" w:history="1">
        <w:r w:rsidR="001E4C88">
          <w:rPr>
            <w:noProof/>
          </w:rPr>
          <w:t>U.S. EPA 2008</w:t>
        </w:r>
      </w:hyperlink>
      <w:r w:rsidR="00737C5E">
        <w:rPr>
          <w:noProof/>
        </w:rPr>
        <w:t xml:space="preserve">; </w:t>
      </w:r>
      <w:hyperlink w:anchor="_ENREF_13" w:tooltip=", U.S. EPA 2009 #45" w:history="1">
        <w:r w:rsidR="001E4C88">
          <w:rPr>
            <w:noProof/>
          </w:rPr>
          <w:t>2009</w:t>
        </w:r>
      </w:hyperlink>
      <w:r w:rsidR="00737C5E">
        <w:rPr>
          <w:noProof/>
        </w:rPr>
        <w:t>)</w:t>
      </w:r>
      <w:r>
        <w:fldChar w:fldCharType="end"/>
      </w:r>
      <w:r>
        <w:t xml:space="preserve">.  Domestic climate change </w:t>
      </w:r>
      <w:r w:rsidRPr="00440180">
        <w:t xml:space="preserve">mitigation </w:t>
      </w:r>
      <w:r>
        <w:t>a</w:t>
      </w:r>
      <w:r w:rsidR="00F86E8B">
        <w:t>ctions that amplify biological carbon</w:t>
      </w:r>
      <w:r>
        <w:t xml:space="preserve"> removals are particularly beneficial</w:t>
      </w:r>
      <w:r w:rsidRPr="00440180">
        <w:t xml:space="preserve"> </w:t>
      </w:r>
      <w:r>
        <w:t>because many</w:t>
      </w:r>
      <w:r w:rsidRPr="00440180">
        <w:t xml:space="preserve"> </w:t>
      </w:r>
      <w:r>
        <w:t xml:space="preserve">can be initiated with virtually no lag time as opposed to more fundamentally transformative emission abatement solutions requiring more exhaustive facilitation and underwriting by governments and capital markets.  </w:t>
      </w:r>
      <w:r w:rsidR="000B7DDC">
        <w:t>S</w:t>
      </w:r>
      <w:r>
        <w:t xml:space="preserve">equestration activities can </w:t>
      </w:r>
      <w:r w:rsidR="000B7DDC">
        <w:t>in turn</w:t>
      </w:r>
      <w:r>
        <w:t xml:space="preserve"> help slow the rate of climate change as technologically driven emission reductions are scaled up or can be allowed to offset unabated emissions until compulsory emission re</w:t>
      </w:r>
      <w:r w:rsidR="003908FA">
        <w:t>ductions become cost-effective</w:t>
      </w:r>
      <w:r>
        <w:t xml:space="preserve"> in comparison.</w:t>
      </w:r>
    </w:p>
    <w:p w:rsidR="00073EC0" w:rsidRDefault="00C5102C" w:rsidP="00591524">
      <w:pPr>
        <w:spacing w:line="480" w:lineRule="auto"/>
        <w:ind w:firstLine="720"/>
        <w:rPr>
          <w:rFonts w:cs="Calibri"/>
        </w:rPr>
      </w:pPr>
      <w:r w:rsidRPr="00206C62">
        <w:rPr>
          <w:rFonts w:cs="Calibri"/>
        </w:rPr>
        <w:t xml:space="preserve">Of these activities, improved forest management </w:t>
      </w:r>
      <w:r w:rsidRPr="00206C62">
        <w:rPr>
          <w:rFonts w:cs="Calibri"/>
          <w:color w:val="000000"/>
        </w:rPr>
        <w:t xml:space="preserve">(IFM) </w:t>
      </w:r>
      <w:r w:rsidRPr="00206C62">
        <w:rPr>
          <w:rFonts w:cs="Calibri"/>
        </w:rPr>
        <w:t xml:space="preserve">has been identified as one of the most rapidly deployable and cost effective </w:t>
      </w:r>
      <w:r w:rsidRPr="00206C62">
        <w:rPr>
          <w:rFonts w:cs="Calibri"/>
        </w:rPr>
        <w:fldChar w:fldCharType="begin"/>
      </w:r>
      <w:r w:rsidR="003F4F3D">
        <w:rPr>
          <w:rFonts w:cs="Calibri"/>
        </w:rPr>
        <w:instrText xml:space="preserve"> ADDIN EN.CITE </w:instrText>
      </w:r>
      <w:r w:rsidR="003F4F3D">
        <w:rPr>
          <w:rFonts w:cs="Calibri"/>
        </w:rPr>
        <w:fldChar w:fldCharType="begin"/>
      </w:r>
      <w:r w:rsidR="003F4F3D">
        <w:rPr>
          <w:rFonts w:cs="Calibri"/>
        </w:rPr>
        <w:instrText xml:space="preserve"> ADDIN EN.CITE.DATA </w:instrText>
      </w:r>
      <w:r w:rsidR="003F4F3D">
        <w:rPr>
          <w:rFonts w:cs="Calibri"/>
        </w:rPr>
        <w:fldChar w:fldCharType="end"/>
      </w:r>
      <w:r w:rsidRPr="00206C62">
        <w:rPr>
          <w:rFonts w:cs="Calibri"/>
        </w:rPr>
        <w:fldChar w:fldCharType="separate"/>
      </w:r>
      <w:r w:rsidR="003F4F3D">
        <w:rPr>
          <w:rFonts w:cs="Calibri"/>
          <w:noProof/>
        </w:rPr>
        <w:t>(</w:t>
      </w:r>
      <w:hyperlink w:anchor="_ENREF_42" w:tooltip="Murray, 2005 #42" w:history="1">
        <w:r w:rsidR="00BF1E15">
          <w:rPr>
            <w:rFonts w:cs="Calibri"/>
            <w:noProof/>
          </w:rPr>
          <w:t>Murray et al. 2005</w:t>
        </w:r>
      </w:hyperlink>
      <w:r w:rsidR="003F4F3D">
        <w:rPr>
          <w:rFonts w:cs="Calibri"/>
          <w:noProof/>
        </w:rPr>
        <w:t xml:space="preserve">; </w:t>
      </w:r>
      <w:hyperlink w:anchor="_ENREF_61" w:tooltip="Sohngen, 2008 #43" w:history="1">
        <w:r w:rsidR="00BF1E15">
          <w:rPr>
            <w:rFonts w:cs="Calibri"/>
            <w:noProof/>
          </w:rPr>
          <w:t>Sohngen and Brown 2008</w:t>
        </w:r>
      </w:hyperlink>
      <w:r w:rsidR="003F4F3D">
        <w:rPr>
          <w:rFonts w:cs="Calibri"/>
          <w:noProof/>
        </w:rPr>
        <w:t>)</w:t>
      </w:r>
      <w:r w:rsidRPr="00206C62">
        <w:rPr>
          <w:rFonts w:cs="Calibri"/>
        </w:rPr>
        <w:fldChar w:fldCharType="end"/>
      </w:r>
      <w:r w:rsidRPr="00206C62">
        <w:rPr>
          <w:rFonts w:cs="Calibri"/>
        </w:rPr>
        <w:t xml:space="preserve">.  </w:t>
      </w:r>
      <w:r w:rsidRPr="00206C62">
        <w:rPr>
          <w:rFonts w:cs="Calibri"/>
          <w:color w:val="000000"/>
        </w:rPr>
        <w:t>IFM in this context can</w:t>
      </w:r>
      <w:r>
        <w:rPr>
          <w:rFonts w:ascii="MHVQPS+HelveticaNeue-Roman" w:hAnsi="MHVQPS+HelveticaNeue-Roman" w:cs="MHVQPS+HelveticaNeue-Roman"/>
          <w:color w:val="000000"/>
        </w:rPr>
        <w:t xml:space="preserve"> </w:t>
      </w:r>
      <w:r w:rsidRPr="00206C62">
        <w:rPr>
          <w:rFonts w:cs="Calibri"/>
          <w:color w:val="000000"/>
        </w:rPr>
        <w:t xml:space="preserve">involve </w:t>
      </w:r>
      <w:r w:rsidR="00487A12" w:rsidRPr="00206C62">
        <w:rPr>
          <w:rFonts w:cs="Calibri"/>
          <w:color w:val="000000"/>
        </w:rPr>
        <w:t xml:space="preserve">slowing harvest cycles, </w:t>
      </w:r>
      <w:r w:rsidR="00C16F8B">
        <w:rPr>
          <w:rFonts w:cs="Calibri"/>
          <w:color w:val="000000"/>
        </w:rPr>
        <w:t xml:space="preserve">increasing </w:t>
      </w:r>
      <w:r w:rsidR="00C16F8B" w:rsidRPr="00206C62">
        <w:rPr>
          <w:rFonts w:cs="Calibri"/>
          <w:color w:val="000000"/>
        </w:rPr>
        <w:t xml:space="preserve">post-harvest </w:t>
      </w:r>
      <w:r w:rsidR="00C16F8B">
        <w:rPr>
          <w:rFonts w:cs="Calibri"/>
          <w:color w:val="000000"/>
        </w:rPr>
        <w:t xml:space="preserve">retention </w:t>
      </w:r>
      <w:r w:rsidR="00C16F8B" w:rsidRPr="00206C62">
        <w:rPr>
          <w:rFonts w:cs="Calibri"/>
          <w:color w:val="000000"/>
        </w:rPr>
        <w:t xml:space="preserve">levels, </w:t>
      </w:r>
      <w:r w:rsidRPr="00206C62">
        <w:rPr>
          <w:rFonts w:cs="Calibri"/>
          <w:color w:val="000000"/>
        </w:rPr>
        <w:t xml:space="preserve">minimizing timber harvest impacts to the soil and residual </w:t>
      </w:r>
      <w:r w:rsidR="00F91845" w:rsidRPr="00206C62">
        <w:rPr>
          <w:rFonts w:cs="Calibri"/>
          <w:color w:val="000000"/>
        </w:rPr>
        <w:t>growing stock</w:t>
      </w:r>
      <w:r w:rsidRPr="00206C62">
        <w:rPr>
          <w:rFonts w:cs="Calibri"/>
          <w:color w:val="000000"/>
        </w:rPr>
        <w:t xml:space="preserve">, and/or preserving forestland to protect against </w:t>
      </w:r>
      <w:r w:rsidR="00F91845" w:rsidRPr="00206C62">
        <w:rPr>
          <w:rFonts w:cs="Calibri"/>
          <w:color w:val="000000"/>
        </w:rPr>
        <w:t>timber extraction</w:t>
      </w:r>
      <w:r w:rsidRPr="00206C62">
        <w:rPr>
          <w:rFonts w:cs="Calibri"/>
          <w:color w:val="000000"/>
        </w:rPr>
        <w:t>.</w:t>
      </w:r>
      <w:r w:rsidRPr="00206C62">
        <w:rPr>
          <w:rFonts w:cs="Calibri"/>
        </w:rPr>
        <w:t xml:space="preserve">  Aside from direct carbon payments to landowners, concomitant benefits from the effective application of IFM can have multiplicative and cascading effects on both ecosystem and societal welfare at multiple scales and include:  </w:t>
      </w:r>
      <w:r w:rsidR="00533CE2" w:rsidRPr="00206C62">
        <w:rPr>
          <w:rFonts w:cs="Calibri"/>
        </w:rPr>
        <w:t xml:space="preserve">diversified and </w:t>
      </w:r>
      <w:r w:rsidR="00130B29">
        <w:rPr>
          <w:rFonts w:cs="Calibri"/>
        </w:rPr>
        <w:t xml:space="preserve">perhaps </w:t>
      </w:r>
      <w:r w:rsidR="00533CE2" w:rsidRPr="00206C62">
        <w:rPr>
          <w:rFonts w:cs="Calibri"/>
        </w:rPr>
        <w:t xml:space="preserve">stabilized employment opportunity in forestry for managers, surveyors, equipment operators, entrepreneurs, researchers and others; </w:t>
      </w:r>
      <w:r w:rsidRPr="00206C62">
        <w:rPr>
          <w:rFonts w:cs="Calibri"/>
        </w:rPr>
        <w:t xml:space="preserve">reduced wildfire </w:t>
      </w:r>
      <w:r w:rsidR="00F91845" w:rsidRPr="00206C62">
        <w:rPr>
          <w:rFonts w:cs="Calibri"/>
        </w:rPr>
        <w:t>hazard</w:t>
      </w:r>
      <w:r w:rsidRPr="00206C62">
        <w:rPr>
          <w:rFonts w:cs="Calibri"/>
        </w:rPr>
        <w:t xml:space="preserve">; </w:t>
      </w:r>
      <w:r w:rsidR="00533CE2" w:rsidRPr="00206C62">
        <w:rPr>
          <w:rFonts w:cs="Calibri"/>
        </w:rPr>
        <w:t xml:space="preserve">enhanced materials and energy recovery associated with forest treatments; advanced knowledge of forest ecosystems and their response to silvicultural treatments; enhanced and enlarged wildlife habitat; improved control of pests and invasive species; </w:t>
      </w:r>
      <w:r w:rsidR="00487A12" w:rsidRPr="00206C62">
        <w:rPr>
          <w:rFonts w:cs="Calibri"/>
        </w:rPr>
        <w:lastRenderedPageBreak/>
        <w:t>decreased erosion and nutrient loss; improved flood control and water quality;</w:t>
      </w:r>
      <w:r w:rsidR="00487A12">
        <w:rPr>
          <w:rFonts w:cs="Calibri"/>
        </w:rPr>
        <w:t xml:space="preserve"> </w:t>
      </w:r>
      <w:r w:rsidR="00487A12" w:rsidRPr="00206C62">
        <w:rPr>
          <w:rFonts w:cs="Calibri"/>
        </w:rPr>
        <w:t xml:space="preserve">increased production of non-timber forest products; </w:t>
      </w:r>
      <w:r w:rsidRPr="00206C62">
        <w:rPr>
          <w:rFonts w:cs="Calibri"/>
        </w:rPr>
        <w:t>enhanced awareness of the natural features and history of locales;</w:t>
      </w:r>
      <w:r w:rsidRPr="00206C62">
        <w:rPr>
          <w:rFonts w:cs="Calibri"/>
          <w:color w:val="FF0000"/>
        </w:rPr>
        <w:t xml:space="preserve"> </w:t>
      </w:r>
      <w:r w:rsidR="00533CE2">
        <w:rPr>
          <w:rFonts w:cs="Calibri"/>
        </w:rPr>
        <w:t xml:space="preserve">and </w:t>
      </w:r>
      <w:r w:rsidR="00487A12">
        <w:rPr>
          <w:rFonts w:cs="Calibri"/>
        </w:rPr>
        <w:t>augmented</w:t>
      </w:r>
      <w:r w:rsidRPr="00206C62">
        <w:rPr>
          <w:rFonts w:cs="Calibri"/>
        </w:rPr>
        <w:t xml:space="preserve"> recreational values</w:t>
      </w:r>
      <w:r w:rsidR="00533CE2">
        <w:rPr>
          <w:rFonts w:cs="Calibri"/>
        </w:rPr>
        <w:t xml:space="preserve"> and related revenues</w:t>
      </w:r>
      <w:r w:rsidRPr="00206C62">
        <w:rPr>
          <w:rFonts w:cs="Calibri"/>
        </w:rPr>
        <w:t xml:space="preserve">. </w:t>
      </w:r>
    </w:p>
    <w:p w:rsidR="00C5102C" w:rsidRPr="002B58DD" w:rsidRDefault="00ED31CF" w:rsidP="00591524">
      <w:pPr>
        <w:pStyle w:val="Heading6"/>
        <w:numPr>
          <w:ilvl w:val="1"/>
          <w:numId w:val="16"/>
        </w:numPr>
        <w:spacing w:line="480" w:lineRule="auto"/>
        <w:ind w:left="450"/>
        <w:rPr>
          <w:i/>
        </w:rPr>
      </w:pPr>
      <w:r w:rsidRPr="002B58DD">
        <w:rPr>
          <w:i/>
        </w:rPr>
        <w:t xml:space="preserve">IFM </w:t>
      </w:r>
      <w:r w:rsidR="00EF404A" w:rsidRPr="002B58DD">
        <w:rPr>
          <w:i/>
        </w:rPr>
        <w:t xml:space="preserve">Potential </w:t>
      </w:r>
      <w:r w:rsidR="00C5102C" w:rsidRPr="002B58DD">
        <w:rPr>
          <w:i/>
        </w:rPr>
        <w:t>in the Southern United States</w:t>
      </w:r>
      <w:r w:rsidR="00595E62" w:rsidRPr="002B58DD">
        <w:rPr>
          <w:rStyle w:val="FootnoteReference"/>
          <w:i/>
        </w:rPr>
        <w:footnoteReference w:id="2"/>
      </w:r>
    </w:p>
    <w:p w:rsidR="00922A67" w:rsidRDefault="00973C96" w:rsidP="006E533E">
      <w:pPr>
        <w:autoSpaceDE w:val="0"/>
        <w:autoSpaceDN w:val="0"/>
        <w:adjustRightInd w:val="0"/>
        <w:spacing w:line="480" w:lineRule="auto"/>
        <w:ind w:firstLine="720"/>
        <w:rPr>
          <w:rFonts w:cs="Calibri"/>
        </w:rPr>
      </w:pPr>
      <w:r w:rsidRPr="00206C62">
        <w:rPr>
          <w:rFonts w:cs="Calibri"/>
        </w:rPr>
        <w:t xml:space="preserve">Given the backdrop of mainstream media and political attention to GHG cap-and-trade policy and to its influence on forestry, the way in which IFM </w:t>
      </w:r>
      <w:r w:rsidR="00A267FD">
        <w:rPr>
          <w:rFonts w:cs="Calibri"/>
        </w:rPr>
        <w:t>can</w:t>
      </w:r>
      <w:r w:rsidRPr="00206C62">
        <w:rPr>
          <w:rFonts w:cs="Calibri"/>
        </w:rPr>
        <w:t xml:space="preserve"> be tapped for climate benefits has understandably become a key focal point for many entities with interests in domestic forestry</w:t>
      </w:r>
      <w:r w:rsidR="00A87D07">
        <w:rPr>
          <w:rFonts w:cs="Calibri"/>
        </w:rPr>
        <w:t xml:space="preserve"> </w:t>
      </w:r>
      <w:r w:rsidR="00A87D07">
        <w:rPr>
          <w:rFonts w:cs="Calibri"/>
        </w:rPr>
        <w:fldChar w:fldCharType="begin"/>
      </w:r>
      <w:r w:rsidR="00617BC0">
        <w:rPr>
          <w:rFonts w:cs="Calibri"/>
        </w:rPr>
        <w:instrText xml:space="preserve"> ADDIN EN.CITE &lt;EndNote&gt;&lt;Cite ExcludeAuth="1"&gt;&lt;Year&gt;Forest-Climate Working Group 2009&lt;/Year&gt;&lt;RecNum&gt;288&lt;/RecNum&gt;&lt;Prefix&gt;e.g. &lt;/Prefix&gt;&lt;DisplayText&gt;(e.g. Forest-Climate Working Group 2009; CAR 2009)&lt;/DisplayText&gt;&lt;record&gt;&lt;rec-number&gt;288&lt;/rec-number&gt;&lt;foreign-keys&gt;&lt;key app="EN" db-id="a90s5zadewrawxeer07v2f90xr5vxv022sat"&gt;288&lt;/key&gt;&lt;/foreign-keys&gt;&lt;ref-type name="Unpublished Work"&gt;34&lt;/ref-type&gt;&lt;contributors&gt;&lt;/contributors&gt;&lt;titles&gt;&lt;title&gt;Policy platform&lt;/title&gt;&lt;/titles&gt;&lt;dates&gt;&lt;year&gt;Forest-Climate Working Group 2009&lt;/year&gt;&lt;/dates&gt;&lt;pub-location&gt;Washington D.C.&lt;/pub-location&gt;&lt;publisher&gt;American Forest Foundation&lt;/publisher&gt;&lt;urls&gt;&lt;/urls&gt;&lt;/record&gt;&lt;/Cite&gt;&lt;Cite ExcludeAuth="1"&gt;&lt;Year&gt;CAR 2009&lt;/Year&gt;&lt;RecNum&gt;286&lt;/RecNum&gt;&lt;record&gt;&lt;rec-number&gt;286&lt;/rec-number&gt;&lt;foreign-keys&gt;&lt;key app="EN" db-id="a90s5zadewrawxeer07v2f90xr5vxv022sat"&gt;286&lt;/key&gt;&lt;/foreign-keys&gt;&lt;ref-type name="Unpublished Work"&gt;34&lt;/ref-type&gt;&lt;contributors&gt;&lt;/contributors&gt;&lt;titles&gt;&lt;title&gt;Summary of comments &amp;amp; responses on the draft forest project protocol, Version 3.0&lt;/title&gt;&lt;/titles&gt;&lt;pages&gt;132&lt;/pages&gt;&lt;dates&gt;&lt;year&gt;CAR 2009&lt;/year&gt;&lt;pub-dates&gt;&lt;date&gt;August 4, 20109&lt;/date&gt;&lt;/pub-dates&gt;&lt;/dates&gt;&lt;pub-location&gt;Los Angelas, CA&lt;/pub-location&gt;&lt;publisher&gt;Climate Action Reserve&lt;/publisher&gt;&lt;urls&gt;&lt;/urls&gt;&lt;/record&gt;&lt;/Cite&gt;&lt;/EndNote&gt;</w:instrText>
      </w:r>
      <w:r w:rsidR="00A87D07">
        <w:rPr>
          <w:rFonts w:cs="Calibri"/>
        </w:rPr>
        <w:fldChar w:fldCharType="separate"/>
      </w:r>
      <w:r w:rsidR="00617BC0">
        <w:rPr>
          <w:rFonts w:cs="Calibri"/>
          <w:noProof/>
        </w:rPr>
        <w:t xml:space="preserve">(e.g. </w:t>
      </w:r>
      <w:hyperlink w:anchor="_ENREF_5" w:tooltip=", Forest-Climate Working Group 2009 #288" w:history="1">
        <w:r w:rsidR="001E4C88">
          <w:rPr>
            <w:rFonts w:cs="Calibri"/>
            <w:noProof/>
          </w:rPr>
          <w:t>Forest-Climate Working Group 2009</w:t>
        </w:r>
      </w:hyperlink>
      <w:r w:rsidR="00617BC0">
        <w:rPr>
          <w:rFonts w:cs="Calibri"/>
          <w:noProof/>
        </w:rPr>
        <w:t xml:space="preserve">; </w:t>
      </w:r>
      <w:hyperlink w:anchor="_ENREF_1" w:tooltip=", CAR 2009 #286" w:history="1">
        <w:r w:rsidR="001E4C88">
          <w:rPr>
            <w:rFonts w:cs="Calibri"/>
            <w:noProof/>
          </w:rPr>
          <w:t>CAR 2009</w:t>
        </w:r>
      </w:hyperlink>
      <w:r w:rsidR="00617BC0">
        <w:rPr>
          <w:rFonts w:cs="Calibri"/>
          <w:noProof/>
        </w:rPr>
        <w:t>)</w:t>
      </w:r>
      <w:r w:rsidR="00A87D07">
        <w:rPr>
          <w:rFonts w:cs="Calibri"/>
        </w:rPr>
        <w:fldChar w:fldCharType="end"/>
      </w:r>
      <w:r w:rsidRPr="00206C62">
        <w:rPr>
          <w:rFonts w:cs="Calibri"/>
        </w:rPr>
        <w:t xml:space="preserve">.  As much of the nation’s, and indeed the world’s, investment-grade timberland lies in the </w:t>
      </w:r>
      <w:r w:rsidR="00134D21" w:rsidRPr="00206C62">
        <w:rPr>
          <w:rFonts w:cs="Calibri"/>
        </w:rPr>
        <w:t>s</w:t>
      </w:r>
      <w:r w:rsidRPr="00206C62">
        <w:rPr>
          <w:rFonts w:cs="Calibri"/>
        </w:rPr>
        <w:t xml:space="preserve">outhern U.S. </w:t>
      </w:r>
      <w:r w:rsidRPr="00206C62">
        <w:rPr>
          <w:rFonts w:cs="Calibri"/>
        </w:rPr>
        <w:fldChar w:fldCharType="begin"/>
      </w:r>
      <w:r w:rsidR="00A87D07">
        <w:rPr>
          <w:rFonts w:cs="Calibri"/>
        </w:rPr>
        <w:instrText xml:space="preserve"> ADDIN EN.CITE &lt;EndNote&gt;&lt;Cite&gt;&lt;Author&gt;Cascio&lt;/Author&gt;&lt;Year&gt;2008&lt;/Year&gt;&lt;RecNum&gt;63&lt;/RecNum&gt;&lt;DisplayText&gt;(Cascio and Clutter 2008)&lt;/DisplayText&gt;&lt;record&gt;&lt;rec-number&gt;63&lt;/rec-number&gt;&lt;foreign-keys&gt;&lt;key app="EN" db-id="a90s5zadewrawxeer07v2f90xr5vxv022sat"&gt;63&lt;/key&gt;&lt;key app="ENWeb" db-id="S3c-7ArtqgcAACfG-zs"&gt;1&lt;/key&gt;&lt;/foreign-keys&gt;&lt;ref-type name="Journal Article"&gt;17&lt;/ref-type&gt;&lt;contributors&gt;&lt;authors&gt;&lt;author&gt;Cascio, A. J.&lt;/author&gt;&lt;author&gt;Clutter, M. L.&lt;/author&gt;&lt;/authors&gt;&lt;/contributors&gt;&lt;auth-address&gt;[Cascio, Anthony J.] Resource Management Serv LLC, Timberland Invest Res, Birmingham, AL USA. [Clutter, Michael L.] Univ Georgia, Warnell Sch Forestry &amp;amp;amp; Nat Resources, Athens, GA 30602 USA.&amp;#xD;Cascio, AJ, Resource Management Serv LLC, Timberland Invest Res, Birmingham, AL USA.&amp;#xD;tcascio@resourcemgt.com mclutter@warnell.uga.edu&lt;/auth-address&gt;&lt;titles&gt;&lt;title&gt;Risk and required return assessments of equity timberland investments in the United States&lt;/title&gt;&lt;secondary-title&gt;Forest Products Journal&lt;/secondary-title&gt;&lt;alt-title&gt;For. Prod. J.&lt;/alt-title&gt;&lt;/titles&gt;&lt;periodical&gt;&lt;full-title&gt;Forest Products Journal&lt;/full-title&gt;&lt;abbr-1&gt;For. Prod. J.&lt;/abbr-1&gt;&lt;/periodical&gt;&lt;alt-periodical&gt;&lt;full-title&gt;Forest Products Journal&lt;/full-title&gt;&lt;abbr-1&gt;For. Prod. J.&lt;/abbr-1&gt;&lt;/alt-periodical&gt;&lt;pages&gt;61-70&lt;/pages&gt;&lt;volume&gt;58&lt;/volume&gt;&lt;number&gt;10&lt;/number&gt;&lt;keywords&gt;&lt;keyword&gt;ASSET PRICING MODEL&lt;/keyword&gt;&lt;keyword&gt;EQUILIBRIUM&lt;/keyword&gt;&lt;keyword&gt;MARKET&lt;/keyword&gt;&lt;keyword&gt;TESTS&lt;/keyword&gt;&lt;keyword&gt;PORTFOLIOS&lt;/keyword&gt;&lt;keyword&gt;PRICES&lt;/keyword&gt;&lt;/keywords&gt;&lt;dates&gt;&lt;year&gt;2008&lt;/year&gt;&lt;pub-dates&gt;&lt;date&gt;Oct&lt;/date&gt;&lt;/pub-dates&gt;&lt;/dates&gt;&lt;isbn&gt;0015-7473&lt;/isbn&gt;&lt;accession-num&gt;ISI:000260563600010&lt;/accession-num&gt;&lt;work-type&gt;Article&lt;/work-type&gt;&lt;urls&gt;&lt;/urls&gt;&lt;language&gt;English&lt;/language&gt;&lt;/record&gt;&lt;/Cite&gt;&lt;/EndNote&gt;</w:instrText>
      </w:r>
      <w:r w:rsidRPr="00206C62">
        <w:rPr>
          <w:rFonts w:cs="Calibri"/>
        </w:rPr>
        <w:fldChar w:fldCharType="separate"/>
      </w:r>
      <w:r w:rsidR="00A87D07">
        <w:rPr>
          <w:rFonts w:cs="Calibri"/>
          <w:noProof/>
        </w:rPr>
        <w:t>(</w:t>
      </w:r>
      <w:hyperlink w:anchor="_ENREF_35" w:tooltip="Cascio, 2008 #63" w:history="1">
        <w:r w:rsidR="001E4C88">
          <w:rPr>
            <w:rFonts w:cs="Calibri"/>
            <w:noProof/>
          </w:rPr>
          <w:t>Cascio and Clutter 2008</w:t>
        </w:r>
      </w:hyperlink>
      <w:r w:rsidR="00A87D07">
        <w:rPr>
          <w:rFonts w:cs="Calibri"/>
          <w:noProof/>
        </w:rPr>
        <w:t>)</w:t>
      </w:r>
      <w:r w:rsidRPr="00206C62">
        <w:rPr>
          <w:rFonts w:cs="Calibri"/>
        </w:rPr>
        <w:fldChar w:fldCharType="end"/>
      </w:r>
      <w:r w:rsidR="00D523E3">
        <w:rPr>
          <w:rFonts w:cs="Calibri"/>
        </w:rPr>
        <w:t xml:space="preserve"> and accounts for the majority of </w:t>
      </w:r>
      <w:r w:rsidR="00487A12">
        <w:rPr>
          <w:rFonts w:cs="Calibri"/>
        </w:rPr>
        <w:t>national</w:t>
      </w:r>
      <w:r w:rsidR="00D523E3">
        <w:rPr>
          <w:rFonts w:cs="Calibri"/>
        </w:rPr>
        <w:t xml:space="preserve"> volume growth in both the hardwood and softwood resource </w:t>
      </w:r>
      <w:r w:rsidR="00D523E3">
        <w:rPr>
          <w:rFonts w:cs="Calibri"/>
        </w:rPr>
        <w:fldChar w:fldCharType="begin"/>
      </w:r>
      <w:r w:rsidR="00CE2DF2">
        <w:rPr>
          <w:rFonts w:cs="Calibri"/>
        </w:rPr>
        <w:instrText xml:space="preserve"> ADDIN EN.CITE &lt;EndNote&gt;&lt;Cite&gt;&lt;Author&gt;Smith&lt;/Author&gt;&lt;Year&gt;2009&lt;/Year&gt;&lt;RecNum&gt;186&lt;/RecNum&gt;&lt;DisplayText&gt;(Smith 2009)&lt;/DisplayText&gt;&lt;record&gt;&lt;rec-number&gt;186&lt;/rec-number&gt;&lt;foreign-keys&gt;&lt;key app="EN" db-id="a90s5zadewrawxeer07v2f90xr5vxv022sat"&gt;186&lt;/key&gt;&lt;/foreign-keys&gt;&lt;ref-type name="Report"&gt;27&lt;/ref-type&gt;&lt;contributors&gt;&lt;authors&gt;&lt;author&gt;Smith, W. Brad, tech. coord.; Miles, Patrick D., data coord.; Perry, Charles H., map coord.; Pugh, Scott A., Data CD coord.&lt;/author&gt;&lt;/authors&gt;&lt;/contributors&gt;&lt;titles&gt;&lt;title&gt;Forest Resources of the United States, 2007. Gen. Tech. Rep. WO-78. Washington, DC: U.S. Department of Agriculture, Forest Service, Washington Office. 336 p&lt;/title&gt;&lt;/titles&gt;&lt;dates&gt;&lt;year&gt;2009&lt;/year&gt;&lt;/dates&gt;&lt;urls&gt;&lt;/urls&gt;&lt;/record&gt;&lt;/Cite&gt;&lt;/EndNote&gt;</w:instrText>
      </w:r>
      <w:r w:rsidR="00D523E3">
        <w:rPr>
          <w:rFonts w:cs="Calibri"/>
        </w:rPr>
        <w:fldChar w:fldCharType="separate"/>
      </w:r>
      <w:r w:rsidR="00CE2DF2">
        <w:rPr>
          <w:rFonts w:cs="Calibri"/>
          <w:noProof/>
        </w:rPr>
        <w:t>(</w:t>
      </w:r>
      <w:hyperlink w:anchor="_ENREF_130" w:tooltip="Smith, 2009 #186" w:history="1">
        <w:r w:rsidR="001E4C88">
          <w:rPr>
            <w:rFonts w:cs="Calibri"/>
            <w:noProof/>
          </w:rPr>
          <w:t>Smith 2009</w:t>
        </w:r>
      </w:hyperlink>
      <w:r w:rsidR="00CE2DF2">
        <w:rPr>
          <w:rFonts w:cs="Calibri"/>
          <w:noProof/>
        </w:rPr>
        <w:t>)</w:t>
      </w:r>
      <w:r w:rsidR="00D523E3">
        <w:rPr>
          <w:rFonts w:cs="Calibri"/>
        </w:rPr>
        <w:fldChar w:fldCharType="end"/>
      </w:r>
      <w:r w:rsidRPr="00206C62">
        <w:rPr>
          <w:rFonts w:cs="Calibri"/>
        </w:rPr>
        <w:t>, the viability of forest carbon projects in the region’s key ownerships, forest cover types and management types also appears to be of primary interest to its numerous and influential stakeholders.</w:t>
      </w:r>
      <w:r w:rsidRPr="00206C62">
        <w:rPr>
          <w:rFonts w:cs="Calibri"/>
          <w:b/>
        </w:rPr>
        <w:t xml:space="preserve">  </w:t>
      </w:r>
      <w:r w:rsidR="00D523E3">
        <w:rPr>
          <w:rFonts w:cs="Calibri"/>
        </w:rPr>
        <w:t>According to</w:t>
      </w:r>
      <w:r w:rsidR="00D523E3" w:rsidRPr="00206C62">
        <w:rPr>
          <w:rFonts w:cs="Calibri"/>
        </w:rPr>
        <w:t xml:space="preserve"> </w:t>
      </w:r>
      <w:proofErr w:type="spellStart"/>
      <w:r w:rsidR="00D523E3" w:rsidRPr="00206C62">
        <w:rPr>
          <w:rFonts w:cs="Calibri"/>
        </w:rPr>
        <w:t>Birdsey</w:t>
      </w:r>
      <w:proofErr w:type="spellEnd"/>
      <w:r w:rsidR="00D523E3" w:rsidRPr="00206C62">
        <w:rPr>
          <w:rFonts w:cs="Calibri"/>
        </w:rPr>
        <w:t xml:space="preserve"> and Lewis </w:t>
      </w:r>
      <w:r w:rsidR="00D523E3" w:rsidRPr="00206C62">
        <w:rPr>
          <w:rFonts w:cs="Calibri"/>
        </w:rPr>
        <w:fldChar w:fldCharType="begin"/>
      </w:r>
      <w:r w:rsidR="00A87D07">
        <w:rPr>
          <w:rFonts w:cs="Calibri"/>
        </w:rPr>
        <w:instrText xml:space="preserve"> ADDIN EN.CITE &lt;EndNote&gt;&lt;Cite ExcludeAuth="1"&gt;&lt;Author&gt;Birdsey&lt;/Author&gt;&lt;Year&gt;2003&lt;/Year&gt;&lt;RecNum&gt;44&lt;/RecNum&gt;&lt;DisplayText&gt;(2003)&lt;/DisplayText&gt;&lt;record&gt;&lt;rec-number&gt;44&lt;/rec-number&gt;&lt;foreign-keys&gt;&lt;key app="EN" db-id="a90s5zadewrawxeer07v2f90xr5vxv022sat"&gt;44&lt;/key&gt;&lt;key app="ENWeb" db-id="S3c-7ArtqgcAACfG-zs"&gt;46&lt;/key&gt;&lt;/foreign-keys&gt;&lt;ref-type name="Report"&gt;27&lt;/ref-type&gt;&lt;contributors&gt;&lt;authors&gt;&lt;author&gt;Birdsey, R.A.&lt;/author&gt;&lt;author&gt;Lewis, G.M.&lt;/author&gt;&lt;/authors&gt;&lt;/contributors&gt;&lt;titles&gt;&lt;title&gt;Carbon in U.S. forests and wood products, 1987-1997: state-by-state estimates&lt;/title&gt;&lt;/titles&gt;&lt;dates&gt;&lt;year&gt;2003&lt;/year&gt;&lt;/dates&gt;&lt;publisher&gt;Gen. Tech. Rep. NE-310. Newtown Square, PA: U.S. Department of Agriculture, Forest Service, Northeastern Research Station. 42p&lt;/publisher&gt;&lt;urls&gt;&lt;related-urls&gt;&lt;url&gt;http://www.fs.fed.us/ne/global/pubs/books/epa/&lt;/url&gt;&lt;/related-urls&gt;&lt;/urls&gt;&lt;/record&gt;&lt;/Cite&gt;&lt;/EndNote&gt;</w:instrText>
      </w:r>
      <w:r w:rsidR="00D523E3" w:rsidRPr="00206C62">
        <w:rPr>
          <w:rFonts w:cs="Calibri"/>
        </w:rPr>
        <w:fldChar w:fldCharType="separate"/>
      </w:r>
      <w:r w:rsidR="00A87D07">
        <w:rPr>
          <w:rFonts w:cs="Calibri"/>
          <w:noProof/>
        </w:rPr>
        <w:t>(</w:t>
      </w:r>
      <w:hyperlink w:anchor="_ENREF_27" w:tooltip="Birdsey, 2003 #44" w:history="1">
        <w:r w:rsidR="001E4C88">
          <w:rPr>
            <w:rFonts w:cs="Calibri"/>
            <w:noProof/>
          </w:rPr>
          <w:t>2003</w:t>
        </w:r>
      </w:hyperlink>
      <w:r w:rsidR="00A87D07">
        <w:rPr>
          <w:rFonts w:cs="Calibri"/>
          <w:noProof/>
        </w:rPr>
        <w:t>)</w:t>
      </w:r>
      <w:r w:rsidR="00D523E3" w:rsidRPr="00206C62">
        <w:rPr>
          <w:rFonts w:cs="Calibri"/>
        </w:rPr>
        <w:fldChar w:fldCharType="end"/>
      </w:r>
      <w:r w:rsidR="00D523E3" w:rsidRPr="00206C62">
        <w:rPr>
          <w:rFonts w:cs="Calibri"/>
        </w:rPr>
        <w:t xml:space="preserve">, U.S. forest statistics from 1987 to 1999 reveal that </w:t>
      </w:r>
      <w:r w:rsidR="00130B29">
        <w:rPr>
          <w:rFonts w:cs="Calibri"/>
        </w:rPr>
        <w:t>nearly half</w:t>
      </w:r>
      <w:r w:rsidR="00D523E3" w:rsidRPr="00206C62">
        <w:rPr>
          <w:rFonts w:cs="Calibri"/>
        </w:rPr>
        <w:t xml:space="preserve"> </w:t>
      </w:r>
      <w:r w:rsidR="00C87760">
        <w:rPr>
          <w:rFonts w:cs="Calibri"/>
        </w:rPr>
        <w:t>(~</w:t>
      </w:r>
      <w:r w:rsidR="00D523E3" w:rsidRPr="00206C62">
        <w:rPr>
          <w:rFonts w:cs="Calibri"/>
        </w:rPr>
        <w:t>46 percent</w:t>
      </w:r>
      <w:r w:rsidR="00C87760">
        <w:rPr>
          <w:rFonts w:cs="Calibri"/>
        </w:rPr>
        <w:t>)</w:t>
      </w:r>
      <w:r w:rsidR="00D523E3" w:rsidRPr="00206C62">
        <w:rPr>
          <w:rFonts w:cs="Calibri"/>
        </w:rPr>
        <w:t xml:space="preserve"> of forest and wood product net </w:t>
      </w:r>
      <w:r w:rsidR="00F86E8B">
        <w:rPr>
          <w:rFonts w:cs="Calibri"/>
        </w:rPr>
        <w:t>carbon</w:t>
      </w:r>
      <w:r w:rsidR="00D523E3" w:rsidRPr="00206C62">
        <w:rPr>
          <w:rFonts w:cs="Calibri"/>
        </w:rPr>
        <w:t xml:space="preserve"> accrual occurred in or originated from the southern U.S.</w:t>
      </w:r>
      <w:r w:rsidR="00D523E3" w:rsidRPr="00206C62">
        <w:rPr>
          <w:rStyle w:val="FootnoteReference"/>
          <w:rFonts w:cs="Calibri"/>
        </w:rPr>
        <w:footnoteReference w:id="3"/>
      </w:r>
      <w:r w:rsidR="00D523E3" w:rsidRPr="00206C62">
        <w:rPr>
          <w:rFonts w:cs="Calibri"/>
        </w:rPr>
        <w:t xml:space="preserve">   Of this growth, 70 percent was attributable to Non-Industrial Private Forests (NIPFs), 41 percent to wood products </w:t>
      </w:r>
      <w:r w:rsidR="006613B1" w:rsidRPr="00206C62">
        <w:rPr>
          <w:rFonts w:cs="Calibri"/>
        </w:rPr>
        <w:t>in use or in landfills</w:t>
      </w:r>
      <w:r w:rsidR="00D523E3" w:rsidRPr="00206C62">
        <w:rPr>
          <w:rFonts w:cs="Calibri"/>
        </w:rPr>
        <w:t>, and 60 percent to planted loblolly pine (</w:t>
      </w:r>
      <w:proofErr w:type="spellStart"/>
      <w:r w:rsidR="00D523E3" w:rsidRPr="00206C62">
        <w:rPr>
          <w:rFonts w:cs="Calibri"/>
          <w:i/>
        </w:rPr>
        <w:t>Pinus</w:t>
      </w:r>
      <w:proofErr w:type="spellEnd"/>
      <w:r w:rsidR="00D523E3" w:rsidRPr="00206C62">
        <w:rPr>
          <w:rFonts w:cs="Calibri"/>
          <w:i/>
        </w:rPr>
        <w:t xml:space="preserve"> </w:t>
      </w:r>
      <w:proofErr w:type="spellStart"/>
      <w:r w:rsidR="00D523E3" w:rsidRPr="00206C62">
        <w:rPr>
          <w:rFonts w:cs="Calibri"/>
          <w:i/>
        </w:rPr>
        <w:t>taeda</w:t>
      </w:r>
      <w:proofErr w:type="spellEnd"/>
      <w:r w:rsidR="00D523E3" w:rsidRPr="00206C62">
        <w:rPr>
          <w:rFonts w:cs="Calibri"/>
        </w:rPr>
        <w:t xml:space="preserve">) acreage.  </w:t>
      </w:r>
      <w:r w:rsidR="00D523E3" w:rsidRPr="00641703">
        <w:rPr>
          <w:rFonts w:cs="Calibri"/>
          <w:color w:val="000000"/>
        </w:rPr>
        <w:t xml:space="preserve">Future increases in the national share of timber production </w:t>
      </w:r>
      <w:r w:rsidR="006613B1">
        <w:rPr>
          <w:rFonts w:cs="Calibri"/>
          <w:color w:val="000000"/>
        </w:rPr>
        <w:t>are projected</w:t>
      </w:r>
      <w:r w:rsidR="00F86E8B">
        <w:rPr>
          <w:rFonts w:cs="Calibri"/>
          <w:color w:val="000000"/>
        </w:rPr>
        <w:t xml:space="preserve"> </w:t>
      </w:r>
      <w:r w:rsidR="00813CC9">
        <w:rPr>
          <w:rFonts w:cs="Calibri"/>
          <w:color w:val="000000"/>
        </w:rPr>
        <w:fldChar w:fldCharType="begin"/>
      </w:r>
      <w:r w:rsidR="00CE2DF2">
        <w:rPr>
          <w:rFonts w:cs="Calibri"/>
          <w:color w:val="000000"/>
        </w:rPr>
        <w:instrText xml:space="preserve"> ADDIN EN.CITE &lt;EndNote&gt;&lt;Cite&gt;&lt;Author&gt;Smith&lt;/Author&gt;&lt;Year&gt;2009&lt;/Year&gt;&lt;RecNum&gt;186&lt;/RecNum&gt;&lt;DisplayText&gt;(Smith 2009)&lt;/DisplayText&gt;&lt;record&gt;&lt;rec-number&gt;186&lt;/rec-number&gt;&lt;foreign-keys&gt;&lt;key app="EN" db-id="a90s5zadewrawxeer07v2f90xr5vxv022sat"&gt;186&lt;/key&gt;&lt;/foreign-keys&gt;&lt;ref-type name="Report"&gt;27&lt;/ref-type&gt;&lt;contributors&gt;&lt;authors&gt;&lt;author&gt;Smith, W. Brad, tech. coord.; Miles, Patrick D., data coord.; Perry, Charles H., map coord.; Pugh, Scott A., Data CD coord.&lt;/author&gt;&lt;/authors&gt;&lt;/contributors&gt;&lt;titles&gt;&lt;title&gt;Forest Resources of the United States, 2007. Gen. Tech. Rep. WO-78. Washington, DC: U.S. Department of Agriculture, Forest Service, Washington Office. 336 p&lt;/title&gt;&lt;/titles&gt;&lt;dates&gt;&lt;year&gt;2009&lt;/year&gt;&lt;/dates&gt;&lt;urls&gt;&lt;/urls&gt;&lt;/record&gt;&lt;/Cite&gt;&lt;/EndNote&gt;</w:instrText>
      </w:r>
      <w:r w:rsidR="00813CC9">
        <w:rPr>
          <w:rFonts w:cs="Calibri"/>
          <w:color w:val="000000"/>
        </w:rPr>
        <w:fldChar w:fldCharType="separate"/>
      </w:r>
      <w:r w:rsidR="00CE2DF2">
        <w:rPr>
          <w:rFonts w:cs="Calibri"/>
          <w:noProof/>
          <w:color w:val="000000"/>
        </w:rPr>
        <w:t>(</w:t>
      </w:r>
      <w:hyperlink w:anchor="_ENREF_130" w:tooltip="Smith, 2009 #186" w:history="1">
        <w:r w:rsidR="001E4C88">
          <w:rPr>
            <w:rFonts w:cs="Calibri"/>
            <w:noProof/>
            <w:color w:val="000000"/>
          </w:rPr>
          <w:t>Smith 2009</w:t>
        </w:r>
      </w:hyperlink>
      <w:r w:rsidR="00CE2DF2">
        <w:rPr>
          <w:rFonts w:cs="Calibri"/>
          <w:noProof/>
          <w:color w:val="000000"/>
        </w:rPr>
        <w:t>)</w:t>
      </w:r>
      <w:r w:rsidR="00813CC9">
        <w:rPr>
          <w:rFonts w:cs="Calibri"/>
          <w:color w:val="000000"/>
        </w:rPr>
        <w:fldChar w:fldCharType="end"/>
      </w:r>
      <w:r w:rsidR="006613B1" w:rsidRPr="00F86E8B">
        <w:rPr>
          <w:rFonts w:cs="Calibri"/>
        </w:rPr>
        <w:t xml:space="preserve">, </w:t>
      </w:r>
      <w:r w:rsidR="006613B1">
        <w:rPr>
          <w:rFonts w:cs="Calibri"/>
          <w:color w:val="000000"/>
        </w:rPr>
        <w:t xml:space="preserve">which </w:t>
      </w:r>
      <w:r w:rsidR="00FE57F1" w:rsidRPr="00641703">
        <w:rPr>
          <w:rFonts w:cs="Calibri"/>
          <w:color w:val="000000"/>
        </w:rPr>
        <w:t>are likely to</w:t>
      </w:r>
      <w:r w:rsidR="00D523E3" w:rsidRPr="00641703">
        <w:rPr>
          <w:rFonts w:cs="Calibri"/>
          <w:color w:val="000000"/>
        </w:rPr>
        <w:t xml:space="preserve"> </w:t>
      </w:r>
      <w:r w:rsidR="00FE57F1" w:rsidRPr="00641703">
        <w:rPr>
          <w:rFonts w:cs="Calibri"/>
          <w:color w:val="000000"/>
        </w:rPr>
        <w:t xml:space="preserve">further </w:t>
      </w:r>
      <w:r w:rsidR="00C87760" w:rsidRPr="00641703">
        <w:rPr>
          <w:rFonts w:cs="Calibri"/>
          <w:color w:val="000000"/>
        </w:rPr>
        <w:t xml:space="preserve">expand the share of U.S. forest </w:t>
      </w:r>
      <w:r w:rsidR="00F86E8B">
        <w:rPr>
          <w:rFonts w:cs="Calibri"/>
          <w:color w:val="000000"/>
        </w:rPr>
        <w:t>carbon</w:t>
      </w:r>
      <w:r w:rsidR="00D523E3" w:rsidRPr="00641703">
        <w:rPr>
          <w:rFonts w:cs="Calibri"/>
          <w:color w:val="000000"/>
        </w:rPr>
        <w:t xml:space="preserve"> sequestration occurring in southern states.</w:t>
      </w:r>
      <w:r w:rsidR="00D523E3" w:rsidRPr="00F95D83">
        <w:rPr>
          <w:rFonts w:cs="Calibri"/>
          <w:color w:val="FF0000"/>
        </w:rPr>
        <w:t xml:space="preserve"> </w:t>
      </w:r>
      <w:r w:rsidR="00D523E3" w:rsidRPr="00206C62">
        <w:rPr>
          <w:rFonts w:cs="Calibri"/>
        </w:rPr>
        <w:t xml:space="preserve"> </w:t>
      </w:r>
      <w:r w:rsidR="00FE57F1">
        <w:rPr>
          <w:rFonts w:cs="Calibri"/>
        </w:rPr>
        <w:t>Under a national compensation scheme, e</w:t>
      </w:r>
      <w:r w:rsidR="00C5102C" w:rsidRPr="00206C62">
        <w:rPr>
          <w:rFonts w:cs="Calibri"/>
        </w:rPr>
        <w:t xml:space="preserve">mpirical estimates of potential IFM-induced </w:t>
      </w:r>
      <w:r w:rsidR="00F86E8B">
        <w:rPr>
          <w:rFonts w:cs="Calibri"/>
          <w:color w:val="000000"/>
        </w:rPr>
        <w:t>carbon</w:t>
      </w:r>
      <w:r w:rsidR="00C5102C" w:rsidRPr="00206C62">
        <w:rPr>
          <w:rFonts w:cs="Calibri"/>
        </w:rPr>
        <w:t xml:space="preserve"> sequestration </w:t>
      </w:r>
      <w:r w:rsidR="00313946">
        <w:rPr>
          <w:rFonts w:cs="Calibri"/>
        </w:rPr>
        <w:t xml:space="preserve">in NIPFs </w:t>
      </w:r>
      <w:r w:rsidR="00C87760">
        <w:rPr>
          <w:rFonts w:cs="Calibri"/>
        </w:rPr>
        <w:t>show that the South</w:t>
      </w:r>
      <w:r w:rsidR="00C5102C" w:rsidRPr="00206C62">
        <w:rPr>
          <w:rFonts w:cs="Calibri"/>
        </w:rPr>
        <w:t xml:space="preserve"> holds the most mitigative potential by far</w:t>
      </w:r>
      <w:r w:rsidR="00313946">
        <w:rPr>
          <w:rFonts w:cs="Calibri"/>
        </w:rPr>
        <w:t xml:space="preserve"> </w:t>
      </w:r>
      <w:r w:rsidR="00313946">
        <w:rPr>
          <w:rFonts w:cs="Calibri"/>
        </w:rPr>
        <w:fldChar w:fldCharType="begin"/>
      </w:r>
      <w:r w:rsidR="00A87D07">
        <w:rPr>
          <w:rFonts w:cs="Calibri"/>
        </w:rPr>
        <w:instrText xml:space="preserve"> ADDIN EN.CITE &lt;EndNote&gt;&lt;Cite&gt;&lt;Author&gt;Murray&lt;/Author&gt;&lt;Year&gt;2005&lt;/Year&gt;&lt;RecNum&gt;42&lt;/RecNum&gt;&lt;DisplayText&gt;(Murray et al. 2005)&lt;/DisplayText&gt;&lt;record&gt;&lt;rec-number&gt;42&lt;/rec-number&gt;&lt;foreign-keys&gt;&lt;key app="EN" db-id="a90s5zadewrawxeer07v2f90xr5vxv022sat"&gt;42&lt;/key&gt;&lt;key app="ENWeb" db-id="S3c-7ArtqgcAACfG-zs"&gt;44&lt;/key&gt;&lt;/foreign-keys&gt;&lt;ref-type name="Report"&gt;27&lt;/ref-type&gt;&lt;contributors&gt;&lt;authors&gt;&lt;author&gt;B.C. Murray&lt;/author&gt;&lt;author&gt;B.L. Sohngen&lt;/author&gt;&lt;author&gt;A.J. Sommer&lt;/author&gt;&lt;author&gt;B.M. Depro&lt;/author&gt;&lt;author&gt;K.M. Jones&lt;/author&gt;&lt;author&gt;B.A. McCarl&lt;/author&gt;&lt;author&gt;D. Gillig,&lt;/author&gt;&lt;author&gt;B. DeAngelo&lt;/author&gt;&lt;author&gt;K. Andrasko&lt;/author&gt;&lt;/authors&gt;&lt;/contributors&gt;&lt;titles&gt;&lt;title&gt;Greenhouse Gas Mitigation Potential in U.S. Forestry and Agriculture&lt;/title&gt;&lt;/titles&gt;&lt;dates&gt;&lt;year&gt;2005&lt;/year&gt;&lt;/dates&gt;&lt;publisher&gt;EPA-R-05-006. Washington, D.C: U.S. Environmental Protection Agency, Office of Atmospheric Programs. 154p.&lt;/publisher&gt;&lt;isbn&gt;EPA-R-05-006&lt;/isbn&gt;&lt;urls&gt;&lt;related-urls&gt;&lt;url&gt;http://www.epa.gov/sequestration/greenhouse_gas.html&lt;/url&gt;&lt;/related-urls&gt;&lt;/urls&gt;&lt;/record&gt;&lt;/Cite&gt;&lt;/EndNote&gt;</w:instrText>
      </w:r>
      <w:r w:rsidR="00313946">
        <w:rPr>
          <w:rFonts w:cs="Calibri"/>
        </w:rPr>
        <w:fldChar w:fldCharType="separate"/>
      </w:r>
      <w:r w:rsidR="00A87D07">
        <w:rPr>
          <w:rFonts w:cs="Calibri"/>
          <w:noProof/>
        </w:rPr>
        <w:t>(</w:t>
      </w:r>
      <w:hyperlink w:anchor="_ENREF_104" w:tooltip="Murray, 2005 #42" w:history="1">
        <w:r w:rsidR="001E4C88">
          <w:rPr>
            <w:rFonts w:cs="Calibri"/>
            <w:noProof/>
          </w:rPr>
          <w:t>Murray et al. 2005</w:t>
        </w:r>
      </w:hyperlink>
      <w:r w:rsidR="00A87D07">
        <w:rPr>
          <w:rFonts w:cs="Calibri"/>
          <w:noProof/>
        </w:rPr>
        <w:t>)</w:t>
      </w:r>
      <w:r w:rsidR="00313946">
        <w:rPr>
          <w:rFonts w:cs="Calibri"/>
        </w:rPr>
        <w:fldChar w:fldCharType="end"/>
      </w:r>
      <w:r w:rsidR="00C5102C" w:rsidRPr="00206C62">
        <w:rPr>
          <w:rFonts w:cs="Calibri"/>
        </w:rPr>
        <w:t xml:space="preserve">.  </w:t>
      </w:r>
      <w:r w:rsidR="00020F9F">
        <w:rPr>
          <w:rFonts w:cs="Calibri"/>
        </w:rPr>
        <w:t>Altogether, t</w:t>
      </w:r>
      <w:r w:rsidR="00C5102C" w:rsidRPr="00206C62">
        <w:rPr>
          <w:rFonts w:cs="Calibri"/>
        </w:rPr>
        <w:t xml:space="preserve">hese estimates imply that national climate change </w:t>
      </w:r>
      <w:r w:rsidR="00C5102C" w:rsidRPr="00206C62">
        <w:rPr>
          <w:rFonts w:cs="Calibri"/>
        </w:rPr>
        <w:lastRenderedPageBreak/>
        <w:t xml:space="preserve">mitigation </w:t>
      </w:r>
      <w:r w:rsidR="00DC135A">
        <w:rPr>
          <w:rFonts w:cs="Calibri"/>
        </w:rPr>
        <w:t>programs</w:t>
      </w:r>
      <w:r w:rsidR="00C5102C" w:rsidRPr="00206C62">
        <w:rPr>
          <w:rFonts w:cs="Calibri"/>
        </w:rPr>
        <w:t xml:space="preserve"> can </w:t>
      </w:r>
      <w:r w:rsidR="00313946">
        <w:rPr>
          <w:rFonts w:cs="Calibri"/>
        </w:rPr>
        <w:t xml:space="preserve">substantially </w:t>
      </w:r>
      <w:r w:rsidR="00C5102C" w:rsidRPr="00206C62">
        <w:rPr>
          <w:rFonts w:cs="Calibri"/>
        </w:rPr>
        <w:t>benefit from encompassing the South’s NIPF owners, wood production</w:t>
      </w:r>
      <w:r w:rsidR="009B3B0E">
        <w:rPr>
          <w:rFonts w:cs="Calibri"/>
        </w:rPr>
        <w:t xml:space="preserve"> </w:t>
      </w:r>
      <w:r w:rsidR="00C5102C" w:rsidRPr="00206C62">
        <w:rPr>
          <w:rFonts w:cs="Calibri"/>
        </w:rPr>
        <w:t xml:space="preserve">chain, and </w:t>
      </w:r>
      <w:r w:rsidRPr="00206C62">
        <w:rPr>
          <w:rFonts w:cs="Calibri"/>
        </w:rPr>
        <w:t xml:space="preserve">actively </w:t>
      </w:r>
      <w:r w:rsidR="00C5102C" w:rsidRPr="00206C62">
        <w:rPr>
          <w:rFonts w:cs="Calibri"/>
        </w:rPr>
        <w:t xml:space="preserve">managed </w:t>
      </w:r>
      <w:r w:rsidR="00A63AD4">
        <w:rPr>
          <w:rFonts w:cs="Calibri"/>
        </w:rPr>
        <w:t>timber</w:t>
      </w:r>
      <w:r w:rsidR="00C5102C" w:rsidRPr="00206C62">
        <w:rPr>
          <w:rFonts w:cs="Calibri"/>
        </w:rPr>
        <w:t>lands</w:t>
      </w:r>
      <w:r w:rsidR="00A63AD4">
        <w:rPr>
          <w:rStyle w:val="FootnoteReference"/>
        </w:rPr>
        <w:footnoteReference w:id="4"/>
      </w:r>
      <w:r w:rsidR="00C5102C" w:rsidRPr="00206C62">
        <w:rPr>
          <w:rFonts w:cs="Calibri"/>
        </w:rPr>
        <w:t xml:space="preserve"> </w:t>
      </w:r>
      <w:r w:rsidR="006E533E">
        <w:rPr>
          <w:rFonts w:cs="Calibri"/>
        </w:rPr>
        <w:t xml:space="preserve">assuming a careful balance is struck in their relative engagement. </w:t>
      </w:r>
    </w:p>
    <w:p w:rsidR="003F2CBB" w:rsidRPr="002B58DD" w:rsidRDefault="008C3A46" w:rsidP="00591524">
      <w:pPr>
        <w:pStyle w:val="Heading6"/>
        <w:numPr>
          <w:ilvl w:val="1"/>
          <w:numId w:val="16"/>
        </w:numPr>
        <w:spacing w:line="480" w:lineRule="auto"/>
        <w:ind w:left="450"/>
        <w:rPr>
          <w:i/>
        </w:rPr>
      </w:pPr>
      <w:r w:rsidRPr="002B58DD">
        <w:rPr>
          <w:i/>
        </w:rPr>
        <w:t xml:space="preserve">Focus on </w:t>
      </w:r>
      <w:r w:rsidR="00C00995" w:rsidRPr="002B58DD">
        <w:rPr>
          <w:i/>
        </w:rPr>
        <w:t>Upland Hardwood</w:t>
      </w:r>
      <w:r w:rsidR="003F2CBB" w:rsidRPr="002B58DD">
        <w:rPr>
          <w:i/>
        </w:rPr>
        <w:t>s</w:t>
      </w:r>
    </w:p>
    <w:p w:rsidR="00591524" w:rsidRDefault="00591EB8" w:rsidP="00591524">
      <w:pPr>
        <w:spacing w:line="480" w:lineRule="auto"/>
        <w:ind w:firstLine="720"/>
        <w:rPr>
          <w:rFonts w:cs="Calibri"/>
        </w:rPr>
      </w:pPr>
      <w:r w:rsidRPr="002802E3">
        <w:t>Private landowners hold 78 percent of hardwood tim</w:t>
      </w:r>
      <w:r w:rsidR="00217CCD">
        <w:t xml:space="preserve">ber volume, 74 percent of </w:t>
      </w:r>
      <w:r w:rsidR="009B2B96">
        <w:t>which</w:t>
      </w:r>
      <w:r w:rsidR="009B2B96" w:rsidRPr="002802E3">
        <w:t xml:space="preserve"> </w:t>
      </w:r>
      <w:r w:rsidR="009B2B96">
        <w:t>is</w:t>
      </w:r>
      <w:r w:rsidRPr="002802E3">
        <w:t xml:space="preserve"> located in the eastern U.S.</w:t>
      </w:r>
      <w:r w:rsidR="00A87A1A" w:rsidRPr="002802E3">
        <w:t xml:space="preserve">  </w:t>
      </w:r>
      <w:r w:rsidR="00BA706F">
        <w:rPr>
          <w:rFonts w:cs="Calibri"/>
        </w:rPr>
        <w:t>Upland h</w:t>
      </w:r>
      <w:r w:rsidR="0083579D">
        <w:rPr>
          <w:rFonts w:cs="Calibri"/>
        </w:rPr>
        <w:t>ardwood</w:t>
      </w:r>
      <w:r w:rsidR="00BA706F">
        <w:rPr>
          <w:rFonts w:cs="Calibri"/>
        </w:rPr>
        <w:t xml:space="preserve"> forests cover</w:t>
      </w:r>
      <w:r w:rsidR="00BA706F" w:rsidRPr="00206C62">
        <w:rPr>
          <w:rFonts w:cs="Calibri"/>
        </w:rPr>
        <w:t xml:space="preserve"> the majority of </w:t>
      </w:r>
      <w:r w:rsidR="00BA706F">
        <w:rPr>
          <w:rFonts w:cs="Calibri"/>
        </w:rPr>
        <w:t>timber</w:t>
      </w:r>
      <w:r w:rsidR="00BA706F" w:rsidRPr="00206C62">
        <w:rPr>
          <w:rFonts w:cs="Calibri"/>
        </w:rPr>
        <w:t xml:space="preserve">land in the South </w:t>
      </w:r>
      <w:r w:rsidR="00BA706F">
        <w:t xml:space="preserve">and nearly two-thirds of non-corporate </w:t>
      </w:r>
      <w:r w:rsidR="00DC135A">
        <w:t xml:space="preserve">southern </w:t>
      </w:r>
      <w:r w:rsidR="00BA706F">
        <w:t xml:space="preserve">timberland </w:t>
      </w:r>
      <w:r w:rsidR="00BA706F" w:rsidRPr="00206C62">
        <w:rPr>
          <w:rFonts w:cs="Calibri"/>
        </w:rPr>
        <w:fldChar w:fldCharType="begin"/>
      </w:r>
      <w:r w:rsidR="00CE2DF2">
        <w:rPr>
          <w:rFonts w:cs="Calibri"/>
        </w:rPr>
        <w:instrText xml:space="preserve"> ADDIN EN.CITE &lt;EndNote&gt;&lt;Cite&gt;&lt;Author&gt;Smith&lt;/Author&gt;&lt;Year&gt;2009&lt;/Year&gt;&lt;RecNum&gt;186&lt;/RecNum&gt;&lt;DisplayText&gt;(Smith 2009)&lt;/DisplayText&gt;&lt;record&gt;&lt;rec-number&gt;186&lt;/rec-number&gt;&lt;foreign-keys&gt;&lt;key app="EN" db-id="a90s5zadewrawxeer07v2f90xr5vxv022sat"&gt;186&lt;/key&gt;&lt;/foreign-keys&gt;&lt;ref-type name="Report"&gt;27&lt;/ref-type&gt;&lt;contributors&gt;&lt;authors&gt;&lt;author&gt;Smith, W. Brad, tech. coord.; Miles, Patrick D., data coord.; Perry, Charles H., map coord.; Pugh, Scott A., Data CD coord.&lt;/author&gt;&lt;/authors&gt;&lt;/contributors&gt;&lt;titles&gt;&lt;title&gt;Forest Resources of the United States, 2007. Gen. Tech. Rep. WO-78. Washington, DC: U.S. Department of Agriculture, Forest Service, Washington Office. 336 p&lt;/title&gt;&lt;/titles&gt;&lt;dates&gt;&lt;year&gt;2009&lt;/year&gt;&lt;/dates&gt;&lt;urls&gt;&lt;/urls&gt;&lt;/record&gt;&lt;/Cite&gt;&lt;/EndNote&gt;</w:instrText>
      </w:r>
      <w:r w:rsidR="00BA706F" w:rsidRPr="00206C62">
        <w:rPr>
          <w:rFonts w:cs="Calibri"/>
        </w:rPr>
        <w:fldChar w:fldCharType="separate"/>
      </w:r>
      <w:r w:rsidR="00CE2DF2">
        <w:rPr>
          <w:rFonts w:cs="Calibri"/>
          <w:noProof/>
        </w:rPr>
        <w:t>(</w:t>
      </w:r>
      <w:hyperlink w:anchor="_ENREF_130" w:tooltip="Smith, 2009 #186" w:history="1">
        <w:r w:rsidR="001E4C88">
          <w:rPr>
            <w:rFonts w:cs="Calibri"/>
            <w:noProof/>
          </w:rPr>
          <w:t>Smith 2009</w:t>
        </w:r>
      </w:hyperlink>
      <w:r w:rsidR="00CE2DF2">
        <w:rPr>
          <w:rFonts w:cs="Calibri"/>
          <w:noProof/>
        </w:rPr>
        <w:t>)</w:t>
      </w:r>
      <w:r w:rsidR="00BA706F" w:rsidRPr="00206C62">
        <w:rPr>
          <w:rFonts w:cs="Calibri"/>
        </w:rPr>
        <w:fldChar w:fldCharType="end"/>
      </w:r>
      <w:r w:rsidR="00F1330A">
        <w:rPr>
          <w:rFonts w:cs="Calibri"/>
        </w:rPr>
        <w:t xml:space="preserve">; the extent </w:t>
      </w:r>
      <w:r w:rsidR="00310611">
        <w:rPr>
          <w:rFonts w:cs="Calibri"/>
        </w:rPr>
        <w:t xml:space="preserve">and concentration </w:t>
      </w:r>
      <w:r w:rsidR="00F1330A">
        <w:rPr>
          <w:rFonts w:cs="Calibri"/>
        </w:rPr>
        <w:t>of upland hardwood forests can be seen in Figure 1</w:t>
      </w:r>
      <w:r w:rsidR="00BA706F">
        <w:rPr>
          <w:rFonts w:cs="Calibri"/>
        </w:rPr>
        <w:t>.</w:t>
      </w:r>
      <w:r w:rsidR="00BA706F" w:rsidRPr="00206C62">
        <w:rPr>
          <w:rFonts w:cs="Calibri"/>
        </w:rPr>
        <w:t xml:space="preserve"> </w:t>
      </w:r>
      <w:r w:rsidR="00BA706F">
        <w:rPr>
          <w:rFonts w:cs="Calibri"/>
        </w:rPr>
        <w:t xml:space="preserve"> </w:t>
      </w:r>
      <w:r w:rsidR="0060189C" w:rsidRPr="002802E3">
        <w:t>Therefore</w:t>
      </w:r>
      <w:r w:rsidR="0060189C">
        <w:t>,</w:t>
      </w:r>
      <w:r w:rsidR="0060189C" w:rsidRPr="002802E3">
        <w:t xml:space="preserve"> </w:t>
      </w:r>
      <w:r w:rsidR="0060189C">
        <w:t>t</w:t>
      </w:r>
      <w:r w:rsidR="00A87A1A" w:rsidRPr="002802E3">
        <w:t xml:space="preserve">he future of the hardwood resource and thereby most of the eastern forest resource is almost exclusively in the hands of the private sector.  Yet many </w:t>
      </w:r>
      <w:r w:rsidR="00BA706F">
        <w:t>non-corporate</w:t>
      </w:r>
      <w:r w:rsidR="00A87A1A" w:rsidRPr="002802E3">
        <w:t xml:space="preserve"> </w:t>
      </w:r>
      <w:r w:rsidR="00BA706F">
        <w:t xml:space="preserve">private </w:t>
      </w:r>
      <w:r w:rsidR="00A87A1A" w:rsidRPr="002802E3">
        <w:t xml:space="preserve">owners do not understand the implications that commonly chosen </w:t>
      </w:r>
      <w:r w:rsidR="00D43B61">
        <w:t>management</w:t>
      </w:r>
      <w:r w:rsidR="00A87A1A" w:rsidRPr="002802E3">
        <w:t xml:space="preserve"> decisions </w:t>
      </w:r>
      <w:r w:rsidR="00D43B61">
        <w:t xml:space="preserve">or lack thereof </w:t>
      </w:r>
      <w:r w:rsidR="00A87A1A" w:rsidRPr="002802E3">
        <w:t xml:space="preserve">have on future plant and wildlife communities, </w:t>
      </w:r>
      <w:r w:rsidR="00A87A1A">
        <w:t>management options, economic returns, and opportunities in emerging carbon markets</w:t>
      </w:r>
      <w:r w:rsidR="00A87A1A" w:rsidRPr="002802E3">
        <w:t xml:space="preserve">. </w:t>
      </w:r>
      <w:r w:rsidR="00BA706F">
        <w:t xml:space="preserve"> </w:t>
      </w:r>
      <w:r w:rsidR="00310611">
        <w:t xml:space="preserve">In fact, due to prevailing market incentives, </w:t>
      </w:r>
      <w:r w:rsidR="00BA706F">
        <w:t>u</w:t>
      </w:r>
      <w:r w:rsidR="00BA706F">
        <w:rPr>
          <w:rFonts w:cs="Calibri"/>
        </w:rPr>
        <w:t xml:space="preserve">pland hardwoods </w:t>
      </w:r>
      <w:r w:rsidR="001F35E0" w:rsidRPr="00206C62">
        <w:rPr>
          <w:rFonts w:cs="Calibri"/>
        </w:rPr>
        <w:t xml:space="preserve">have historically been disfavored </w:t>
      </w:r>
      <w:r w:rsidR="001F35E0" w:rsidRPr="00206C62">
        <w:rPr>
          <w:rFonts w:cs="Calibri"/>
        </w:rPr>
        <w:fldChar w:fldCharType="begin"/>
      </w:r>
      <w:r w:rsidR="00A87D07">
        <w:rPr>
          <w:rFonts w:cs="Calibri"/>
        </w:rPr>
        <w:instrText xml:space="preserve"> ADDIN EN.CITE &lt;EndNote&gt;&lt;Cite&gt;&lt;Author&gt;Siry&lt;/Author&gt;&lt;Year&gt;2002&lt;/Year&gt;&lt;RecNum&gt;110&lt;/RecNum&gt;&lt;DisplayText&gt;(Siry 2002)&lt;/DisplayText&gt;&lt;record&gt;&lt;rec-number&gt;110&lt;/rec-number&gt;&lt;foreign-keys&gt;&lt;key app="EN" db-id="a90s5zadewrawxeer07v2f90xr5vxv022sat"&gt;110&lt;/key&gt;&lt;/foreign-keys&gt;&lt;ref-type name="Book Section"&gt;5&lt;/ref-type&gt;&lt;contributors&gt;&lt;authors&gt;&lt;author&gt;J.P. Siry &lt;/author&gt;&lt;/authors&gt;&lt;secondary-authors&gt;&lt;author&gt;Wear D.N.&lt;/author&gt;&lt;author&gt;Greis J.G.&lt;/author&gt;&lt;/secondary-authors&gt;&lt;/contributors&gt;&lt;titles&gt;&lt;title&gt;Chapter 14: Intensive timber management practices&lt;/title&gt;&lt;secondary-title&gt;Southern forest resource assessment&lt;/secondary-title&gt;&lt;/titles&gt;&lt;pages&gt;327-340&lt;/pages&gt;&lt;volume&gt;Gen. Tech. Rep. SRS- 53&lt;/volume&gt;&lt;dates&gt;&lt;year&gt;2002&lt;/year&gt;&lt;/dates&gt;&lt;pub-location&gt;Asheville, North Carolina&lt;/pub-location&gt;&lt;publisher&gt;U.S. Department of Agriculture, Forest Service, Southern Research Station&lt;/publisher&gt;&lt;urls&gt;&lt;/urls&gt;&lt;/record&gt;&lt;/Cite&gt;&lt;/EndNote&gt;</w:instrText>
      </w:r>
      <w:r w:rsidR="001F35E0" w:rsidRPr="00206C62">
        <w:rPr>
          <w:rFonts w:cs="Calibri"/>
        </w:rPr>
        <w:fldChar w:fldCharType="separate"/>
      </w:r>
      <w:r w:rsidR="00A87D07">
        <w:rPr>
          <w:rFonts w:cs="Calibri"/>
          <w:noProof/>
        </w:rPr>
        <w:t>(</w:t>
      </w:r>
      <w:hyperlink w:anchor="_ENREF_122" w:tooltip="Siry, 2002 #110" w:history="1">
        <w:r w:rsidR="001E4C88">
          <w:rPr>
            <w:rFonts w:cs="Calibri"/>
            <w:noProof/>
          </w:rPr>
          <w:t>Siry 2002</w:t>
        </w:r>
      </w:hyperlink>
      <w:r w:rsidR="00A87D07">
        <w:rPr>
          <w:rFonts w:cs="Calibri"/>
          <w:noProof/>
        </w:rPr>
        <w:t>)</w:t>
      </w:r>
      <w:r w:rsidR="001F35E0" w:rsidRPr="00206C62">
        <w:rPr>
          <w:rFonts w:cs="Calibri"/>
        </w:rPr>
        <w:fldChar w:fldCharType="end"/>
      </w:r>
      <w:r w:rsidR="001F35E0" w:rsidRPr="00206C62">
        <w:rPr>
          <w:rFonts w:cs="Calibri"/>
        </w:rPr>
        <w:t xml:space="preserve">, converted </w:t>
      </w:r>
      <w:r w:rsidR="001F35E0" w:rsidRPr="00206C62">
        <w:rPr>
          <w:rFonts w:cs="Calibri"/>
        </w:rPr>
        <w:fldChar w:fldCharType="begin"/>
      </w:r>
      <w:r w:rsidR="00083723">
        <w:rPr>
          <w:rFonts w:cs="Calibri"/>
        </w:rPr>
        <w:instrText xml:space="preserve"> ADDIN EN.CITE &lt;EndNote&gt;&lt;Cite&gt;&lt;Author&gt;Connor&lt;/Author&gt;&lt;Year&gt;2002&lt;/Year&gt;&lt;RecNum&gt;48&lt;/RecNum&gt;&lt;DisplayText&gt;(Connor and Hartsell 2002; Mcgrath et al. 2004)&lt;/DisplayText&gt;&lt;record&gt;&lt;rec-number&gt;48&lt;/rec-number&gt;&lt;foreign-keys&gt;&lt;key app="EN" db-id="a90s5zadewrawxeer07v2f90xr5vxv022sat"&gt;48&lt;/key&gt;&lt;key app="ENWeb" db-id="S3c-7ArtqgcAACfG-zs"&gt;50&lt;/key&gt;&lt;/foreign-keys&gt;&lt;ref-type name="Book Section"&gt;5&lt;/ref-type&gt;&lt;contributors&gt;&lt;authors&gt;&lt;author&gt;Connor, R. C.&lt;/author&gt;&lt;author&gt;A. J. Hartsell&lt;/author&gt;&lt;/authors&gt;&lt;/contributors&gt;&lt;titles&gt;&lt;title&gt;Forest area and conditions. In: David N. Wear and John G. Greis, eds. Southern Forest Resource Assessment. Gen. Tech. Rep. SRS-53. Asheville, NC: USDA Forest Service: 357-401&lt;/title&gt;&lt;/titles&gt;&lt;dates&gt;&lt;year&gt;2002&lt;/year&gt;&lt;/dates&gt;&lt;urls&gt;&lt;/urls&gt;&lt;/record&gt;&lt;/Cite&gt;&lt;Cite&gt;&lt;Author&gt;McGrath&lt;/Author&gt;&lt;Year&gt;2004&lt;/Year&gt;&lt;RecNum&gt;124&lt;/RecNum&gt;&lt;record&gt;&lt;rec-number&gt;124&lt;/rec-number&gt;&lt;foreign-keys&gt;&lt;key app="EN" db-id="a90s5zadewrawxeer07v2f90xr5vxv022sat"&gt;124&lt;/key&gt;&lt;/foreign-keys&gt;&lt;ref-type name="Journal Article"&gt;17&lt;/ref-type&gt;&lt;contributors&gt;&lt;authors&gt;&lt;author&gt;McGrath, Deborah A.&lt;/author&gt;&lt;author&gt;Evans, Jonathan P.&lt;/author&gt;&lt;author&gt;Smith, C. Ken&lt;/author&gt;&lt;author&gt;Haskell, David G.&lt;/author&gt;&lt;author&gt;Pelkey, Neil W.&lt;/author&gt;&lt;author&gt;Gottfried, Robert R.&lt;/author&gt;&lt;author&gt;Brockett, Charles D.&lt;/author&gt;&lt;author&gt;Lane, Matthew D.&lt;/author&gt;&lt;author&gt;Williams, E. Douglass&lt;/author&gt;&lt;/authors&gt;&lt;/contributors&gt;&lt;titles&gt;&lt;title&gt;Mapping Land-Use Change and Monitoring the Impacts of Hardwood-to-Pine Conversion on the Southern Cumberland Plateau in Tennessee&lt;/title&gt;&lt;secondary-title&gt;Earth Interactions&lt;/secondary-title&gt;&lt;/titles&gt;&lt;periodical&gt;&lt;full-title&gt;Earth Interactions&lt;/full-title&gt;&lt;/periodical&gt;&lt;pages&gt;1-24&lt;/pages&gt;&lt;volume&gt;8&lt;/volume&gt;&lt;number&gt;9&lt;/number&gt;&lt;dates&gt;&lt;year&gt;2004&lt;/year&gt;&lt;/dates&gt;&lt;urls&gt;&lt;related-urls&gt;&lt;url&gt;http://journals.ametsoc.org/doi/abs/10.1175/1087-3562%282004%29008%3C0001%3AMLCAMT%3E2.0.CO%3B2&lt;/url&gt;&lt;/related-urls&gt;&lt;/urls&gt;&lt;electronic-resource-num&gt;doi:10.1175/1087-3562(2004)008&amp;lt;0001:MLCAMT&amp;gt;2.0.CO;2&lt;/electronic-resource-num&gt;&lt;/record&gt;&lt;/Cite&gt;&lt;/EndNote&gt;</w:instrText>
      </w:r>
      <w:r w:rsidR="001F35E0" w:rsidRPr="00206C62">
        <w:rPr>
          <w:rFonts w:cs="Calibri"/>
        </w:rPr>
        <w:fldChar w:fldCharType="separate"/>
      </w:r>
      <w:r w:rsidR="00083723">
        <w:rPr>
          <w:rFonts w:cs="Calibri"/>
          <w:noProof/>
        </w:rPr>
        <w:t>(</w:t>
      </w:r>
      <w:hyperlink w:anchor="_ENREF_41" w:tooltip="Connor, 2002 #48" w:history="1">
        <w:r w:rsidR="001E4C88">
          <w:rPr>
            <w:rFonts w:cs="Calibri"/>
            <w:noProof/>
          </w:rPr>
          <w:t>Connor and Hartsell 2002</w:t>
        </w:r>
      </w:hyperlink>
      <w:r w:rsidR="00083723">
        <w:rPr>
          <w:rFonts w:cs="Calibri"/>
          <w:noProof/>
        </w:rPr>
        <w:t xml:space="preserve">; </w:t>
      </w:r>
      <w:hyperlink w:anchor="_ENREF_89" w:tooltip="McGrath, 2004 #124" w:history="1">
        <w:r w:rsidR="001E4C88">
          <w:rPr>
            <w:rFonts w:cs="Calibri"/>
            <w:noProof/>
          </w:rPr>
          <w:t>Mcgrath et al. 2004</w:t>
        </w:r>
      </w:hyperlink>
      <w:r w:rsidR="00083723">
        <w:rPr>
          <w:rFonts w:cs="Calibri"/>
          <w:noProof/>
        </w:rPr>
        <w:t>)</w:t>
      </w:r>
      <w:r w:rsidR="001F35E0" w:rsidRPr="00206C62">
        <w:rPr>
          <w:rFonts w:cs="Calibri"/>
        </w:rPr>
        <w:fldChar w:fldCharType="end"/>
      </w:r>
      <w:r w:rsidR="001F35E0" w:rsidRPr="00206C62">
        <w:rPr>
          <w:rFonts w:cs="Calibri"/>
        </w:rPr>
        <w:t xml:space="preserve"> or exploited without consideration for future renewal or value</w:t>
      </w:r>
      <w:r w:rsidR="001F35E0">
        <w:rPr>
          <w:rFonts w:cs="Calibri"/>
        </w:rPr>
        <w:t xml:space="preserve"> </w:t>
      </w:r>
      <w:r w:rsidR="001F35E0">
        <w:rPr>
          <w:rFonts w:cs="Calibri"/>
        </w:rPr>
        <w:fldChar w:fldCharType="begin"/>
      </w:r>
      <w:r w:rsidR="00CE2DF2">
        <w:rPr>
          <w:rFonts w:cs="Calibri"/>
        </w:rPr>
        <w:instrText xml:space="preserve"> ADDIN EN.CITE &lt;EndNote&gt;&lt;Cite&gt;&lt;Author&gt;Fajvan&lt;/Author&gt;&lt;Year&gt;1998&lt;/Year&gt;&lt;RecNum&gt;213&lt;/RecNum&gt;&lt;DisplayText&gt;(Fajvan et al. 1998; Miller 1993)&lt;/DisplayText&gt;&lt;record&gt;&lt;rec-number&gt;213&lt;/rec-number&gt;&lt;foreign-keys&gt;&lt;key app="EN" db-id="a90s5zadewrawxeer07v2f90xr5vxv022sat"&gt;213&lt;/key&gt;&lt;/foreign-keys&gt;&lt;ref-type name="Journal Article"&gt;17&lt;/ref-type&gt;&lt;contributors&gt;&lt;authors&gt;&lt;author&gt;Fajvan, M.A.&lt;/author&gt;&lt;author&gt;S.T. Grushecky&lt;/author&gt;&lt;author&gt;C.C. Hassler&lt;/author&gt;&lt;/authors&gt;&lt;/contributors&gt;&lt;titles&gt;&lt;title&gt;The effect of harvesting practices on West Virginia&amp;apos;s wood supply. &lt;/title&gt;&lt;secondary-title&gt;Journal of Forestry&lt;/secondary-title&gt;&lt;/titles&gt;&lt;periodical&gt;&lt;full-title&gt;Journal of Forestry&lt;/full-title&gt;&lt;abbr-1&gt;J. For.&lt;/abbr-1&gt;&lt;/periodical&gt;&lt;pages&gt;33-39&lt;/pages&gt;&lt;volume&gt;96&lt;/volume&gt;&lt;number&gt;5&lt;/number&gt;&lt;dates&gt;&lt;year&gt;1998&lt;/year&gt;&lt;/dates&gt;&lt;urls&gt;&lt;/urls&gt;&lt;/record&gt;&lt;/Cite&gt;&lt;Cite&gt;&lt;Author&gt;Miller&lt;/Author&gt;&lt;Year&gt;1993&lt;/Year&gt;&lt;RecNum&gt;219&lt;/RecNum&gt;&lt;record&gt;&lt;rec-number&gt;219&lt;/rec-number&gt;&lt;foreign-keys&gt;&lt;key app="EN" db-id="a90s5zadewrawxeer07v2f90xr5vxv022sat"&gt;219&lt;/key&gt;&lt;/foreign-keys&gt;&lt;ref-type name="Journal Article"&gt;17&lt;/ref-type&gt;&lt;contributors&gt;&lt;authors&gt;&lt;author&gt;Miller, Gary W.&lt;/author&gt;&lt;/authors&gt;&lt;/contributors&gt;&lt;titles&gt;&lt;title&gt;Financial aspects of partial cutting practices in central Appalachian hardwoods. Res. Pap. NE-673. Radnor, PA: U.S. Department of Agriculture, Forest Service, Northeastern Forest Experiment Station. 9 p&lt;/title&gt;&lt;/titles&gt;&lt;dates&gt;&lt;year&gt;1993&lt;/year&gt;&lt;/dates&gt;&lt;urls&gt;&lt;related-urls&gt;&lt;url&gt;http://www.treesearch.fs.fed.us/pubs/20775&lt;/url&gt;&lt;/related-urls&gt;&lt;/urls&gt;&lt;/record&gt;&lt;/Cite&gt;&lt;/EndNote&gt;</w:instrText>
      </w:r>
      <w:r w:rsidR="001F35E0">
        <w:rPr>
          <w:rFonts w:cs="Calibri"/>
        </w:rPr>
        <w:fldChar w:fldCharType="separate"/>
      </w:r>
      <w:r w:rsidR="00CE2DF2">
        <w:rPr>
          <w:rFonts w:cs="Calibri"/>
          <w:noProof/>
        </w:rPr>
        <w:t>(</w:t>
      </w:r>
      <w:hyperlink w:anchor="_ENREF_50" w:tooltip="Fajvan, 1998 #213" w:history="1">
        <w:r w:rsidR="001E4C88">
          <w:rPr>
            <w:rFonts w:cs="Calibri"/>
            <w:noProof/>
          </w:rPr>
          <w:t>Fajvan et al. 1998</w:t>
        </w:r>
      </w:hyperlink>
      <w:r w:rsidR="00CE2DF2">
        <w:rPr>
          <w:rFonts w:cs="Calibri"/>
          <w:noProof/>
        </w:rPr>
        <w:t xml:space="preserve">; </w:t>
      </w:r>
      <w:hyperlink w:anchor="_ENREF_94" w:tooltip="Miller, 1993 #219" w:history="1">
        <w:r w:rsidR="001E4C88">
          <w:rPr>
            <w:rFonts w:cs="Calibri"/>
            <w:noProof/>
          </w:rPr>
          <w:t>Miller 1993</w:t>
        </w:r>
      </w:hyperlink>
      <w:r w:rsidR="00CE2DF2">
        <w:rPr>
          <w:rFonts w:cs="Calibri"/>
          <w:noProof/>
        </w:rPr>
        <w:t>)</w:t>
      </w:r>
      <w:r w:rsidR="001F35E0">
        <w:rPr>
          <w:rFonts w:cs="Calibri"/>
        </w:rPr>
        <w:fldChar w:fldCharType="end"/>
      </w:r>
      <w:r w:rsidR="001F35E0" w:rsidRPr="00206C62">
        <w:rPr>
          <w:rFonts w:cs="Calibri"/>
        </w:rPr>
        <w:t xml:space="preserve">.  </w:t>
      </w:r>
    </w:p>
    <w:p w:rsidR="00963669" w:rsidRDefault="00591524" w:rsidP="00591524">
      <w:pPr>
        <w:spacing w:line="480" w:lineRule="auto"/>
        <w:ind w:firstLine="720"/>
        <w:rPr>
          <w:rFonts w:cs="Calibri"/>
          <w:lang w:val="en"/>
        </w:rPr>
      </w:pPr>
      <w:r w:rsidRPr="00591524">
        <w:rPr>
          <w:rFonts w:cs="Calibri"/>
        </w:rPr>
        <w:t xml:space="preserve">This paper examines upland hardwood forest management in the Southern Appalachian Mountains in the context of IFM project feasibility due to its importance to eastern hardwood timber production and the overarching ecological significance of these forests from the watershed to transcontinental scale.  </w:t>
      </w:r>
      <w:r w:rsidRPr="00591524">
        <w:rPr>
          <w:rFonts w:cs="Calibri"/>
          <w:lang w:val="en"/>
        </w:rPr>
        <w:t xml:space="preserve">The region is comprised of </w:t>
      </w:r>
      <w:r w:rsidR="00813CC9">
        <w:rPr>
          <w:rFonts w:cs="Calibri"/>
          <w:lang w:val="en"/>
        </w:rPr>
        <w:t>some of</w:t>
      </w:r>
      <w:r w:rsidRPr="00591524">
        <w:rPr>
          <w:rFonts w:cs="Calibri"/>
          <w:lang w:val="en"/>
        </w:rPr>
        <w:t xml:space="preserve"> the richest and most endemic tree and amphibian biotas in North America </w:t>
      </w:r>
    </w:p>
    <w:p w:rsidR="00F1330A" w:rsidRDefault="00356630" w:rsidP="00591524">
      <w:pPr>
        <w:spacing w:line="480" w:lineRule="auto"/>
        <w:ind w:firstLine="720"/>
      </w:pPr>
      <w:r>
        <w:rPr>
          <w:noProof/>
        </w:rPr>
        <w:lastRenderedPageBreak/>
        <mc:AlternateContent>
          <mc:Choice Requires="wps">
            <w:drawing>
              <wp:inline distT="0" distB="0" distL="0" distR="0" wp14:anchorId="653EAC41" wp14:editId="30631939">
                <wp:extent cx="7276494" cy="1828800"/>
                <wp:effectExtent l="0" t="0" r="0" b="0"/>
                <wp:docPr id="16" name="Text Box 16"/>
                <wp:cNvGraphicFramePr/>
                <a:graphic xmlns:a="http://schemas.openxmlformats.org/drawingml/2006/main">
                  <a:graphicData uri="http://schemas.microsoft.com/office/word/2010/wordprocessingShape">
                    <wps:wsp>
                      <wps:cNvSpPr txBox="1"/>
                      <wps:spPr>
                        <a:xfrm rot="5400000">
                          <a:off x="0" y="0"/>
                          <a:ext cx="7276494" cy="1828800"/>
                        </a:xfrm>
                        <a:prstGeom prst="rect">
                          <a:avLst/>
                        </a:prstGeom>
                        <a:noFill/>
                        <a:ln w="6350">
                          <a:noFill/>
                        </a:ln>
                        <a:effectLst/>
                      </wps:spPr>
                      <wps:txbx>
                        <w:txbxContent>
                          <w:p w:rsidR="00816BE1" w:rsidRPr="00356630" w:rsidRDefault="00816BE1" w:rsidP="00356630">
                            <w:pPr>
                              <w:pStyle w:val="Caption"/>
                              <w:spacing w:line="480" w:lineRule="auto"/>
                            </w:pPr>
                            <w:proofErr w:type="gramStart"/>
                            <w:r w:rsidRPr="00356630">
                              <w:t>Figure 1.</w:t>
                            </w:r>
                            <w:proofErr w:type="gramEnd"/>
                            <w:r w:rsidRPr="00356630">
                              <w:t xml:space="preserve">  Spatial extent </w:t>
                            </w:r>
                            <w:r>
                              <w:t xml:space="preserve">and concentration </w:t>
                            </w:r>
                            <w:r w:rsidRPr="00356630">
                              <w:t xml:space="preserve">of upland hardwood forests in the U.S. South </w:t>
                            </w:r>
                            <w:r w:rsidRPr="00356630">
                              <w:fldChar w:fldCharType="begin"/>
                            </w:r>
                            <w:r w:rsidRPr="00356630">
                              <w:instrText xml:space="preserve"> ADDIN EN.CITE &lt;EndNote&gt;&lt;Cite ExcludeAuth="1"&gt;&lt;Year&gt;USDA Forest Service 2007&lt;/Year&gt;&lt;RecNum&gt;263&lt;/RecNum&gt;&lt;Prefix&gt;Source: &lt;/Prefix&gt;&lt;DisplayText&gt;(Source: USDA Forest Service 2007)&lt;/DisplayText&gt;&lt;record&gt;&lt;rec-number&gt;263&lt;/rec-number&gt;&lt;foreign-keys&gt;&lt;key app="EN" db-id="a90s5zadewrawxeer07v2f90xr5vxv022sat"&gt;263&lt;/key&gt;&lt;/foreign-keys&gt;&lt;ref-type name="Web Page"&gt;12&lt;/ref-type&gt;&lt;contributors&gt;&lt;/contributors&gt;&lt;titles&gt;&lt;title&gt;Distribution of Upland Hardwood Forests&lt;/title&gt;&lt;secondary-title&gt;Compass&lt;/secondary-title&gt;&lt;/titles&gt;&lt;volume&gt;2010&lt;/volume&gt;&lt;number&gt;January 5&lt;/number&gt;&lt;edition&gt;Issue 9: The mighty oak in upland hardwood forests of the south. Asheville, NC: U.S. Department of Agriculture, Forest Service, Southern Research Station.&lt;/edition&gt;&lt;dates&gt;&lt;year&gt;USDA Forest Service 2007&lt;/year&gt;&lt;/dates&gt;&lt;urls&gt;&lt;related-urls&gt;&lt;url&gt;http://www.srs.fs.usda.gov/compass/issue9/03distro.htm&lt;/url&gt;&lt;/related-urls&gt;&lt;/urls&gt;&lt;/record&gt;&lt;/Cite&gt;&lt;/EndNote&gt;</w:instrText>
                            </w:r>
                            <w:r w:rsidRPr="00356630">
                              <w:fldChar w:fldCharType="separate"/>
                            </w:r>
                            <w:r w:rsidRPr="00356630">
                              <w:rPr>
                                <w:noProof/>
                              </w:rPr>
                              <w:t>(</w:t>
                            </w:r>
                            <w:hyperlink w:anchor="_ENREF_14" w:tooltip=", USDA Forest Service 2007 #263" w:history="1">
                              <w:r w:rsidRPr="00356630">
                                <w:rPr>
                                  <w:noProof/>
                                </w:rPr>
                                <w:t>Source: USDA Forest Service 2007</w:t>
                              </w:r>
                            </w:hyperlink>
                            <w:r w:rsidRPr="00356630">
                              <w:rPr>
                                <w:noProof/>
                              </w:rPr>
                              <w:t>)</w:t>
                            </w:r>
                            <w:r w:rsidRPr="00356630">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572.95pt;height:2in;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" filled="f" stroked="f" strokeweight=".5pt">
                <v:textbox style="mso-fit-shape-to-text:t">
                  <w:txbxContent>
                    <w:p w:rsidR="00816BE1" w:rsidRPr="00356630" w:rsidRDefault="00816BE1" w:rsidP="00356630">
                      <w:pPr>
                        <w:pStyle w:val="Caption"/>
                        <w:spacing w:line="480" w:lineRule="auto"/>
                      </w:pPr>
                      <w:proofErr w:type="gramStart"/>
                      <w:r w:rsidRPr="00356630">
                        <w:t>Figure 1.</w:t>
                      </w:r>
                      <w:proofErr w:type="gramEnd"/>
                      <w:r w:rsidRPr="00356630">
                        <w:t xml:space="preserve">  Spatial extent </w:t>
                      </w:r>
                      <w:r>
                        <w:t xml:space="preserve">and concentration </w:t>
                      </w:r>
                      <w:r w:rsidRPr="00356630">
                        <w:t xml:space="preserve">of upland hardwood forests in the U.S. South </w:t>
                      </w:r>
                      <w:r w:rsidRPr="00356630">
                        <w:fldChar w:fldCharType="begin"/>
                      </w:r>
                      <w:r w:rsidRPr="00356630">
                        <w:instrText xml:space="preserve"> ADDIN EN.CITE &lt;EndNote&gt;&lt;Cite ExcludeAuth="1"&gt;&lt;Year&gt;USDA Forest Service 2007&lt;/Year&gt;&lt;RecNum&gt;263&lt;/RecNum&gt;&lt;Prefix&gt;Source: &lt;/Prefix&gt;&lt;DisplayText&gt;(Source: USDA Forest Service 2007)&lt;/DisplayText&gt;&lt;record&gt;&lt;rec-number&gt;263&lt;/rec-number&gt;&lt;foreign-keys&gt;&lt;key app="EN" db-id="a90s5zadewrawxeer07v2f90xr5vxv022sat"&gt;263&lt;/key&gt;&lt;/foreign-keys&gt;&lt;ref-type name="Web Page"&gt;12&lt;/ref-type&gt;&lt;contributors&gt;&lt;/contributors&gt;&lt;titles&gt;&lt;title&gt;Distribution of Upland Hardwood Forests&lt;/title&gt;&lt;secondary-title&gt;Compass&lt;/secondary-title&gt;&lt;/titles&gt;&lt;volume&gt;2010&lt;/volume&gt;&lt;number&gt;January 5&lt;/number&gt;&lt;edition&gt;Issue 9: The mighty oak in upland hardwood forests of the south. Asheville, NC: U.S. Department of Agriculture, Forest Service, Southern Research Station.&lt;/edition&gt;&lt;dates&gt;&lt;year&gt;USDA Forest Service 2007&lt;/year&gt;&lt;/dates&gt;&lt;urls&gt;&lt;related-urls&gt;&lt;url&gt;http://www.srs.fs.usda.gov/compass/issue9/03distro.htm&lt;/url&gt;&lt;/related-urls&gt;&lt;/urls&gt;&lt;/record&gt;&lt;/Cite&gt;&lt;/EndNote&gt;</w:instrText>
                      </w:r>
                      <w:r w:rsidRPr="00356630">
                        <w:fldChar w:fldCharType="separate"/>
                      </w:r>
                      <w:r w:rsidRPr="00356630">
                        <w:rPr>
                          <w:noProof/>
                        </w:rPr>
                        <w:t>(</w:t>
                      </w:r>
                      <w:hyperlink w:anchor="_ENREF_14" w:tooltip=", USDA Forest Service 2007 #263" w:history="1">
                        <w:r w:rsidRPr="00356630">
                          <w:rPr>
                            <w:noProof/>
                          </w:rPr>
                          <w:t>Source: USDA Forest Service 2007</w:t>
                        </w:r>
                      </w:hyperlink>
                      <w:r w:rsidRPr="00356630">
                        <w:rPr>
                          <w:noProof/>
                        </w:rPr>
                        <w:t>)</w:t>
                      </w:r>
                      <w:r w:rsidRPr="00356630">
                        <w:fldChar w:fldCharType="end"/>
                      </w:r>
                    </w:p>
                  </w:txbxContent>
                </v:textbox>
                <w10:anchorlock/>
              </v:shape>
            </w:pict>
          </mc:Fallback>
        </mc:AlternateContent>
      </w:r>
      <w:r w:rsidR="00B60BBE">
        <w:rPr>
          <w:noProof/>
        </w:rPr>
        <w:drawing>
          <wp:inline distT="0" distB="0" distL="0" distR="0" wp14:anchorId="64CB70DA" wp14:editId="6BB55088">
            <wp:extent cx="7545760" cy="4882259"/>
            <wp:effectExtent l="0" t="1587" r="0" b="0"/>
            <wp:docPr id="5" name="Picture 5" descr="hardwood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woods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561015" cy="4892130"/>
                    </a:xfrm>
                    <a:prstGeom prst="rect">
                      <a:avLst/>
                    </a:prstGeom>
                    <a:noFill/>
                    <a:ln>
                      <a:noFill/>
                    </a:ln>
                  </pic:spPr>
                </pic:pic>
              </a:graphicData>
            </a:graphic>
          </wp:inline>
        </w:drawing>
      </w:r>
    </w:p>
    <w:p w:rsidR="00F11367" w:rsidRDefault="00B4026B" w:rsidP="006901E8">
      <w:pPr>
        <w:spacing w:line="480" w:lineRule="auto"/>
        <w:rPr>
          <w:rFonts w:cs="Calibri"/>
        </w:rPr>
      </w:pPr>
      <w:r w:rsidRPr="00591524">
        <w:rPr>
          <w:rFonts w:cs="Calibri"/>
          <w:lang w:val="en"/>
        </w:rPr>
        <w:lastRenderedPageBreak/>
        <w:fldChar w:fldCharType="begin"/>
      </w:r>
      <w:r>
        <w:rPr>
          <w:rFonts w:cs="Calibri"/>
          <w:lang w:val="en"/>
        </w:rPr>
        <w:instrText xml:space="preserve"> ADDIN EN.CITE &lt;EndNote&gt;&lt;Cite&gt;&lt;Author&gt;Ricketts&lt;/Author&gt;&lt;Year&gt;1999&lt;/Year&gt;&lt;RecNum&gt;225&lt;/RecNum&gt;&lt;DisplayText&gt;(Ricketts et al. 1999)&lt;/DisplayText&gt;&lt;record&gt;&lt;rec-number&gt;225&lt;/rec-number&gt;&lt;foreign-keys&gt;&lt;key app="EN" db-id="a90s5zadewrawxeer07v2f90xr5vxv022sat"&gt;225&lt;/key&gt;&lt;/foreign-keys&gt;&lt;ref-type name="Book"&gt;6&lt;/ref-type&gt;&lt;contributors&gt;&lt;authors&gt;&lt;author&gt;Ricketts, Taylor H.&lt;/author&gt;&lt;author&gt;Dinerstein, Eric&lt;/author&gt;&lt;author&gt;Olson, David M. &lt;/author&gt;&lt;author&gt;Loucks, Colby J.&lt;/author&gt;&lt;author&gt;W. Wichbaum&lt;/author&gt;&lt;author&gt;D. DellaSalla&lt;/author&gt;&lt;author&gt;K. Kavanagh&lt;/author&gt;&lt;author&gt;P. Hedao&lt;/author&gt;&lt;author&gt;P.T. Hurley&lt;/author&gt;&lt;author&gt;K.M. Carney&lt;/author&gt;&lt;author&gt;R. Abell&lt;/author&gt;&lt;author&gt;S. Walters&lt;/author&gt;&lt;/authors&gt;&lt;secondary-authors&gt;&lt;author&gt;World Wildlife Fund&lt;/author&gt;&lt;/secondary-authors&gt;&lt;/contributors&gt;&lt;titles&gt;&lt;title&gt;Terrestrial ecoregions of North America: A conservation assessment&lt;/title&gt;&lt;/titles&gt;&lt;section&gt;485&lt;/section&gt;&lt;dates&gt;&lt;year&gt;1999&lt;/year&gt;&lt;/dates&gt;&lt;pub-location&gt;Washington, D.C.&lt;/pub-location&gt;&lt;publisher&gt;Island Press&lt;/publisher&gt;&lt;urls&gt;&lt;/urls&gt;&lt;/record&gt;&lt;/Cite&gt;&lt;/EndNote&gt;</w:instrText>
      </w:r>
      <w:r w:rsidRPr="00591524">
        <w:rPr>
          <w:rFonts w:cs="Calibri"/>
          <w:lang w:val="en"/>
        </w:rPr>
        <w:fldChar w:fldCharType="separate"/>
      </w:r>
      <w:r>
        <w:rPr>
          <w:rFonts w:cs="Calibri"/>
          <w:noProof/>
          <w:lang w:val="en"/>
        </w:rPr>
        <w:t>(</w:t>
      </w:r>
      <w:hyperlink w:anchor="_ENREF_113" w:tooltip="Ricketts, 1999 #225" w:history="1">
        <w:r w:rsidR="001E4C88">
          <w:rPr>
            <w:rFonts w:cs="Calibri"/>
            <w:noProof/>
            <w:lang w:val="en"/>
          </w:rPr>
          <w:t>Ricketts et al. 1999</w:t>
        </w:r>
      </w:hyperlink>
      <w:r>
        <w:rPr>
          <w:rFonts w:cs="Calibri"/>
          <w:noProof/>
          <w:lang w:val="en"/>
        </w:rPr>
        <w:t>)</w:t>
      </w:r>
      <w:r w:rsidRPr="00591524">
        <w:rPr>
          <w:rFonts w:cs="Calibri"/>
        </w:rPr>
        <w:fldChar w:fldCharType="end"/>
      </w:r>
      <w:r w:rsidRPr="00591524">
        <w:rPr>
          <w:rFonts w:cs="Calibri"/>
          <w:lang w:val="en"/>
        </w:rPr>
        <w:t xml:space="preserve"> and constitutes one of t</w:t>
      </w:r>
      <w:r>
        <w:rPr>
          <w:rFonts w:cs="Calibri"/>
          <w:lang w:val="en"/>
        </w:rPr>
        <w:t xml:space="preserve">he most complex timber markets </w:t>
      </w:r>
      <w:r>
        <w:rPr>
          <w:rFonts w:cs="Calibri"/>
        </w:rPr>
        <w:fldChar w:fldCharType="begin"/>
      </w:r>
      <w:r>
        <w:rPr>
          <w:rFonts w:cs="Calibri"/>
        </w:rPr>
        <w:instrText xml:space="preserve"> ADDIN EN.CITE &lt;EndNote&gt;&lt;Cite ExcludeAuth="1"&gt;&lt;Year&gt;Southern Appalachian Man and the Biosphere 1996&lt;/Year&gt;&lt;RecNum&gt;291&lt;/RecNum&gt;&lt;DisplayText&gt;(Southern Appalachian Man and the Biosphere 1996)&lt;/DisplayText&gt;&lt;record&gt;&lt;rec-number&gt;291&lt;/rec-number&gt;&lt;foreign-keys&gt;&lt;key app="EN" db-id="a90s5zadewrawxeer07v2f90xr5vxv022sat"&gt;291&lt;/key&gt;&lt;/foreign-keys&gt;&lt;ref-type name="Electronic Book Section"&gt;60&lt;/ref-type&gt;&lt;contributors&gt;&lt;/contributors&gt;&lt;titles&gt;&lt;title&gt;The Southern Appalachian Assessment Social/Cultural/Economic Technical Report. Report 4 of 5. Atlanta: U.S. Department of Agriculture, Forest Service, Southern Region&lt;/title&gt;&lt;/titles&gt;&lt;dates&gt;&lt;year&gt;Southern Appalachian Man and the Biosphere 1996&lt;/year&gt;&lt;/dates&gt;&lt;urls&gt;&lt;related-urls&gt;&lt;url&gt;http://sunsite.utk.edu/samab/saa/saa_reports.html&lt;/url&gt;&lt;/related-urls&gt;&lt;/urls&gt;&lt;/record&gt;&lt;/Cite&gt;&lt;/EndNote&gt;</w:instrText>
      </w:r>
      <w:r>
        <w:rPr>
          <w:rFonts w:cs="Calibri"/>
        </w:rPr>
        <w:fldChar w:fldCharType="separate"/>
      </w:r>
      <w:r>
        <w:rPr>
          <w:rFonts w:cs="Calibri"/>
          <w:noProof/>
        </w:rPr>
        <w:t>(</w:t>
      </w:r>
      <w:hyperlink w:anchor="_ENREF_9" w:tooltip=", Southern Appalachian Man and the Biosphere 1996 #291" w:history="1">
        <w:r w:rsidR="001E4C88">
          <w:rPr>
            <w:rFonts w:cs="Calibri"/>
            <w:noProof/>
          </w:rPr>
          <w:t>Southern Appalachian Man and the Biosphere 1996</w:t>
        </w:r>
      </w:hyperlink>
      <w:r>
        <w:rPr>
          <w:rFonts w:cs="Calibri"/>
          <w:noProof/>
        </w:rPr>
        <w:t>)</w:t>
      </w:r>
      <w:r>
        <w:rPr>
          <w:rFonts w:cs="Calibri"/>
        </w:rPr>
        <w:fldChar w:fldCharType="end"/>
      </w:r>
      <w:r w:rsidRPr="00591524">
        <w:rPr>
          <w:rFonts w:cs="Calibri"/>
          <w:lang w:val="en"/>
        </w:rPr>
        <w:t xml:space="preserve">, in which oaks </w:t>
      </w:r>
      <w:r w:rsidR="00BE2F0D" w:rsidRPr="000C0D47">
        <w:rPr>
          <w:rFonts w:cs="Calibri"/>
        </w:rPr>
        <w:t>(</w:t>
      </w:r>
      <w:proofErr w:type="spellStart"/>
      <w:r w:rsidR="00BE2F0D" w:rsidRPr="000C0D47">
        <w:rPr>
          <w:rFonts w:cs="Calibri"/>
          <w:i/>
        </w:rPr>
        <w:t>Quercus</w:t>
      </w:r>
      <w:proofErr w:type="spellEnd"/>
      <w:r w:rsidR="00BE2F0D" w:rsidRPr="000C0D47">
        <w:rPr>
          <w:rFonts w:cs="Calibri"/>
        </w:rPr>
        <w:t xml:space="preserve"> </w:t>
      </w:r>
      <w:r w:rsidR="00BE2F0D" w:rsidRPr="00BE2F0D">
        <w:rPr>
          <w:rFonts w:cs="Calibri"/>
          <w:i/>
        </w:rPr>
        <w:t>sp.</w:t>
      </w:r>
      <w:r w:rsidR="00BE2F0D" w:rsidRPr="000C0D47">
        <w:rPr>
          <w:rFonts w:cs="Calibri"/>
        </w:rPr>
        <w:t>)</w:t>
      </w:r>
      <w:r w:rsidR="00BE2F0D" w:rsidRPr="00812FB0">
        <w:rPr>
          <w:rFonts w:cs="Calibri"/>
        </w:rPr>
        <w:t xml:space="preserve"> </w:t>
      </w:r>
      <w:r w:rsidRPr="00591524">
        <w:rPr>
          <w:rFonts w:cs="Calibri"/>
          <w:lang w:val="en"/>
        </w:rPr>
        <w:t xml:space="preserve">have </w:t>
      </w:r>
      <w:r w:rsidRPr="00591524">
        <w:rPr>
          <w:rFonts w:cs="Calibri"/>
        </w:rPr>
        <w:t>been among the most valuable</w:t>
      </w:r>
      <w:r w:rsidRPr="00D15A73">
        <w:rPr>
          <w:rFonts w:cs="Calibri"/>
        </w:rPr>
        <w:t xml:space="preserve"> </w:t>
      </w:r>
      <w:r w:rsidRPr="00591524">
        <w:rPr>
          <w:rFonts w:cs="Calibri"/>
        </w:rPr>
        <w:t>species.  Upland oak forests have dominated</w:t>
      </w:r>
      <w:r>
        <w:rPr>
          <w:rFonts w:cs="Calibri"/>
        </w:rPr>
        <w:t xml:space="preserve"> the</w:t>
      </w:r>
      <w:r w:rsidRPr="00591524">
        <w:rPr>
          <w:rFonts w:cs="Calibri"/>
        </w:rPr>
        <w:t xml:space="preserve"> </w:t>
      </w:r>
      <w:r w:rsidR="00963669" w:rsidRPr="00591524">
        <w:rPr>
          <w:rFonts w:cs="Calibri"/>
        </w:rPr>
        <w:t xml:space="preserve">Appalachian landscape for the last 2000 years </w:t>
      </w:r>
      <w:r w:rsidR="00963669" w:rsidRPr="00591524">
        <w:rPr>
          <w:rFonts w:cs="Calibri"/>
        </w:rPr>
        <w:fldChar w:fldCharType="begin"/>
      </w:r>
      <w:r w:rsidR="00A87D07">
        <w:rPr>
          <w:rFonts w:cs="Calibri"/>
        </w:rPr>
        <w:instrText xml:space="preserve"> ADDIN EN.CITE &lt;EndNote&gt;&lt;Cite&gt;&lt;Author&gt;Delcourt&lt;/Author&gt;&lt;Year&gt;1987&lt;/Year&gt;&lt;RecNum&gt;217&lt;/RecNum&gt;&lt;DisplayText&gt;(Delcourt and Delcourt 1987)&lt;/DisplayText&gt;&lt;record&gt;&lt;rec-number&gt;217&lt;/rec-number&gt;&lt;foreign-keys&gt;&lt;key app="EN" db-id="a90s5zadewrawxeer07v2f90xr5vxv022sat"&gt;217&lt;/key&gt;&lt;/foreign-keys&gt;&lt;ref-type name="Book"&gt;6&lt;/ref-type&gt;&lt;contributors&gt;&lt;authors&gt;&lt;author&gt;Delcourt, P.A.&lt;/author&gt;&lt;author&gt;Delcourt, H.R.&lt;/author&gt;&lt;/authors&gt;&lt;/contributors&gt;&lt;titles&gt;&lt;title&gt;Long-term forest dynamics of the temperate zone&lt;/title&gt;&lt;/titles&gt;&lt;dates&gt;&lt;year&gt;1987&lt;/year&gt;&lt;/dates&gt;&lt;publisher&gt;Springer-Verlag, New York&lt;/publisher&gt;&lt;urls&gt;&lt;/urls&gt;&lt;/record&gt;&lt;/Cite&gt;&lt;/EndNote&gt;</w:instrText>
      </w:r>
      <w:r w:rsidR="00963669" w:rsidRPr="00591524">
        <w:rPr>
          <w:rFonts w:cs="Calibri"/>
        </w:rPr>
        <w:fldChar w:fldCharType="separate"/>
      </w:r>
      <w:r w:rsidR="00A87D07">
        <w:rPr>
          <w:rFonts w:cs="Calibri"/>
          <w:noProof/>
        </w:rPr>
        <w:t>(</w:t>
      </w:r>
      <w:hyperlink w:anchor="_ENREF_46" w:tooltip="Delcourt, 1987 #217" w:history="1">
        <w:r w:rsidR="001E4C88">
          <w:rPr>
            <w:rFonts w:cs="Calibri"/>
            <w:noProof/>
          </w:rPr>
          <w:t>Delcourt and Delcourt 1987</w:t>
        </w:r>
      </w:hyperlink>
      <w:r w:rsidR="00A87D07">
        <w:rPr>
          <w:rFonts w:cs="Calibri"/>
          <w:noProof/>
        </w:rPr>
        <w:t>)</w:t>
      </w:r>
      <w:r w:rsidR="00963669" w:rsidRPr="00591524">
        <w:rPr>
          <w:rFonts w:cs="Calibri"/>
        </w:rPr>
        <w:fldChar w:fldCharType="end"/>
      </w:r>
      <w:r w:rsidR="00A67647">
        <w:rPr>
          <w:rFonts w:cs="Calibri"/>
        </w:rPr>
        <w:t>,</w:t>
      </w:r>
      <w:r w:rsidR="00963669" w:rsidRPr="00591524">
        <w:rPr>
          <w:rFonts w:cs="Calibri"/>
        </w:rPr>
        <w:t xml:space="preserve"> and since the demise of the </w:t>
      </w:r>
      <w:r w:rsidR="006C1731" w:rsidRPr="00591524">
        <w:rPr>
          <w:rFonts w:cs="Calibri"/>
        </w:rPr>
        <w:t xml:space="preserve">American chestnut </w:t>
      </w:r>
      <w:r w:rsidR="006C1731" w:rsidRPr="006901E8">
        <w:rPr>
          <w:bCs/>
        </w:rPr>
        <w:t>(</w:t>
      </w:r>
      <w:proofErr w:type="spellStart"/>
      <w:r w:rsidR="006C1731" w:rsidRPr="006901E8">
        <w:rPr>
          <w:bCs/>
          <w:i/>
        </w:rPr>
        <w:t>Castanea</w:t>
      </w:r>
      <w:proofErr w:type="spellEnd"/>
      <w:r w:rsidR="006C1731" w:rsidRPr="006901E8">
        <w:rPr>
          <w:bCs/>
          <w:i/>
        </w:rPr>
        <w:t xml:space="preserve"> </w:t>
      </w:r>
      <w:proofErr w:type="spellStart"/>
      <w:r w:rsidR="006C1731" w:rsidRPr="006901E8">
        <w:rPr>
          <w:bCs/>
          <w:i/>
        </w:rPr>
        <w:t>dentata</w:t>
      </w:r>
      <w:proofErr w:type="spellEnd"/>
      <w:r w:rsidR="006C1731" w:rsidRPr="006901E8">
        <w:rPr>
          <w:bCs/>
        </w:rPr>
        <w:t xml:space="preserve"> Marsh.) </w:t>
      </w:r>
      <w:r w:rsidR="006C1731" w:rsidRPr="00591524">
        <w:rPr>
          <w:rFonts w:cs="Calibri"/>
        </w:rPr>
        <w:t>in the early 20</w:t>
      </w:r>
      <w:r w:rsidR="006C1731" w:rsidRPr="00591524">
        <w:rPr>
          <w:rFonts w:cs="Calibri"/>
          <w:vertAlign w:val="superscript"/>
        </w:rPr>
        <w:t>th</w:t>
      </w:r>
      <w:r w:rsidR="006C1731" w:rsidRPr="00591524">
        <w:rPr>
          <w:rFonts w:cs="Calibri"/>
        </w:rPr>
        <w:t xml:space="preserve"> century</w:t>
      </w:r>
      <w:r w:rsidR="00A67647">
        <w:rPr>
          <w:rFonts w:cs="Calibri"/>
        </w:rPr>
        <w:t>,</w:t>
      </w:r>
      <w:r w:rsidR="006C1731" w:rsidRPr="00591524">
        <w:rPr>
          <w:rFonts w:cs="Calibri"/>
        </w:rPr>
        <w:t xml:space="preserve"> have constituted the preponderance of the hard mast </w:t>
      </w:r>
      <w:r w:rsidR="006901E8" w:rsidRPr="00591524">
        <w:rPr>
          <w:rFonts w:cs="Calibri"/>
        </w:rPr>
        <w:t xml:space="preserve">supply, a crucial pillar of the food web </w:t>
      </w:r>
      <w:r w:rsidR="00BC2368">
        <w:rPr>
          <w:rFonts w:cs="Calibri"/>
        </w:rPr>
        <w:t xml:space="preserve">that numerous </w:t>
      </w:r>
      <w:r w:rsidR="00516402">
        <w:rPr>
          <w:rFonts w:cs="Calibri"/>
        </w:rPr>
        <w:t xml:space="preserve">birds and </w:t>
      </w:r>
      <w:r w:rsidR="00BC2368">
        <w:rPr>
          <w:rFonts w:cs="Calibri"/>
        </w:rPr>
        <w:t xml:space="preserve">mammals depend on as </w:t>
      </w:r>
      <w:r w:rsidR="00D43B61">
        <w:rPr>
          <w:rFonts w:cs="Calibri"/>
        </w:rPr>
        <w:t xml:space="preserve">a </w:t>
      </w:r>
      <w:r w:rsidR="00BC2368">
        <w:rPr>
          <w:rFonts w:cs="Calibri"/>
        </w:rPr>
        <w:t xml:space="preserve">food source </w:t>
      </w:r>
      <w:r w:rsidR="003E36D0">
        <w:rPr>
          <w:rFonts w:cs="Calibri"/>
        </w:rPr>
        <w:t xml:space="preserve">in the dormant season </w:t>
      </w:r>
      <w:r w:rsidR="003E36D0" w:rsidRPr="00516402">
        <w:rPr>
          <w:rFonts w:cs="Calibri"/>
        </w:rPr>
        <w:fldChar w:fldCharType="begin"/>
      </w:r>
      <w:r w:rsidR="00083723">
        <w:rPr>
          <w:rFonts w:cs="Calibri"/>
        </w:rPr>
        <w:instrText xml:space="preserve"> ADDIN EN.CITE &lt;EndNote&gt;&lt;Cite&gt;&lt;Author&gt;McShea&lt;/Author&gt;&lt;Year&gt;2002&lt;/Year&gt;&lt;RecNum&gt;300&lt;/RecNum&gt;&lt;DisplayText&gt;(Mcshea and Healy 2002)&lt;/DisplayText&gt;&lt;record&gt;&lt;rec-number&gt;300&lt;/rec-number&gt;&lt;foreign-keys&gt;&lt;key app="EN" db-id="a90s5zadewrawxeer07v2f90xr5vxv022sat"&gt;300&lt;/key&gt;&lt;/foreign-keys&gt;&lt;ref-type name="Edited Book"&gt;28&lt;/ref-type&gt;&lt;contributors&gt;&lt;authors&gt;&lt;author&gt;McShea, William&lt;/author&gt;&lt;author&gt;Healy, W. M.&lt;/author&gt;&lt;/authors&gt;&lt;/contributors&gt;&lt;titles&gt;&lt;title&gt;Oak forest ecosystems: ecology and management for wildlife&lt;/title&gt;&lt;/titles&gt;&lt;dates&gt;&lt;year&gt;2002&lt;/year&gt;&lt;/dates&gt;&lt;pub-location&gt;Johns Hopkins University Press, Baltimore, Maryland, USA.&lt;/pub-location&gt;&lt;urls&gt;&lt;/urls&gt;&lt;/record&gt;&lt;/Cite&gt;&lt;/EndNote&gt;</w:instrText>
      </w:r>
      <w:r w:rsidR="003E36D0" w:rsidRPr="00516402">
        <w:rPr>
          <w:rFonts w:cs="Calibri"/>
        </w:rPr>
        <w:fldChar w:fldCharType="separate"/>
      </w:r>
      <w:r w:rsidR="00083723">
        <w:rPr>
          <w:rFonts w:cs="Calibri"/>
          <w:noProof/>
        </w:rPr>
        <w:t>(</w:t>
      </w:r>
      <w:hyperlink w:anchor="_ENREF_90" w:tooltip="McShea, 2002 #300" w:history="1">
        <w:r w:rsidR="001E4C88">
          <w:rPr>
            <w:rFonts w:cs="Calibri"/>
            <w:noProof/>
          </w:rPr>
          <w:t>Mcshea and Healy 2002</w:t>
        </w:r>
      </w:hyperlink>
      <w:r w:rsidR="00083723">
        <w:rPr>
          <w:rFonts w:cs="Calibri"/>
          <w:noProof/>
        </w:rPr>
        <w:t>)</w:t>
      </w:r>
      <w:r w:rsidR="003E36D0" w:rsidRPr="00516402">
        <w:rPr>
          <w:rFonts w:cs="Calibri"/>
        </w:rPr>
        <w:fldChar w:fldCharType="end"/>
      </w:r>
      <w:r w:rsidR="006901E8" w:rsidRPr="00591524">
        <w:rPr>
          <w:rFonts w:cs="Calibri"/>
        </w:rPr>
        <w:t>.  Now upland oaks face a confluence of threats to their</w:t>
      </w:r>
      <w:r w:rsidR="006901E8">
        <w:rPr>
          <w:rFonts w:cs="Calibri"/>
        </w:rPr>
        <w:t xml:space="preserve"> </w:t>
      </w:r>
      <w:r w:rsidR="0083579D" w:rsidRPr="00206C62">
        <w:rPr>
          <w:rFonts w:cs="Calibri"/>
        </w:rPr>
        <w:t xml:space="preserve">continued prevalence in the </w:t>
      </w:r>
      <w:r w:rsidR="0083579D">
        <w:rPr>
          <w:rFonts w:cs="Calibri"/>
        </w:rPr>
        <w:t xml:space="preserve">region and are declining </w:t>
      </w:r>
      <w:r w:rsidR="0083579D" w:rsidRPr="00206C62">
        <w:rPr>
          <w:rFonts w:cs="Calibri"/>
        </w:rPr>
        <w:t>in the absence of recommended oak</w:t>
      </w:r>
      <w:r w:rsidR="0083579D">
        <w:rPr>
          <w:rFonts w:cs="Calibri"/>
        </w:rPr>
        <w:t>-sustaining</w:t>
      </w:r>
      <w:r w:rsidR="0083579D" w:rsidRPr="00206C62">
        <w:rPr>
          <w:rFonts w:cs="Calibri"/>
        </w:rPr>
        <w:t xml:space="preserve"> </w:t>
      </w:r>
      <w:r w:rsidR="0083579D">
        <w:rPr>
          <w:rFonts w:cs="Calibri"/>
        </w:rPr>
        <w:t xml:space="preserve">silvicultural treatments </w:t>
      </w:r>
      <w:r w:rsidR="0083579D">
        <w:rPr>
          <w:rFonts w:cs="Calibri"/>
        </w:rPr>
        <w:fldChar w:fldCharType="begin"/>
      </w:r>
      <w:r w:rsidR="00083723">
        <w:rPr>
          <w:rFonts w:cs="Calibri"/>
        </w:rPr>
        <w:instrText xml:space="preserve"> ADDIN EN.CITE &lt;EndNote&gt;&lt;Cite&gt;&lt;Author&gt;Schuler&lt;/Author&gt;&lt;Year&gt;2004&lt;/Year&gt;&lt;RecNum&gt;218&lt;/RecNum&gt;&lt;DisplayText&gt;(Schuler 2004; Mcshea et al. 2007)&lt;/DisplayText&gt;&lt;record&gt;&lt;rec-number&gt;218&lt;/rec-number&gt;&lt;foreign-keys&gt;&lt;key app="EN" db-id="a90s5zadewrawxeer07v2f90xr5vxv022sat"&gt;218&lt;/key&gt;&lt;/foreign-keys&gt;&lt;ref-type name="Journal Article"&gt;17&lt;/ref-type&gt;&lt;contributors&gt;&lt;authors&gt;&lt;author&gt;Schuler, T.M.&lt;/author&gt;&lt;/authors&gt;&lt;/contributors&gt;&lt;titles&gt;&lt;title&gt;Fifty years of partial harvesting in a mixed mesophytic forest: composition and productivity&lt;/title&gt;&lt;secondary-title&gt;Canadian Journal of Forest Research&lt;/secondary-title&gt;&lt;/titles&gt;&lt;periodical&gt;&lt;full-title&gt;Canadian Journal of Forest Research&lt;/full-title&gt;&lt;/periodical&gt;&lt;pages&gt;985-997&lt;/pages&gt;&lt;volume&gt;34&lt;/volume&gt;&lt;dates&gt;&lt;year&gt;2004&lt;/year&gt;&lt;/dates&gt;&lt;urls&gt;&lt;related-urls&gt;&lt;url&gt;http://www.treesearch.fs.fed.us/pubs/7944&lt;/url&gt;&lt;/related-urls&gt;&lt;/urls&gt;&lt;/record&gt;&lt;/Cite&gt;&lt;Cite&gt;&lt;Author&gt;McShea&lt;/Author&gt;&lt;Year&gt;2007&lt;/Year&gt;&lt;RecNum&gt;299&lt;/RecNum&gt;&lt;record&gt;&lt;rec-number&gt;299&lt;/rec-number&gt;&lt;foreign-keys&gt;&lt;key app="EN" db-id="a90s5zadewrawxeer07v2f90xr5vxv022sat"&gt;299&lt;/key&gt;&lt;/foreign-keys&gt;&lt;ref-type name="Journal Article"&gt;17&lt;/ref-type&gt;&lt;contributors&gt;&lt;authors&gt;&lt;author&gt;McShea, William&lt;/author&gt;&lt;author&gt;Healy, W. M.&lt;/author&gt;&lt;author&gt;Devers, P.&lt;/author&gt;&lt;author&gt;Fearer, T.&lt;/author&gt;&lt;author&gt;Koch, F. H.&lt;/author&gt;&lt;author&gt;Stauffer, D.&lt;/author&gt;&lt;author&gt;Waldon, J.&lt;/author&gt;&lt;/authors&gt;&lt;/contributors&gt;&lt;titles&gt;&lt;title&gt;Forestry matters: decline of oaks will impact wildlife in hardwood forests&lt;/title&gt;&lt;secondary-title&gt;Journal of Wildlife Management&lt;/secondary-title&gt;&lt;/titles&gt;&lt;periodical&gt;&lt;full-title&gt;Journal of Wildlife Management&lt;/full-title&gt;&lt;abbr-1&gt;J. Wildl. Manage.&lt;/abbr-1&gt;&lt;/periodical&gt;&lt;pages&gt;1717-1728&lt;/pages&gt;&lt;volume&gt;71&lt;/volume&gt;&lt;number&gt;5&lt;/number&gt;&lt;dates&gt;&lt;year&gt;2007&lt;/year&gt;&lt;/dates&gt;&lt;urls&gt;&lt;related-urls&gt;&lt;url&gt;http://si-pddr.si.edu/jspui/bitstream/10088/6029/1/2F31FAD1-5D7E-49B8-8624-575FF5E4D61C.pdf&lt;/url&gt;&lt;/related-urls&gt;&lt;/urls&gt;&lt;/record&gt;&lt;/Cite&gt;&lt;/EndNote&gt;</w:instrText>
      </w:r>
      <w:r w:rsidR="0083579D">
        <w:rPr>
          <w:rFonts w:cs="Calibri"/>
        </w:rPr>
        <w:fldChar w:fldCharType="separate"/>
      </w:r>
      <w:r w:rsidR="00083723">
        <w:rPr>
          <w:rFonts w:cs="Calibri"/>
          <w:noProof/>
        </w:rPr>
        <w:t>(</w:t>
      </w:r>
      <w:hyperlink w:anchor="_ENREF_118" w:tooltip="Schuler, 2004 #218" w:history="1">
        <w:r w:rsidR="001E4C88">
          <w:rPr>
            <w:rFonts w:cs="Calibri"/>
            <w:noProof/>
          </w:rPr>
          <w:t>Schuler 2004</w:t>
        </w:r>
      </w:hyperlink>
      <w:r w:rsidR="00083723">
        <w:rPr>
          <w:rFonts w:cs="Calibri"/>
          <w:noProof/>
        </w:rPr>
        <w:t xml:space="preserve">; </w:t>
      </w:r>
      <w:hyperlink w:anchor="_ENREF_91" w:tooltip="McShea, 2007 #299" w:history="1">
        <w:r w:rsidR="001E4C88">
          <w:rPr>
            <w:rFonts w:cs="Calibri"/>
            <w:noProof/>
          </w:rPr>
          <w:t>Mcshea et al. 2007</w:t>
        </w:r>
      </w:hyperlink>
      <w:r w:rsidR="00083723">
        <w:rPr>
          <w:rFonts w:cs="Calibri"/>
          <w:noProof/>
        </w:rPr>
        <w:t>)</w:t>
      </w:r>
      <w:r w:rsidR="0083579D">
        <w:rPr>
          <w:rFonts w:cs="Calibri"/>
        </w:rPr>
        <w:fldChar w:fldCharType="end"/>
      </w:r>
      <w:r w:rsidR="0083579D" w:rsidRPr="00206C62">
        <w:rPr>
          <w:rFonts w:cs="Calibri"/>
        </w:rPr>
        <w:t xml:space="preserve">.  </w:t>
      </w:r>
      <w:r w:rsidR="003901D3">
        <w:rPr>
          <w:rFonts w:cs="Calibri"/>
        </w:rPr>
        <w:t>As 80 percent of oak forests in the eastern</w:t>
      </w:r>
      <w:r w:rsidR="00E503A7">
        <w:rPr>
          <w:rFonts w:cs="Calibri"/>
        </w:rPr>
        <w:t xml:space="preserve"> U.S. are owned by NIPF owners </w:t>
      </w:r>
      <w:r w:rsidR="00E503A7">
        <w:rPr>
          <w:rFonts w:cs="Calibri"/>
        </w:rPr>
        <w:fldChar w:fldCharType="begin"/>
      </w:r>
      <w:r w:rsidR="00083723">
        <w:rPr>
          <w:rFonts w:cs="Calibri"/>
        </w:rPr>
        <w:instrText xml:space="preserve"> ADDIN EN.CITE &lt;EndNote&gt;&lt;Cite&gt;&lt;Author&gt;McWilliams&lt;/Author&gt;&lt;Year&gt;2002&lt;/Year&gt;&lt;RecNum&gt;301&lt;/RecNum&gt;&lt;DisplayText&gt;(Mcwilliams et al. 2002)&lt;/DisplayText&gt;&lt;record&gt;&lt;rec-number&gt;301&lt;/rec-number&gt;&lt;foreign-keys&gt;&lt;key app="EN" db-id="a90s5zadewrawxeer07v2f90xr5vxv022sat"&gt;301&lt;/key&gt;&lt;/foreign-keys&gt;&lt;ref-type name="Book Section"&gt;5&lt;/ref-type&gt;&lt;contributors&gt;&lt;authors&gt;&lt;author&gt;McWilliams,W. H.&lt;/author&gt;&lt;author&gt;R. A. O’Brien&lt;/author&gt;&lt;author&gt;G. C. ReeseK. L.Waddell&lt;/author&gt;&lt;/authors&gt;&lt;secondary-authors&gt;&lt;author&gt;W. J. McShea&lt;/author&gt;&lt;author&gt;W. M. Healy&lt;/author&gt;&lt;/secondary-authors&gt;&lt;/contributors&gt;&lt;titles&gt;&lt;title&gt;Distribution and abundance of oaks in North America&lt;/title&gt;&lt;secondary-title&gt;Oak forest ecosystems: ecology and management for wildlife&lt;/secondary-title&gt;&lt;/titles&gt;&lt;pages&gt;13-33&lt;/pages&gt;&lt;dates&gt;&lt;year&gt;2002&lt;/year&gt;&lt;/dates&gt;&lt;publisher&gt;Johns Hopkins University Press, Baltimore, Maryland, USA&lt;/publisher&gt;&lt;urls&gt;&lt;/urls&gt;&lt;/record&gt;&lt;/Cite&gt;&lt;/EndNote&gt;</w:instrText>
      </w:r>
      <w:r w:rsidR="00E503A7">
        <w:rPr>
          <w:rFonts w:cs="Calibri"/>
        </w:rPr>
        <w:fldChar w:fldCharType="separate"/>
      </w:r>
      <w:r w:rsidR="00083723">
        <w:rPr>
          <w:rFonts w:cs="Calibri"/>
          <w:noProof/>
        </w:rPr>
        <w:t>(</w:t>
      </w:r>
      <w:hyperlink w:anchor="_ENREF_92" w:tooltip="McWilliams, 2002 #301" w:history="1">
        <w:r w:rsidR="001E4C88">
          <w:rPr>
            <w:rFonts w:cs="Calibri"/>
            <w:noProof/>
          </w:rPr>
          <w:t>Mcwilliams et al. 2002</w:t>
        </w:r>
      </w:hyperlink>
      <w:r w:rsidR="00083723">
        <w:rPr>
          <w:rFonts w:cs="Calibri"/>
          <w:noProof/>
        </w:rPr>
        <w:t>)</w:t>
      </w:r>
      <w:r w:rsidR="00E503A7">
        <w:rPr>
          <w:rFonts w:cs="Calibri"/>
        </w:rPr>
        <w:fldChar w:fldCharType="end"/>
      </w:r>
      <w:r w:rsidR="003901D3">
        <w:rPr>
          <w:rFonts w:cs="Calibri"/>
        </w:rPr>
        <w:t xml:space="preserve">, their conservation will rely on widespread adoption of oak-management on NIPF land, </w:t>
      </w:r>
      <w:r w:rsidR="00516402">
        <w:rPr>
          <w:rFonts w:cs="Calibri"/>
        </w:rPr>
        <w:t xml:space="preserve">a </w:t>
      </w:r>
      <w:r w:rsidR="003901D3">
        <w:rPr>
          <w:rFonts w:cs="Calibri"/>
        </w:rPr>
        <w:t>monumental challenge</w:t>
      </w:r>
      <w:r w:rsidR="00516402">
        <w:rPr>
          <w:rFonts w:cs="Calibri"/>
        </w:rPr>
        <w:t xml:space="preserve"> that has just begun to be </w:t>
      </w:r>
      <w:r w:rsidR="00A67647">
        <w:rPr>
          <w:rFonts w:cs="Calibri"/>
        </w:rPr>
        <w:t xml:space="preserve">proactively </w:t>
      </w:r>
      <w:r w:rsidR="00516402">
        <w:rPr>
          <w:rFonts w:cs="Calibri"/>
        </w:rPr>
        <w:t xml:space="preserve">addressed </w:t>
      </w:r>
      <w:r w:rsidR="00516402">
        <w:rPr>
          <w:rFonts w:cs="Calibri"/>
        </w:rPr>
        <w:fldChar w:fldCharType="begin"/>
      </w:r>
      <w:r w:rsidR="00083723">
        <w:rPr>
          <w:rFonts w:cs="Calibri"/>
        </w:rPr>
        <w:instrText xml:space="preserve"> ADDIN EN.CITE &lt;EndNote&gt;&lt;Cite&gt;&lt;Author&gt;McShea&lt;/Author&gt;&lt;Year&gt;2007&lt;/Year&gt;&lt;RecNum&gt;299&lt;/RecNum&gt;&lt;Prefix&gt;see &lt;/Prefix&gt;&lt;DisplayText&gt;(see Mcshea et al. 2007)&lt;/DisplayText&gt;&lt;record&gt;&lt;rec-number&gt;299&lt;/rec-number&gt;&lt;foreign-keys&gt;&lt;key app="EN" db-id="a90s5zadewrawxeer07v2f90xr5vxv022sat"&gt;299&lt;/key&gt;&lt;/foreign-keys&gt;&lt;ref-type name="Journal Article"&gt;17&lt;/ref-type&gt;&lt;contributors&gt;&lt;authors&gt;&lt;author&gt;McShea, William&lt;/author&gt;&lt;author&gt;Healy, W. M.&lt;/author&gt;&lt;author&gt;Devers, P.&lt;/author&gt;&lt;author&gt;Fearer, T.&lt;/author&gt;&lt;author&gt;Koch, F. H.&lt;/author&gt;&lt;author&gt;Stauffer, D.&lt;/author&gt;&lt;author&gt;Waldon, J.&lt;/author&gt;&lt;/authors&gt;&lt;/contributors&gt;&lt;titles&gt;&lt;title&gt;Forestry matters: decline of oaks will impact wildlife in hardwood forests&lt;/title&gt;&lt;secondary-title&gt;Journal of Wildlife Management&lt;/secondary-title&gt;&lt;/titles&gt;&lt;periodical&gt;&lt;full-title&gt;Journal of Wildlife Management&lt;/full-title&gt;&lt;abbr-1&gt;J. Wildl. Manage.&lt;/abbr-1&gt;&lt;/periodical&gt;&lt;pages&gt;1717-1728&lt;/pages&gt;&lt;volume&gt;71&lt;/volume&gt;&lt;number&gt;5&lt;/number&gt;&lt;dates&gt;&lt;year&gt;2007&lt;/year&gt;&lt;/dates&gt;&lt;urls&gt;&lt;related-urls&gt;&lt;url&gt;http://si-pddr.si.edu/jspui/bitstream/10088/6029/1/2F31FAD1-5D7E-49B8-8624-575FF5E4D61C.pdf&lt;/url&gt;&lt;/related-urls&gt;&lt;/urls&gt;&lt;/record&gt;&lt;/Cite&gt;&lt;/EndNote&gt;</w:instrText>
      </w:r>
      <w:r w:rsidR="00516402">
        <w:rPr>
          <w:rFonts w:cs="Calibri"/>
        </w:rPr>
        <w:fldChar w:fldCharType="separate"/>
      </w:r>
      <w:r w:rsidR="00083723">
        <w:rPr>
          <w:rFonts w:cs="Calibri"/>
          <w:noProof/>
        </w:rPr>
        <w:t>(</w:t>
      </w:r>
      <w:hyperlink w:anchor="_ENREF_91" w:tooltip="McShea, 2007 #299" w:history="1">
        <w:r w:rsidR="001E4C88">
          <w:rPr>
            <w:rFonts w:cs="Calibri"/>
            <w:noProof/>
          </w:rPr>
          <w:t>see Mcshea et al. 2007</w:t>
        </w:r>
      </w:hyperlink>
      <w:r w:rsidR="00083723">
        <w:rPr>
          <w:rFonts w:cs="Calibri"/>
          <w:noProof/>
        </w:rPr>
        <w:t>)</w:t>
      </w:r>
      <w:r w:rsidR="00516402">
        <w:rPr>
          <w:rFonts w:cs="Calibri"/>
        </w:rPr>
        <w:fldChar w:fldCharType="end"/>
      </w:r>
      <w:r w:rsidR="003901D3">
        <w:rPr>
          <w:rFonts w:cs="Calibri"/>
        </w:rPr>
        <w:t xml:space="preserve">. </w:t>
      </w:r>
      <w:r w:rsidR="00FE51DE">
        <w:rPr>
          <w:rFonts w:cs="Calibri"/>
        </w:rPr>
        <w:t xml:space="preserve"> </w:t>
      </w:r>
      <w:r w:rsidR="00FE51DE">
        <w:t>Whether existing and potentially government induced IFM programs can foster silvicultural operations at the requisite scale to sustain oak dominance in the South remains an open question.</w:t>
      </w:r>
    </w:p>
    <w:p w:rsidR="003F2CBB" w:rsidRPr="002B58DD" w:rsidRDefault="00117323" w:rsidP="00591524">
      <w:pPr>
        <w:pStyle w:val="Heading6"/>
        <w:numPr>
          <w:ilvl w:val="1"/>
          <w:numId w:val="16"/>
        </w:numPr>
        <w:spacing w:line="480" w:lineRule="auto"/>
        <w:ind w:left="450"/>
        <w:rPr>
          <w:i/>
        </w:rPr>
      </w:pPr>
      <w:r w:rsidRPr="002B58DD">
        <w:rPr>
          <w:i/>
        </w:rPr>
        <w:t>Coinciding Burdens on Upland Oak Forests</w:t>
      </w:r>
    </w:p>
    <w:p w:rsidR="003058F1" w:rsidRDefault="00C963FE" w:rsidP="00E802CD">
      <w:pPr>
        <w:autoSpaceDE w:val="0"/>
        <w:autoSpaceDN w:val="0"/>
        <w:adjustRightInd w:val="0"/>
        <w:spacing w:line="480" w:lineRule="auto"/>
        <w:ind w:firstLine="720"/>
        <w:rPr>
          <w:rFonts w:cs="Calibri"/>
        </w:rPr>
      </w:pPr>
      <w:r w:rsidRPr="00812FB0">
        <w:rPr>
          <w:rFonts w:cs="Calibri"/>
        </w:rPr>
        <w:t>Oak</w:t>
      </w:r>
      <w:r w:rsidR="000C0D47">
        <w:rPr>
          <w:rFonts w:cs="Calibri"/>
        </w:rPr>
        <w:t xml:space="preserve"> </w:t>
      </w:r>
      <w:r w:rsidRPr="00812FB0">
        <w:rPr>
          <w:rFonts w:cs="Calibri"/>
        </w:rPr>
        <w:t xml:space="preserve">timber is </w:t>
      </w:r>
      <w:r>
        <w:rPr>
          <w:rFonts w:cs="Calibri"/>
        </w:rPr>
        <w:t>still the most abundant</w:t>
      </w:r>
      <w:r w:rsidRPr="00812FB0">
        <w:rPr>
          <w:rFonts w:cs="Calibri"/>
        </w:rPr>
        <w:t xml:space="preserve">, constituting 31 percent of total </w:t>
      </w:r>
      <w:r>
        <w:rPr>
          <w:rFonts w:cs="Calibri"/>
        </w:rPr>
        <w:t xml:space="preserve">eastern </w:t>
      </w:r>
      <w:r w:rsidRPr="00812FB0">
        <w:rPr>
          <w:rFonts w:cs="Calibri"/>
        </w:rPr>
        <w:t xml:space="preserve">hardwood growing stock, but </w:t>
      </w:r>
      <w:r w:rsidR="000C0D47">
        <w:rPr>
          <w:rFonts w:cs="Calibri"/>
        </w:rPr>
        <w:t xml:space="preserve">Red </w:t>
      </w:r>
      <w:r w:rsidRPr="00812FB0">
        <w:rPr>
          <w:rFonts w:cs="Calibri"/>
        </w:rPr>
        <w:t xml:space="preserve">maple </w:t>
      </w:r>
      <w:r w:rsidR="000C0D47">
        <w:rPr>
          <w:rFonts w:cs="Calibri"/>
        </w:rPr>
        <w:t>(</w:t>
      </w:r>
      <w:r w:rsidR="000C0D47">
        <w:rPr>
          <w:rFonts w:cs="Calibri"/>
          <w:i/>
        </w:rPr>
        <w:t xml:space="preserve">Acer </w:t>
      </w:r>
      <w:proofErr w:type="spellStart"/>
      <w:r w:rsidR="000C0D47">
        <w:rPr>
          <w:rFonts w:cs="Calibri"/>
          <w:i/>
        </w:rPr>
        <w:t>rubrum</w:t>
      </w:r>
      <w:proofErr w:type="spellEnd"/>
      <w:r w:rsidR="000C0D47">
        <w:rPr>
          <w:rFonts w:cs="Calibri"/>
          <w:i/>
        </w:rPr>
        <w:t xml:space="preserve">) </w:t>
      </w:r>
      <w:r w:rsidRPr="00812FB0">
        <w:rPr>
          <w:rFonts w:cs="Calibri"/>
        </w:rPr>
        <w:t xml:space="preserve">volume is the second most abundant and </w:t>
      </w:r>
      <w:r>
        <w:rPr>
          <w:rFonts w:cs="Calibri"/>
        </w:rPr>
        <w:t xml:space="preserve">is </w:t>
      </w:r>
      <w:r w:rsidRPr="00812FB0">
        <w:rPr>
          <w:rFonts w:cs="Calibri"/>
        </w:rPr>
        <w:t>growing</w:t>
      </w:r>
      <w:r w:rsidR="001451CB" w:rsidRPr="001451CB">
        <w:rPr>
          <w:rFonts w:cs="Calibri"/>
        </w:rPr>
        <w:t xml:space="preserve"> </w:t>
      </w:r>
      <w:r w:rsidR="001451CB" w:rsidRPr="00812FB0">
        <w:rPr>
          <w:rFonts w:cs="Calibri"/>
        </w:rPr>
        <w:t>rapidly</w:t>
      </w:r>
      <w:r w:rsidRPr="00812FB0">
        <w:rPr>
          <w:rFonts w:cs="Calibri"/>
        </w:rPr>
        <w:t xml:space="preserve">, </w:t>
      </w:r>
      <w:r>
        <w:rPr>
          <w:rFonts w:cs="Calibri"/>
        </w:rPr>
        <w:t xml:space="preserve">which has </w:t>
      </w:r>
      <w:r w:rsidRPr="00812FB0">
        <w:rPr>
          <w:rFonts w:cs="Calibri"/>
        </w:rPr>
        <w:t>more than doub</w:t>
      </w:r>
      <w:r>
        <w:rPr>
          <w:rFonts w:cs="Calibri"/>
        </w:rPr>
        <w:t>led</w:t>
      </w:r>
      <w:r w:rsidRPr="00812FB0">
        <w:rPr>
          <w:rFonts w:cs="Calibri"/>
        </w:rPr>
        <w:t xml:space="preserve"> (as has Yellow Poplar</w:t>
      </w:r>
      <w:r w:rsidR="000C0D47">
        <w:rPr>
          <w:rFonts w:cs="Calibri"/>
        </w:rPr>
        <w:t xml:space="preserve"> or </w:t>
      </w:r>
      <w:r w:rsidR="000C0D47" w:rsidRPr="000C0D47">
        <w:rPr>
          <w:rFonts w:cs="Calibri"/>
          <w:i/>
        </w:rPr>
        <w:t xml:space="preserve">Liriodendron </w:t>
      </w:r>
      <w:proofErr w:type="spellStart"/>
      <w:r w:rsidR="000C0D47" w:rsidRPr="000C0D47">
        <w:rPr>
          <w:rFonts w:cs="Calibri"/>
          <w:i/>
        </w:rPr>
        <w:t>Tulipifera</w:t>
      </w:r>
      <w:proofErr w:type="spellEnd"/>
      <w:r w:rsidR="000C0D47" w:rsidRPr="000C0D47">
        <w:rPr>
          <w:rFonts w:cs="Calibri"/>
          <w:i/>
        </w:rPr>
        <w:t>)</w:t>
      </w:r>
      <w:r w:rsidR="000C0D47">
        <w:rPr>
          <w:rFonts w:cs="Calibri"/>
          <w:i/>
        </w:rPr>
        <w:t xml:space="preserve"> </w:t>
      </w:r>
      <w:r w:rsidRPr="00812FB0">
        <w:rPr>
          <w:rFonts w:cs="Calibri"/>
        </w:rPr>
        <w:t xml:space="preserve">since 1963 </w:t>
      </w:r>
      <w:r w:rsidRPr="00812FB0">
        <w:rPr>
          <w:rFonts w:cs="Calibri"/>
        </w:rPr>
        <w:fldChar w:fldCharType="begin"/>
      </w:r>
      <w:r w:rsidR="00CE2DF2">
        <w:rPr>
          <w:rFonts w:cs="Calibri"/>
        </w:rPr>
        <w:instrText xml:space="preserve"> ADDIN EN.CITE &lt;EndNote&gt;&lt;Cite ExcludeYear="1"&gt;&lt;Author&gt;Smith&lt;/Author&gt;&lt;Year&gt;2009&lt;/Year&gt;&lt;RecNum&gt;186&lt;/RecNum&gt;&lt;Suffix&gt; et al. 2009&lt;/Suffix&gt;&lt;DisplayText&gt;(Smith et al. 2009)&lt;/DisplayText&gt;&lt;record&gt;&lt;rec-number&gt;186&lt;/rec-number&gt;&lt;foreign-keys&gt;&lt;key app="EN" db-id="a90s5zadewrawxeer07v2f90xr5vxv022sat"&gt;186&lt;/key&gt;&lt;/foreign-keys&gt;&lt;ref-type name="Report"&gt;27&lt;/ref-type&gt;&lt;contributors&gt;&lt;authors&gt;&lt;author&gt;Smith, W. Brad, tech. coord.; Miles, Patrick D., data coord.; Perry, Charles H., map coord.; Pugh, Scott A., Data CD coord.&lt;/author&gt;&lt;/authors&gt;&lt;/contributors&gt;&lt;titles&gt;&lt;title&gt;Forest Resources of the United States, 2007. Gen. Tech. Rep. WO-78. Washington, DC: U.S. Department of Agriculture, Forest Service, Washington Office. 336 p&lt;/title&gt;&lt;/titles&gt;&lt;dates&gt;&lt;year&gt;2009&lt;/year&gt;&lt;/dates&gt;&lt;urls&gt;&lt;/urls&gt;&lt;/record&gt;&lt;/Cite&gt;&lt;/EndNote&gt;</w:instrText>
      </w:r>
      <w:r w:rsidRPr="00812FB0">
        <w:rPr>
          <w:rFonts w:cs="Calibri"/>
        </w:rPr>
        <w:fldChar w:fldCharType="separate"/>
      </w:r>
      <w:r w:rsidR="00CE2DF2">
        <w:rPr>
          <w:rFonts w:cs="Calibri"/>
          <w:noProof/>
        </w:rPr>
        <w:t>(</w:t>
      </w:r>
      <w:hyperlink w:anchor="_ENREF_130" w:tooltip="Smith, 2009 #186" w:history="1">
        <w:r w:rsidR="001E4C88">
          <w:rPr>
            <w:rFonts w:cs="Calibri"/>
            <w:noProof/>
          </w:rPr>
          <w:t>Smith et al. 2009</w:t>
        </w:r>
      </w:hyperlink>
      <w:r w:rsidR="00CE2DF2">
        <w:rPr>
          <w:rFonts w:cs="Calibri"/>
          <w:noProof/>
        </w:rPr>
        <w:t>)</w:t>
      </w:r>
      <w:r w:rsidRPr="00812FB0">
        <w:rPr>
          <w:rFonts w:cs="Calibri"/>
        </w:rPr>
        <w:fldChar w:fldCharType="end"/>
      </w:r>
      <w:r w:rsidRPr="00812FB0">
        <w:rPr>
          <w:rFonts w:cs="Calibri"/>
        </w:rPr>
        <w:t>.</w:t>
      </w:r>
      <w:r>
        <w:rPr>
          <w:rFonts w:cs="Calibri"/>
        </w:rPr>
        <w:t xml:space="preserve">  </w:t>
      </w:r>
      <w:r w:rsidR="005B3735">
        <w:rPr>
          <w:rFonts w:cs="Calibri"/>
        </w:rPr>
        <w:t xml:space="preserve">What explains this trend?  </w:t>
      </w:r>
      <w:r w:rsidR="001451CB">
        <w:rPr>
          <w:rFonts w:cs="Calibri"/>
        </w:rPr>
        <w:t xml:space="preserve">Aside from the advantages of seed dispersal via wind over gravity- or animal-dispersal, </w:t>
      </w:r>
      <w:r w:rsidR="00CA51E9">
        <w:rPr>
          <w:rFonts w:cs="Calibri"/>
        </w:rPr>
        <w:t xml:space="preserve">a chief driver of this trend is related to the </w:t>
      </w:r>
      <w:r w:rsidR="00E057CC">
        <w:rPr>
          <w:rFonts w:cs="Calibri"/>
        </w:rPr>
        <w:t xml:space="preserve">fact that </w:t>
      </w:r>
      <w:r w:rsidR="00E057CC" w:rsidRPr="00E057CC">
        <w:rPr>
          <w:rFonts w:cs="Calibri"/>
        </w:rPr>
        <w:t>60 percent of southern NIPF land has been treated with some sort of partial harvesting method exclusive of thinnings</w:t>
      </w:r>
      <w:r w:rsidR="00E057CC">
        <w:rPr>
          <w:rFonts w:cs="Calibri"/>
        </w:rPr>
        <w:t xml:space="preserve"> </w:t>
      </w:r>
      <w:r w:rsidR="00E057CC">
        <w:rPr>
          <w:rFonts w:cs="Calibri"/>
        </w:rPr>
        <w:fldChar w:fldCharType="begin"/>
      </w:r>
      <w:r w:rsidR="00A87D07">
        <w:rPr>
          <w:rFonts w:cs="Calibri"/>
        </w:rPr>
        <w:instrText xml:space="preserve"> ADDIN EN.CITE &lt;EndNote&gt;&lt;Cite&gt;&lt;Author&gt;Connor&lt;/Author&gt;&lt;Year&gt;2002&lt;/Year&gt;&lt;RecNum&gt;48&lt;/RecNum&gt;&lt;DisplayText&gt;(Connor and Hartsell 2002)&lt;/DisplayText&gt;&lt;record&gt;&lt;rec-number&gt;48&lt;/rec-number&gt;&lt;foreign-keys&gt;&lt;key app="EN" db-id="a90s5zadewrawxeer07v2f90xr5vxv022sat"&gt;48&lt;/key&gt;&lt;key app="ENWeb" db-id="S3c-7ArtqgcAACfG-zs"&gt;50&lt;/key&gt;&lt;/foreign-keys&gt;&lt;ref-type name="Book Section"&gt;5&lt;/ref-type&gt;&lt;contributors&gt;&lt;authors&gt;&lt;author&gt;Connor, R. C.&lt;/author&gt;&lt;author&gt;A. J. Hartsell&lt;/author&gt;&lt;/authors&gt;&lt;/contributors&gt;&lt;titles&gt;&lt;title&gt;Forest area and conditions. In: David N. Wear and John G. Greis, eds. Southern Forest Resource Assessment. Gen. Tech. Rep. SRS-53. Asheville, NC: USDA Forest Service: 357-401&lt;/title&gt;&lt;/titles&gt;&lt;dates&gt;&lt;year&gt;2002&lt;/year&gt;&lt;/dates&gt;&lt;urls&gt;&lt;/urls&gt;&lt;/record&gt;&lt;/Cite&gt;&lt;/EndNote&gt;</w:instrText>
      </w:r>
      <w:r w:rsidR="00E057CC">
        <w:rPr>
          <w:rFonts w:cs="Calibri"/>
        </w:rPr>
        <w:fldChar w:fldCharType="separate"/>
      </w:r>
      <w:r w:rsidR="00A87D07">
        <w:rPr>
          <w:rFonts w:cs="Calibri"/>
          <w:noProof/>
        </w:rPr>
        <w:t>(</w:t>
      </w:r>
      <w:hyperlink w:anchor="_ENREF_41" w:tooltip="Connor, 2002 #48" w:history="1">
        <w:r w:rsidR="001E4C88">
          <w:rPr>
            <w:rFonts w:cs="Calibri"/>
            <w:noProof/>
          </w:rPr>
          <w:t>Connor and Hartsell 2002</w:t>
        </w:r>
      </w:hyperlink>
      <w:r w:rsidR="00A87D07">
        <w:rPr>
          <w:rFonts w:cs="Calibri"/>
          <w:noProof/>
        </w:rPr>
        <w:t>)</w:t>
      </w:r>
      <w:r w:rsidR="00E057CC">
        <w:rPr>
          <w:rFonts w:cs="Calibri"/>
        </w:rPr>
        <w:fldChar w:fldCharType="end"/>
      </w:r>
      <w:r w:rsidR="00E057CC">
        <w:rPr>
          <w:rFonts w:cs="Calibri"/>
        </w:rPr>
        <w:t xml:space="preserve">. </w:t>
      </w:r>
      <w:r w:rsidR="00E057CC" w:rsidRPr="00206C62">
        <w:rPr>
          <w:rFonts w:cs="Calibri"/>
        </w:rPr>
        <w:t xml:space="preserve"> </w:t>
      </w:r>
    </w:p>
    <w:p w:rsidR="00E802CD" w:rsidRDefault="00620CD2" w:rsidP="00E802CD">
      <w:pPr>
        <w:autoSpaceDE w:val="0"/>
        <w:autoSpaceDN w:val="0"/>
        <w:adjustRightInd w:val="0"/>
        <w:spacing w:line="480" w:lineRule="auto"/>
        <w:ind w:firstLine="720"/>
        <w:rPr>
          <w:rFonts w:cs="Calibri"/>
        </w:rPr>
      </w:pPr>
      <w:r w:rsidRPr="00206C62">
        <w:rPr>
          <w:rFonts w:cs="Calibri"/>
        </w:rPr>
        <w:t xml:space="preserve">Research indicates that </w:t>
      </w:r>
      <w:r w:rsidR="00FF433E">
        <w:rPr>
          <w:rFonts w:cs="Calibri"/>
        </w:rPr>
        <w:t>the</w:t>
      </w:r>
      <w:r w:rsidRPr="00206C62">
        <w:rPr>
          <w:rFonts w:cs="Calibri"/>
        </w:rPr>
        <w:t xml:space="preserve"> </w:t>
      </w:r>
      <w:r w:rsidR="00FF433E">
        <w:rPr>
          <w:rFonts w:cs="Calibri"/>
        </w:rPr>
        <w:t>silvicultural techniques</w:t>
      </w:r>
      <w:r w:rsidRPr="00206C62">
        <w:rPr>
          <w:rFonts w:cs="Calibri"/>
        </w:rPr>
        <w:t xml:space="preserve"> required to sustain growth and maintain species composition in </w:t>
      </w:r>
      <w:r w:rsidR="007E70BA">
        <w:rPr>
          <w:rFonts w:cs="Calibri"/>
        </w:rPr>
        <w:t>upland hardwood</w:t>
      </w:r>
      <w:r w:rsidRPr="00206C62">
        <w:rPr>
          <w:rFonts w:cs="Calibri"/>
        </w:rPr>
        <w:t xml:space="preserve"> forests </w:t>
      </w:r>
      <w:r w:rsidR="002359F5">
        <w:rPr>
          <w:rFonts w:cs="Calibri"/>
        </w:rPr>
        <w:t xml:space="preserve">are less </w:t>
      </w:r>
      <w:r w:rsidR="00DC135A">
        <w:rPr>
          <w:rFonts w:cs="Calibri"/>
        </w:rPr>
        <w:t>appealing</w:t>
      </w:r>
      <w:r w:rsidR="002359F5">
        <w:rPr>
          <w:rFonts w:cs="Calibri"/>
        </w:rPr>
        <w:t xml:space="preserve"> </w:t>
      </w:r>
      <w:r w:rsidRPr="00206C62">
        <w:rPr>
          <w:rFonts w:cs="Calibri"/>
        </w:rPr>
        <w:t xml:space="preserve">on a short term financial basis </w:t>
      </w:r>
      <w:r w:rsidR="002359F5">
        <w:rPr>
          <w:rFonts w:cs="Calibri"/>
        </w:rPr>
        <w:t>than</w:t>
      </w:r>
      <w:r w:rsidRPr="00206C62">
        <w:rPr>
          <w:rFonts w:cs="Calibri"/>
        </w:rPr>
        <w:t xml:space="preserve"> </w:t>
      </w:r>
      <w:r w:rsidR="001451CB">
        <w:rPr>
          <w:rFonts w:cs="Calibri"/>
        </w:rPr>
        <w:t xml:space="preserve">partial harvests based on a diameter limit </w:t>
      </w:r>
      <w:r w:rsidRPr="00206C62">
        <w:rPr>
          <w:rFonts w:cs="Calibri"/>
        </w:rPr>
        <w:fldChar w:fldCharType="begin"/>
      </w:r>
      <w:r w:rsidR="00CE2DF2">
        <w:rPr>
          <w:rFonts w:cs="Calibri"/>
        </w:rPr>
        <w:instrText xml:space="preserve"> ADDIN EN.CITE &lt;EndNote&gt;&lt;Cite&gt;&lt;Author&gt;Baumgras&lt;/Author&gt;&lt;Year&gt;1995&lt;/Year&gt;&lt;RecNum&gt;157&lt;/RecNum&gt;&lt;DisplayText&gt;(Baumgras and Ledoux 1995; Smith and Miller 1987)&lt;/DisplayText&gt;&lt;record&gt;&lt;rec-number&gt;157&lt;/rec-number&gt;&lt;foreign-keys&gt;&lt;key app="EN" db-id="a90s5zadewrawxeer07v2f90xr5vxv022sat"&gt;157&lt;/key&gt;&lt;/foreign-keys&gt;&lt;ref-type name="Report"&gt;27&lt;/ref-type&gt;&lt;contributors&gt;&lt;authors&gt;&lt;author&gt;Baumgras, John E.&lt;/author&gt;&lt;author&gt;LeDoux, Chris B.&lt;/author&gt;&lt;/authors&gt;&lt;/contributors&gt;&lt;titles&gt;&lt;title&gt;Hardwood silviculture and skyline yarding on steep slopes: economic and environmental impacts. In: Gottschalk, Kurt W.; Fosbroke, Sandra L. C., ed. Proceedings, 10th Central Hardwood Forest Conference; 1995 March 5-8; Morgantown, WV.: Gen. Tech. Rep. NE-197. Radnor, PA: U.S. Department of Agriculture, Forest Service, Northeastern Forest Experiment Station. 463-473&lt;/title&gt;&lt;/titles&gt;&lt;dates&gt;&lt;year&gt;1995&lt;/year&gt;&lt;/dates&gt;&lt;urls&gt;&lt;/urls&gt;&lt;/record&gt;&lt;/Cite&gt;&lt;Cite&gt;&lt;Author&gt;Smith&lt;/Author&gt;&lt;Year&gt;1987&lt;/Year&gt;&lt;RecNum&gt;214&lt;/RecNum&gt;&lt;record&gt;&lt;rec-number&gt;214&lt;/rec-number&gt;&lt;foreign-keys&gt;&lt;key app="EN" db-id="a90s5zadewrawxeer07v2f90xr5vxv022sat"&gt;214&lt;/key&gt;&lt;/foreign-keys&gt;&lt;ref-type name="Journal Article"&gt;17&lt;/ref-type&gt;&lt;contributors&gt;&lt;authors&gt;&lt;author&gt;Smith, H. Clay&lt;/author&gt;&lt;author&gt;Miller, Gary W.&lt;/author&gt;&lt;/authors&gt;&lt;/contributors&gt;&lt;titles&gt;&lt;title&gt;Managing Appalachian hardwood stands using four regeneration practices -34 year results&lt;/title&gt;&lt;secondary-title&gt;Northern Journal of Applied Forestry&lt;/secondary-title&gt;&lt;/titles&gt;&lt;periodical&gt;&lt;full-title&gt;Northern Journal of Applied Forestry&lt;/full-title&gt;&lt;abbr-1&gt;North. J. Appl. For.&lt;/abbr-1&gt;&lt;/periodical&gt;&lt;pages&gt;180-185&lt;/pages&gt;&lt;volume&gt;4&lt;/volume&gt;&lt;number&gt;4&lt;/number&gt;&lt;dates&gt;&lt;year&gt;1987&lt;/year&gt;&lt;/dates&gt;&lt;urls&gt;&lt;related-urls&gt;&lt;url&gt;http://www.treesearch.fs.fed.us/pubs/14276&lt;/url&gt;&lt;/related-urls&gt;&lt;/urls&gt;&lt;/record&gt;&lt;/Cite&gt;&lt;/EndNote&gt;</w:instrText>
      </w:r>
      <w:r w:rsidRPr="00206C62">
        <w:rPr>
          <w:rFonts w:cs="Calibri"/>
        </w:rPr>
        <w:fldChar w:fldCharType="separate"/>
      </w:r>
      <w:r w:rsidR="00CE2DF2">
        <w:rPr>
          <w:rFonts w:cs="Calibri"/>
          <w:noProof/>
        </w:rPr>
        <w:t>(</w:t>
      </w:r>
      <w:hyperlink w:anchor="_ENREF_24" w:tooltip="Baumgras, 1995 #157" w:history="1">
        <w:r w:rsidR="001E4C88">
          <w:rPr>
            <w:rFonts w:cs="Calibri"/>
            <w:noProof/>
          </w:rPr>
          <w:t>Baumgras and Ledoux 1995</w:t>
        </w:r>
      </w:hyperlink>
      <w:r w:rsidR="00CE2DF2">
        <w:rPr>
          <w:rFonts w:cs="Calibri"/>
          <w:noProof/>
        </w:rPr>
        <w:t xml:space="preserve">; </w:t>
      </w:r>
      <w:hyperlink w:anchor="_ENREF_127" w:tooltip="Smith, 1987 #214" w:history="1">
        <w:r w:rsidR="001E4C88">
          <w:rPr>
            <w:rFonts w:cs="Calibri"/>
            <w:noProof/>
          </w:rPr>
          <w:t>Smith and Miller 1987</w:t>
        </w:r>
      </w:hyperlink>
      <w:r w:rsidR="00CE2DF2">
        <w:rPr>
          <w:rFonts w:cs="Calibri"/>
          <w:noProof/>
        </w:rPr>
        <w:t>)</w:t>
      </w:r>
      <w:r w:rsidRPr="00206C62">
        <w:rPr>
          <w:rFonts w:cs="Calibri"/>
        </w:rPr>
        <w:fldChar w:fldCharType="end"/>
      </w:r>
      <w:r w:rsidRPr="00206C62">
        <w:rPr>
          <w:rFonts w:cs="Calibri"/>
        </w:rPr>
        <w:t xml:space="preserve">, the most commonly employed </w:t>
      </w:r>
      <w:r w:rsidR="00F9025F">
        <w:rPr>
          <w:rFonts w:cs="Calibri"/>
        </w:rPr>
        <w:lastRenderedPageBreak/>
        <w:t xml:space="preserve">harvesting </w:t>
      </w:r>
      <w:r w:rsidR="002B18B7">
        <w:rPr>
          <w:rFonts w:cs="Calibri"/>
        </w:rPr>
        <w:t xml:space="preserve">practice </w:t>
      </w:r>
      <w:r w:rsidRPr="00206C62">
        <w:rPr>
          <w:rFonts w:cs="Calibri"/>
        </w:rPr>
        <w:t xml:space="preserve">in the region </w:t>
      </w:r>
      <w:r w:rsidR="001C3D17">
        <w:rPr>
          <w:rFonts w:cs="Calibri"/>
        </w:rPr>
        <w:fldChar w:fldCharType="begin"/>
      </w:r>
      <w:r w:rsidR="003F4F3D">
        <w:rPr>
          <w:rFonts w:cs="Calibri"/>
        </w:rPr>
        <w:instrText xml:space="preserve"> ADDIN EN.CITE </w:instrText>
      </w:r>
      <w:r w:rsidR="003F4F3D">
        <w:rPr>
          <w:rFonts w:cs="Calibri"/>
        </w:rPr>
        <w:fldChar w:fldCharType="begin"/>
      </w:r>
      <w:r w:rsidR="003F4F3D">
        <w:rPr>
          <w:rFonts w:cs="Calibri"/>
        </w:rPr>
        <w:instrText xml:space="preserve"> ADDIN EN.CITE.DATA </w:instrText>
      </w:r>
      <w:r w:rsidR="003F4F3D">
        <w:rPr>
          <w:rFonts w:cs="Calibri"/>
        </w:rPr>
        <w:fldChar w:fldCharType="end"/>
      </w:r>
      <w:r w:rsidR="001C3D17">
        <w:rPr>
          <w:rFonts w:cs="Calibri"/>
        </w:rPr>
        <w:fldChar w:fldCharType="separate"/>
      </w:r>
      <w:r w:rsidR="003F4F3D">
        <w:rPr>
          <w:rFonts w:cs="Calibri"/>
          <w:noProof/>
        </w:rPr>
        <w:t>(</w:t>
      </w:r>
      <w:hyperlink w:anchor="_ENREF_41" w:tooltip="Miller, 1993 #219" w:history="1">
        <w:r w:rsidR="00BF1E15">
          <w:rPr>
            <w:rFonts w:cs="Calibri"/>
            <w:noProof/>
          </w:rPr>
          <w:t>Miller 1993</w:t>
        </w:r>
      </w:hyperlink>
      <w:r w:rsidR="003F4F3D">
        <w:rPr>
          <w:rFonts w:cs="Calibri"/>
          <w:noProof/>
        </w:rPr>
        <w:t xml:space="preserve">; </w:t>
      </w:r>
      <w:hyperlink w:anchor="_ENREF_23" w:tooltip="Fajvan, 1998 #213" w:history="1">
        <w:r w:rsidR="00BF1E15">
          <w:rPr>
            <w:rFonts w:cs="Calibri"/>
            <w:noProof/>
          </w:rPr>
          <w:t>Fajvan et al. 1998</w:t>
        </w:r>
      </w:hyperlink>
      <w:r w:rsidR="003F4F3D">
        <w:rPr>
          <w:rFonts w:cs="Calibri"/>
          <w:noProof/>
        </w:rPr>
        <w:t xml:space="preserve">; </w:t>
      </w:r>
      <w:hyperlink w:anchor="_ENREF_62" w:tooltip="Stringer, 2008 #221" w:history="1">
        <w:r w:rsidR="00BF1E15">
          <w:rPr>
            <w:rFonts w:cs="Calibri"/>
            <w:noProof/>
          </w:rPr>
          <w:t>Stringer 2008</w:t>
        </w:r>
      </w:hyperlink>
      <w:r w:rsidR="003F4F3D">
        <w:rPr>
          <w:rFonts w:cs="Calibri"/>
          <w:noProof/>
        </w:rPr>
        <w:t xml:space="preserve">; </w:t>
      </w:r>
      <w:hyperlink w:anchor="_ENREF_46" w:tooltip="Oswalt, 2009 #212" w:history="1">
        <w:r w:rsidR="00BF1E15">
          <w:rPr>
            <w:rFonts w:cs="Calibri"/>
            <w:noProof/>
          </w:rPr>
          <w:t>Oswalt et al. 2009</w:t>
        </w:r>
      </w:hyperlink>
      <w:r w:rsidR="003F4F3D">
        <w:rPr>
          <w:rFonts w:cs="Calibri"/>
          <w:noProof/>
        </w:rPr>
        <w:t>)</w:t>
      </w:r>
      <w:r w:rsidR="001C3D17">
        <w:rPr>
          <w:rFonts w:cs="Calibri"/>
        </w:rPr>
        <w:fldChar w:fldCharType="end"/>
      </w:r>
      <w:r w:rsidR="00F01686">
        <w:rPr>
          <w:rFonts w:cs="Calibri"/>
        </w:rPr>
        <w:t>, which</w:t>
      </w:r>
      <w:r w:rsidR="00814227">
        <w:rPr>
          <w:rFonts w:cs="Calibri"/>
        </w:rPr>
        <w:t xml:space="preserve"> removes</w:t>
      </w:r>
      <w:r w:rsidR="009603D1">
        <w:rPr>
          <w:rFonts w:cs="Calibri"/>
        </w:rPr>
        <w:t xml:space="preserve"> </w:t>
      </w:r>
      <w:r w:rsidR="00814227">
        <w:rPr>
          <w:rFonts w:cs="Calibri"/>
        </w:rPr>
        <w:t>all merchantable trees above a specific diameter at the stump or breast height</w:t>
      </w:r>
      <w:r w:rsidR="00DB1889">
        <w:rPr>
          <w:rFonts w:cs="Calibri"/>
        </w:rPr>
        <w:t xml:space="preserve"> (DBH)</w:t>
      </w:r>
      <w:r w:rsidR="00814227">
        <w:rPr>
          <w:rFonts w:cs="Calibri"/>
        </w:rPr>
        <w:t xml:space="preserve">.  </w:t>
      </w:r>
      <w:r w:rsidR="009603D1">
        <w:rPr>
          <w:rFonts w:cs="Calibri"/>
        </w:rPr>
        <w:t>Dia</w:t>
      </w:r>
      <w:r w:rsidR="00F45412">
        <w:rPr>
          <w:rFonts w:cs="Calibri"/>
        </w:rPr>
        <w:t xml:space="preserve">meter limit </w:t>
      </w:r>
      <w:r w:rsidR="00814227">
        <w:rPr>
          <w:rFonts w:cs="Calibri"/>
        </w:rPr>
        <w:t xml:space="preserve">(DL) </w:t>
      </w:r>
      <w:r w:rsidR="001451CB">
        <w:rPr>
          <w:rFonts w:cs="Calibri"/>
        </w:rPr>
        <w:t>cuts</w:t>
      </w:r>
      <w:r w:rsidR="00814227" w:rsidRPr="00814227">
        <w:rPr>
          <w:rFonts w:cs="Calibri"/>
        </w:rPr>
        <w:t xml:space="preserve"> </w:t>
      </w:r>
      <w:r w:rsidR="00814227">
        <w:rPr>
          <w:rFonts w:cs="Calibri"/>
        </w:rPr>
        <w:t>are encompassed in the term “partial harvests”</w:t>
      </w:r>
      <w:r w:rsidR="009603D1">
        <w:rPr>
          <w:rFonts w:cs="Calibri"/>
        </w:rPr>
        <w:t xml:space="preserve">; </w:t>
      </w:r>
      <w:r w:rsidR="00E602FC">
        <w:rPr>
          <w:rFonts w:cs="Calibri"/>
        </w:rPr>
        <w:t xml:space="preserve">however, </w:t>
      </w:r>
      <w:r w:rsidR="009603D1">
        <w:rPr>
          <w:rFonts w:cs="Calibri"/>
        </w:rPr>
        <w:t>unlike g</w:t>
      </w:r>
      <w:r w:rsidR="00E602FC">
        <w:rPr>
          <w:rFonts w:cs="Calibri"/>
        </w:rPr>
        <w:t>roup selection partial harvests</w:t>
      </w:r>
      <w:r w:rsidR="007E70BA">
        <w:rPr>
          <w:rFonts w:cs="Calibri"/>
        </w:rPr>
        <w:t>,</w:t>
      </w:r>
      <w:r w:rsidR="009603D1">
        <w:rPr>
          <w:rFonts w:cs="Calibri"/>
        </w:rPr>
        <w:t xml:space="preserve"> </w:t>
      </w:r>
      <w:r w:rsidR="007E70BA">
        <w:rPr>
          <w:rFonts w:cs="Calibri"/>
        </w:rPr>
        <w:t>DL cuts</w:t>
      </w:r>
      <w:r w:rsidR="009603D1">
        <w:rPr>
          <w:rFonts w:cs="Calibri"/>
        </w:rPr>
        <w:t xml:space="preserve"> are not considered silvicultural practices</w:t>
      </w:r>
      <w:r w:rsidR="00B45AED">
        <w:rPr>
          <w:rFonts w:cs="Calibri"/>
        </w:rPr>
        <w:t xml:space="preserve"> </w:t>
      </w:r>
      <w:r w:rsidR="00F9025F">
        <w:rPr>
          <w:rFonts w:cs="Calibri"/>
        </w:rPr>
        <w:t xml:space="preserve">because they are rarely administered by foresters and in turn </w:t>
      </w:r>
      <w:r w:rsidR="009A6037">
        <w:rPr>
          <w:rFonts w:cs="Calibri"/>
        </w:rPr>
        <w:t xml:space="preserve">typically </w:t>
      </w:r>
      <w:r w:rsidR="00C65E83">
        <w:rPr>
          <w:rFonts w:cs="Calibri"/>
        </w:rPr>
        <w:t>result in high-</w:t>
      </w:r>
      <w:r w:rsidR="00F9025F">
        <w:rPr>
          <w:rFonts w:cs="Calibri"/>
        </w:rPr>
        <w:t>grading</w:t>
      </w:r>
      <w:r w:rsidR="007E70BA">
        <w:rPr>
          <w:rFonts w:cs="Calibri"/>
        </w:rPr>
        <w:t>,</w:t>
      </w:r>
      <w:r w:rsidR="00F9025F">
        <w:rPr>
          <w:rFonts w:cs="Calibri"/>
        </w:rPr>
        <w:t xml:space="preserve"> in which valuable trees are removed from the overstory without consideration for the effect that residual trees will have on the quality or growth of the future stand</w:t>
      </w:r>
      <w:r w:rsidR="007E70BA">
        <w:rPr>
          <w:rFonts w:cs="Calibri"/>
        </w:rPr>
        <w:t xml:space="preserve">.  </w:t>
      </w:r>
    </w:p>
    <w:p w:rsidR="007E70BA" w:rsidRDefault="00067D56" w:rsidP="00E802CD">
      <w:pPr>
        <w:autoSpaceDE w:val="0"/>
        <w:autoSpaceDN w:val="0"/>
        <w:adjustRightInd w:val="0"/>
        <w:spacing w:line="480" w:lineRule="auto"/>
        <w:ind w:firstLine="720"/>
        <w:rPr>
          <w:rFonts w:cs="Calibri"/>
        </w:rPr>
      </w:pPr>
      <w:r w:rsidRPr="0077200E">
        <w:t>Prescribing appropriate silvicu</w:t>
      </w:r>
      <w:r w:rsidR="00BB39C1">
        <w:t>ltural treatments in Appalachian hardwood</w:t>
      </w:r>
      <w:r w:rsidRPr="0077200E">
        <w:t xml:space="preserve"> forests is confounded by their inherent species and site diversity, as there are 20 commercial timber species that, due to </w:t>
      </w:r>
      <w:proofErr w:type="spellStart"/>
      <w:r w:rsidRPr="0077200E">
        <w:t>silvical</w:t>
      </w:r>
      <w:proofErr w:type="spellEnd"/>
      <w:r w:rsidRPr="0077200E">
        <w:t xml:space="preserve"> traits and historic disturbances, coexist in various relative abundances and structural associations within a similarly complex </w:t>
      </w:r>
      <w:r w:rsidR="00BC2368">
        <w:t xml:space="preserve">assortment of growing sites </w:t>
      </w:r>
      <w:r w:rsidR="00BC2368">
        <w:fldChar w:fldCharType="begin"/>
      </w:r>
      <w:r w:rsidR="00CE2DF2">
        <w:instrText xml:space="preserve"> ADDIN EN.CITE &lt;EndNote&gt;&lt;Cite&gt;&lt;Author&gt;Miller&lt;/Author&gt;&lt;Year&gt;1998&lt;/Year&gt;&lt;RecNum&gt;298&lt;/RecNum&gt;&lt;DisplayText&gt;(Miller and Kochenderfer 1998)&lt;/DisplayText&gt;&lt;record&gt;&lt;rec-number&gt;298&lt;/rec-number&gt;&lt;foreign-keys&gt;&lt;key app="EN" db-id="a90s5zadewrawxeer07v2f90xr5vxv022sat"&gt;298&lt;/key&gt;&lt;/foreign-keys&gt;&lt;ref-type name="Journal Article"&gt;17&lt;/ref-type&gt;&lt;contributors&gt;&lt;authors&gt;&lt;author&gt;Gary W. Miller&lt;/author&gt;&lt;author&gt;James N. Kochenderfer&lt;/author&gt;&lt;/authors&gt;&lt;/contributors&gt;&lt;titles&gt;&lt;title&gt;Maintaining species diversity in the central Appalachians&lt;/title&gt;&lt;secondary-title&gt;Journal of Forestry&lt;/secondary-title&gt;&lt;/titles&gt;&lt;periodical&gt;&lt;full-title&gt;Journal of Forestry&lt;/full-title&gt;&lt;abbr-1&gt;J. For.&lt;/abbr-1&gt;&lt;/periodical&gt;&lt;pages&gt;28-33&lt;/pages&gt;&lt;volume&gt;96&lt;/volume&gt;&lt;number&gt;7&lt;/number&gt;&lt;dates&gt;&lt;year&gt;1998&lt;/year&gt;&lt;/dates&gt;&lt;urls&gt;&lt;related-urls&gt;&lt;url&gt;http://www.treesearch.fs.fed.us/pubs/21535&lt;/url&gt;&lt;/related-urls&gt;&lt;/urls&gt;&lt;/record&gt;&lt;/Cite&gt;&lt;/EndNote&gt;</w:instrText>
      </w:r>
      <w:r w:rsidR="00BC2368">
        <w:fldChar w:fldCharType="separate"/>
      </w:r>
      <w:r w:rsidR="00CE2DF2">
        <w:rPr>
          <w:noProof/>
        </w:rPr>
        <w:t>(</w:t>
      </w:r>
      <w:hyperlink w:anchor="_ENREF_97" w:tooltip="Miller, 1998 #298" w:history="1">
        <w:r w:rsidR="001E4C88">
          <w:rPr>
            <w:noProof/>
          </w:rPr>
          <w:t>Miller and Kochenderfer 1998</w:t>
        </w:r>
      </w:hyperlink>
      <w:r w:rsidR="00CE2DF2">
        <w:rPr>
          <w:noProof/>
        </w:rPr>
        <w:t>)</w:t>
      </w:r>
      <w:r w:rsidR="00BC2368">
        <w:fldChar w:fldCharType="end"/>
      </w:r>
      <w:r>
        <w:t xml:space="preserve">.  As all-aged </w:t>
      </w:r>
      <w:r w:rsidRPr="0077200E">
        <w:t xml:space="preserve"> stands would dominate much of the </w:t>
      </w:r>
      <w:r w:rsidR="00813CC9">
        <w:t>e</w:t>
      </w:r>
      <w:r w:rsidRPr="0077200E">
        <w:t xml:space="preserve">astern forested landscape without human disturbances </w:t>
      </w:r>
      <w:r w:rsidRPr="0077200E">
        <w:fldChar w:fldCharType="begin"/>
      </w:r>
      <w:r w:rsidR="00A87D07">
        <w:instrText xml:space="preserve"> ADDIN EN.CITE &lt;EndNote&gt;&lt;Cite&gt;&lt;Author&gt;Runkle&lt;/Author&gt;&lt;Year&gt;1985&lt;/Year&gt;&lt;RecNum&gt;67&lt;/RecNum&gt;&lt;DisplayText&gt;(Runkle 1985)&lt;/DisplayText&gt;&lt;record&gt;&lt;rec-number&gt;67&lt;/rec-number&gt;&lt;foreign-keys&gt;&lt;key app="EN" db-id="a90s5zadewrawxeer07v2f90xr5vxv022sat"&gt;67&lt;/key&gt;&lt;/foreign-keys&gt;&lt;ref-type name="Book Section"&gt;5&lt;/ref-type&gt;&lt;contributors&gt;&lt;authors&gt;&lt;author&gt;Runkle, J.R. &lt;/author&gt;&lt;/authors&gt;&lt;secondary-authors&gt;&lt;author&gt;S.T.A. Pickett and P.S. White&lt;/author&gt;&lt;/secondary-authors&gt;&lt;/contributors&gt;&lt;titles&gt;&lt;title&gt;Disturbance regimes in temperate forests&lt;/title&gt;&lt;secondary-title&gt;The ecology of natural disturbance and patch dynamics&lt;/secondary-title&gt;&lt;/titles&gt;&lt;pages&gt;17-33&lt;/pages&gt;&lt;dates&gt;&lt;year&gt;1985&lt;/year&gt;&lt;/dates&gt;&lt;pub-location&gt;Orlando, FL&lt;/pub-location&gt;&lt;publisher&gt;Academic Press&lt;/publisher&gt;&lt;urls&gt;&lt;/urls&gt;&lt;/record&gt;&lt;/Cite&gt;&lt;/EndNote&gt;</w:instrText>
      </w:r>
      <w:r w:rsidRPr="0077200E">
        <w:fldChar w:fldCharType="separate"/>
      </w:r>
      <w:r w:rsidR="00A87D07">
        <w:rPr>
          <w:noProof/>
        </w:rPr>
        <w:t>(</w:t>
      </w:r>
      <w:hyperlink w:anchor="_ENREF_115" w:tooltip="Runkle, 1985 #67" w:history="1">
        <w:r w:rsidR="001E4C88">
          <w:rPr>
            <w:noProof/>
          </w:rPr>
          <w:t>Runkle 1985</w:t>
        </w:r>
      </w:hyperlink>
      <w:r w:rsidR="00A87D07">
        <w:rPr>
          <w:noProof/>
        </w:rPr>
        <w:t>)</w:t>
      </w:r>
      <w:r w:rsidRPr="0077200E">
        <w:fldChar w:fldCharType="end"/>
      </w:r>
      <w:r w:rsidRPr="0077200E">
        <w:t xml:space="preserve">, many conservationists </w:t>
      </w:r>
      <w:r>
        <w:t>naturally believe that naturally regenerated forests</w:t>
      </w:r>
      <w:r w:rsidRPr="0077200E">
        <w:t xml:space="preserve"> should be managed to mirror such a state to the extent practicable, especially those in mountainous terrain where even-age harvests are unsightly and historically associated with poor </w:t>
      </w:r>
      <w:r>
        <w:t>logging practices</w:t>
      </w:r>
      <w:r w:rsidRPr="0077200E">
        <w:t>.  Although uneven-aged practices come the closest to mimicking small-scale natural disturbances, they ironically red</w:t>
      </w:r>
      <w:r>
        <w:t>uce species diversity by imposing</w:t>
      </w:r>
      <w:r w:rsidRPr="0077200E">
        <w:t xml:space="preserve"> stand conditions that favor a small shade-tolerant group of species </w:t>
      </w:r>
      <w:r w:rsidR="00BC2368">
        <w:rPr>
          <w:rFonts w:cs="Calibri"/>
        </w:rPr>
        <w:fldChar w:fldCharType="begin"/>
      </w:r>
      <w:r w:rsidR="00CE2DF2">
        <w:rPr>
          <w:rFonts w:cs="Calibri"/>
        </w:rPr>
        <w:instrText xml:space="preserve"> ADDIN EN.CITE &lt;EndNote&gt;&lt;Cite&gt;&lt;Author&gt;Miller&lt;/Author&gt;&lt;Year&gt;1998&lt;/Year&gt;&lt;RecNum&gt;298&lt;/RecNum&gt;&lt;DisplayText&gt;(Miller and Kochenderfer 1998; Schuler 2004)&lt;/DisplayText&gt;&lt;record&gt;&lt;rec-number&gt;298&lt;/rec-number&gt;&lt;foreign-keys&gt;&lt;key app="EN" db-id="a90s5zadewrawxeer07v2f90xr5vxv022sat"&gt;298&lt;/key&gt;&lt;/foreign-keys&gt;&lt;ref-type name="Journal Article"&gt;17&lt;/ref-type&gt;&lt;contributors&gt;&lt;authors&gt;&lt;author&gt;Gary W. Miller&lt;/author&gt;&lt;author&gt;James N. Kochenderfer&lt;/author&gt;&lt;/authors&gt;&lt;/contributors&gt;&lt;titles&gt;&lt;title&gt;Maintaining species diversity in the central Appalachians&lt;/title&gt;&lt;secondary-title&gt;Journal of Forestry&lt;/secondary-title&gt;&lt;/titles&gt;&lt;periodical&gt;&lt;full-title&gt;Journal of Forestry&lt;/full-title&gt;&lt;abbr-1&gt;J. For.&lt;/abbr-1&gt;&lt;/periodical&gt;&lt;pages&gt;28-33&lt;/pages&gt;&lt;volume&gt;96&lt;/volume&gt;&lt;number&gt;7&lt;/number&gt;&lt;dates&gt;&lt;year&gt;1998&lt;/year&gt;&lt;/dates&gt;&lt;urls&gt;&lt;related-urls&gt;&lt;url&gt;http://www.treesearch.fs.fed.us/pubs/21535&lt;/url&gt;&lt;/related-urls&gt;&lt;/urls&gt;&lt;/record&gt;&lt;/Cite&gt;&lt;Cite&gt;&lt;Author&gt;Schuler&lt;/Author&gt;&lt;Year&gt;2004&lt;/Year&gt;&lt;RecNum&gt;218&lt;/RecNum&gt;&lt;record&gt;&lt;rec-number&gt;218&lt;/rec-number&gt;&lt;foreign-keys&gt;&lt;key app="EN" db-id="a90s5zadewrawxeer07v2f90xr5vxv022sat"&gt;218&lt;/key&gt;&lt;/foreign-keys&gt;&lt;ref-type name="Journal Article"&gt;17&lt;/ref-type&gt;&lt;contributors&gt;&lt;authors&gt;&lt;author&gt;Schuler, T.M.&lt;/author&gt;&lt;/authors&gt;&lt;/contributors&gt;&lt;titles&gt;&lt;title&gt;Fifty years of partial harvesting in a mixed mesophytic forest: composition and productivity&lt;/title&gt;&lt;secondary-title&gt;Canadian Journal of Forest Research&lt;/secondary-title&gt;&lt;/titles&gt;&lt;periodical&gt;&lt;full-title&gt;Canadian Journal of Forest Research&lt;/full-title&gt;&lt;/periodical&gt;&lt;pages&gt;985-997&lt;/pages&gt;&lt;volume&gt;34&lt;/volume&gt;&lt;dates&gt;&lt;year&gt;2004&lt;/year&gt;&lt;/dates&gt;&lt;urls&gt;&lt;related-urls&gt;&lt;url&gt;http://www.treesearch.fs.fed.us/pubs/7944&lt;/url&gt;&lt;/related-urls&gt;&lt;/urls&gt;&lt;/record&gt;&lt;/Cite&gt;&lt;/EndNote&gt;</w:instrText>
      </w:r>
      <w:r w:rsidR="00BC2368">
        <w:rPr>
          <w:rFonts w:cs="Calibri"/>
        </w:rPr>
        <w:fldChar w:fldCharType="separate"/>
      </w:r>
      <w:r w:rsidR="00CE2DF2">
        <w:rPr>
          <w:rFonts w:cs="Calibri"/>
          <w:noProof/>
        </w:rPr>
        <w:t>(</w:t>
      </w:r>
      <w:hyperlink w:anchor="_ENREF_97" w:tooltip="Miller, 1998 #298" w:history="1">
        <w:r w:rsidR="001E4C88">
          <w:rPr>
            <w:rFonts w:cs="Calibri"/>
            <w:noProof/>
          </w:rPr>
          <w:t>Miller and Kochenderfer 1998</w:t>
        </w:r>
      </w:hyperlink>
      <w:r w:rsidR="00CE2DF2">
        <w:rPr>
          <w:rFonts w:cs="Calibri"/>
          <w:noProof/>
        </w:rPr>
        <w:t xml:space="preserve">; </w:t>
      </w:r>
      <w:hyperlink w:anchor="_ENREF_118" w:tooltip="Schuler, 2004 #218" w:history="1">
        <w:r w:rsidR="001E4C88">
          <w:rPr>
            <w:rFonts w:cs="Calibri"/>
            <w:noProof/>
          </w:rPr>
          <w:t>Schuler 2004</w:t>
        </w:r>
      </w:hyperlink>
      <w:r w:rsidR="00CE2DF2">
        <w:rPr>
          <w:rFonts w:cs="Calibri"/>
          <w:noProof/>
        </w:rPr>
        <w:t>)</w:t>
      </w:r>
      <w:r w:rsidR="00BC2368">
        <w:rPr>
          <w:rFonts w:cs="Calibri"/>
        </w:rPr>
        <w:fldChar w:fldCharType="end"/>
      </w:r>
      <w:r w:rsidR="00BC2368">
        <w:t>.</w:t>
      </w:r>
    </w:p>
    <w:p w:rsidR="00020F9F" w:rsidRPr="00A44407" w:rsidRDefault="00A75CC6" w:rsidP="00020F9F">
      <w:pPr>
        <w:autoSpaceDE w:val="0"/>
        <w:autoSpaceDN w:val="0"/>
        <w:adjustRightInd w:val="0"/>
        <w:spacing w:after="0" w:line="480" w:lineRule="auto"/>
        <w:ind w:firstLine="720"/>
        <w:rPr>
          <w:rFonts w:cs="Calibri"/>
        </w:rPr>
      </w:pPr>
      <w:r>
        <w:rPr>
          <w:rFonts w:cs="Calibri"/>
        </w:rPr>
        <w:t>Moreover, t</w:t>
      </w:r>
      <w:r w:rsidR="00813CC9">
        <w:rPr>
          <w:rFonts w:cs="Calibri"/>
        </w:rPr>
        <w:t>he longest-</w:t>
      </w:r>
      <w:r w:rsidR="00B45AED">
        <w:rPr>
          <w:rFonts w:cs="Calibri"/>
        </w:rPr>
        <w:t xml:space="preserve">running experiment in hardwood silviculture </w:t>
      </w:r>
      <w:r w:rsidR="00CF3DF6">
        <w:rPr>
          <w:rFonts w:cs="Calibri"/>
        </w:rPr>
        <w:t xml:space="preserve">portends </w:t>
      </w:r>
      <w:r w:rsidR="00A801D5">
        <w:rPr>
          <w:rFonts w:cs="Calibri"/>
        </w:rPr>
        <w:t xml:space="preserve">the elimination of all oak seed sources </w:t>
      </w:r>
      <w:r w:rsidR="00F45412">
        <w:rPr>
          <w:rFonts w:cs="Calibri"/>
        </w:rPr>
        <w:t xml:space="preserve">and </w:t>
      </w:r>
      <w:r w:rsidR="00814227">
        <w:rPr>
          <w:rFonts w:cs="Calibri"/>
        </w:rPr>
        <w:t xml:space="preserve">competitive </w:t>
      </w:r>
      <w:r w:rsidR="00F45412">
        <w:rPr>
          <w:rFonts w:cs="Calibri"/>
        </w:rPr>
        <w:t>advance re</w:t>
      </w:r>
      <w:r w:rsidR="00CA51E9">
        <w:rPr>
          <w:rFonts w:cs="Calibri"/>
        </w:rPr>
        <w:t>generation</w:t>
      </w:r>
      <w:r w:rsidR="00F45412">
        <w:rPr>
          <w:rFonts w:cs="Calibri"/>
        </w:rPr>
        <w:t xml:space="preserve"> </w:t>
      </w:r>
      <w:r w:rsidR="00A801D5">
        <w:rPr>
          <w:rFonts w:cs="Calibri"/>
        </w:rPr>
        <w:t xml:space="preserve">in the near future </w:t>
      </w:r>
      <w:r w:rsidR="00D14A81">
        <w:rPr>
          <w:rFonts w:cs="Calibri"/>
        </w:rPr>
        <w:t>if DL cuts are continued in</w:t>
      </w:r>
      <w:r w:rsidR="007E70BA">
        <w:rPr>
          <w:rFonts w:cs="Calibri"/>
        </w:rPr>
        <w:t xml:space="preserve"> </w:t>
      </w:r>
      <w:r w:rsidR="00CF3DF6">
        <w:rPr>
          <w:rFonts w:cs="Calibri"/>
        </w:rPr>
        <w:t>stands subjected to DL cuts over the 45 year study</w:t>
      </w:r>
      <w:r w:rsidR="001B4E7D">
        <w:rPr>
          <w:rFonts w:cs="Calibri"/>
        </w:rPr>
        <w:t xml:space="preserve"> </w:t>
      </w:r>
      <w:r w:rsidR="001B4E7D">
        <w:rPr>
          <w:rFonts w:cs="Calibri"/>
        </w:rPr>
        <w:fldChar w:fldCharType="begin"/>
      </w:r>
      <w:r w:rsidR="00A87D07">
        <w:rPr>
          <w:rFonts w:cs="Calibri"/>
        </w:rPr>
        <w:instrText xml:space="preserve"> ADDIN EN.CITE &lt;EndNote&gt;&lt;Cite&gt;&lt;Author&gt;Schuler&lt;/Author&gt;&lt;Year&gt;2004&lt;/Year&gt;&lt;RecNum&gt;218&lt;/RecNum&gt;&lt;DisplayText&gt;(Schuler 2004)&lt;/DisplayText&gt;&lt;record&gt;&lt;rec-number&gt;218&lt;/rec-number&gt;&lt;foreign-keys&gt;&lt;key app="EN" db-id="a90s5zadewrawxeer07v2f90xr5vxv022sat"&gt;218&lt;/key&gt;&lt;/foreign-keys&gt;&lt;ref-type name="Journal Article"&gt;17&lt;/ref-type&gt;&lt;contributors&gt;&lt;authors&gt;&lt;author&gt;Schuler, T.M.&lt;/author&gt;&lt;/authors&gt;&lt;/contributors&gt;&lt;titles&gt;&lt;title&gt;Fifty years of partial harvesting in a mixed mesophytic forest: composition and productivity&lt;/title&gt;&lt;secondary-title&gt;Canadian Journal of Forest Research&lt;/secondary-title&gt;&lt;/titles&gt;&lt;periodical&gt;&lt;full-title&gt;Canadian Journal of Forest Research&lt;/full-title&gt;&lt;/periodical&gt;&lt;pages&gt;985-997&lt;/pages&gt;&lt;volume&gt;34&lt;/volume&gt;&lt;dates&gt;&lt;year&gt;2004&lt;/year&gt;&lt;/dates&gt;&lt;urls&gt;&lt;related-urls&gt;&lt;url&gt;http://www.treesearch.fs.fed.us/pubs/7944&lt;/url&gt;&lt;/related-urls&gt;&lt;/urls&gt;&lt;/record&gt;&lt;/Cite&gt;&lt;/EndNote&gt;</w:instrText>
      </w:r>
      <w:r w:rsidR="001B4E7D">
        <w:rPr>
          <w:rFonts w:cs="Calibri"/>
        </w:rPr>
        <w:fldChar w:fldCharType="separate"/>
      </w:r>
      <w:r w:rsidR="00A87D07">
        <w:rPr>
          <w:rFonts w:cs="Calibri"/>
          <w:noProof/>
        </w:rPr>
        <w:t>(</w:t>
      </w:r>
      <w:hyperlink w:anchor="_ENREF_118" w:tooltip="Schuler, 2004 #218" w:history="1">
        <w:r w:rsidR="001E4C88">
          <w:rPr>
            <w:rFonts w:cs="Calibri"/>
            <w:noProof/>
          </w:rPr>
          <w:t>Schuler 2004</w:t>
        </w:r>
      </w:hyperlink>
      <w:r w:rsidR="00A87D07">
        <w:rPr>
          <w:rFonts w:cs="Calibri"/>
          <w:noProof/>
        </w:rPr>
        <w:t>)</w:t>
      </w:r>
      <w:r w:rsidR="001B4E7D">
        <w:rPr>
          <w:rFonts w:cs="Calibri"/>
        </w:rPr>
        <w:fldChar w:fldCharType="end"/>
      </w:r>
      <w:r w:rsidR="00B45AED">
        <w:rPr>
          <w:rFonts w:cs="Calibri"/>
        </w:rPr>
        <w:t>.</w:t>
      </w:r>
      <w:r w:rsidR="00F45412" w:rsidRPr="00F45412">
        <w:rPr>
          <w:rFonts w:cs="Calibri"/>
        </w:rPr>
        <w:t xml:space="preserve"> </w:t>
      </w:r>
      <w:r w:rsidR="00F45412">
        <w:rPr>
          <w:rFonts w:cs="Calibri"/>
        </w:rPr>
        <w:t xml:space="preserve"> </w:t>
      </w:r>
      <w:r w:rsidR="00C57D9A">
        <w:rPr>
          <w:rFonts w:cs="Calibri"/>
        </w:rPr>
        <w:t>W</w:t>
      </w:r>
      <w:r w:rsidR="006C6519">
        <w:rPr>
          <w:rFonts w:cs="Calibri"/>
        </w:rPr>
        <w:t xml:space="preserve">hen </w:t>
      </w:r>
      <w:r w:rsidR="00964BB0">
        <w:rPr>
          <w:rFonts w:cs="Calibri"/>
        </w:rPr>
        <w:t>diameter limits control partial harvests</w:t>
      </w:r>
      <w:r w:rsidR="006C6519">
        <w:rPr>
          <w:rFonts w:cs="Calibri"/>
        </w:rPr>
        <w:t xml:space="preserve"> </w:t>
      </w:r>
      <w:r w:rsidR="00964BB0">
        <w:rPr>
          <w:rFonts w:cs="Calibri"/>
        </w:rPr>
        <w:t xml:space="preserve">on </w:t>
      </w:r>
      <w:r w:rsidR="00CC49F0">
        <w:rPr>
          <w:rFonts w:cs="Calibri"/>
        </w:rPr>
        <w:t>good</w:t>
      </w:r>
      <w:r w:rsidR="00964BB0">
        <w:rPr>
          <w:rFonts w:cs="Calibri"/>
        </w:rPr>
        <w:t xml:space="preserve"> to excellent quality sites</w:t>
      </w:r>
      <w:r w:rsidR="00D14A81">
        <w:rPr>
          <w:rFonts w:cs="Calibri"/>
        </w:rPr>
        <w:t xml:space="preserve"> (Red Oak site index </w:t>
      </w:r>
      <w:r w:rsidR="00512467">
        <w:rPr>
          <w:rFonts w:cs="Calibri"/>
        </w:rPr>
        <w:t>65</w:t>
      </w:r>
      <w:r w:rsidR="00D14A81">
        <w:rPr>
          <w:rFonts w:cs="Calibri"/>
        </w:rPr>
        <w:t>+)</w:t>
      </w:r>
      <w:r w:rsidR="006C6519">
        <w:rPr>
          <w:rFonts w:cs="Calibri"/>
        </w:rPr>
        <w:t xml:space="preserve">, subsequent stand dynamics precipitate a </w:t>
      </w:r>
      <w:r w:rsidR="004B1CF4">
        <w:rPr>
          <w:rFonts w:cs="Calibri"/>
        </w:rPr>
        <w:t xml:space="preserve">significantly less diverse </w:t>
      </w:r>
      <w:r w:rsidR="006C6519">
        <w:rPr>
          <w:rFonts w:cs="Calibri"/>
        </w:rPr>
        <w:t xml:space="preserve">species mix </w:t>
      </w:r>
      <w:r w:rsidR="004B1CF4">
        <w:rPr>
          <w:rFonts w:cs="Calibri"/>
        </w:rPr>
        <w:t xml:space="preserve">that is </w:t>
      </w:r>
      <w:r w:rsidR="006C6519">
        <w:rPr>
          <w:rFonts w:cs="Calibri"/>
        </w:rPr>
        <w:t xml:space="preserve">very similar to </w:t>
      </w:r>
      <w:r w:rsidR="00BF197E">
        <w:rPr>
          <w:rFonts w:cs="Calibri"/>
        </w:rPr>
        <w:t xml:space="preserve">that </w:t>
      </w:r>
      <w:r w:rsidR="004B1CF4">
        <w:rPr>
          <w:rFonts w:cs="Calibri"/>
        </w:rPr>
        <w:t xml:space="preserve">resulting from single-tree selection harvests </w:t>
      </w:r>
      <w:r w:rsidR="00EF6533">
        <w:rPr>
          <w:rFonts w:cs="Calibri"/>
        </w:rPr>
        <w:fldChar w:fldCharType="begin">
          <w:fldData xml:space="preserve">PEVuZE5vdGU+PENpdGU+PEF1dGhvcj5UcmltYmxlIEpyLjwvQXV0aG9yPjxZZWFyPjE5NzM8L1ll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</w:fldData>
        </w:fldChar>
      </w:r>
      <w:r w:rsidR="00CE2DF2">
        <w:rPr>
          <w:rFonts w:cs="Calibri"/>
        </w:rPr>
        <w:instrText xml:space="preserve"> ADDIN EN.CITE </w:instrText>
      </w:r>
      <w:r w:rsidR="00CE2DF2">
        <w:rPr>
          <w:rFonts w:cs="Calibri"/>
        </w:rPr>
        <w:fldChar w:fldCharType="begin">
          <w:fldData xml:space="preserve">PEVuZE5vdGU+PENpdGU+PEF1dGhvcj5UcmltYmxlIEpyLjwvQXV0aG9yPjxZZWFyPjE5NzM8L1ll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</w:fldData>
        </w:fldChar>
      </w:r>
      <w:r w:rsidR="00CE2DF2">
        <w:rPr>
          <w:rFonts w:cs="Calibri"/>
        </w:rPr>
        <w:instrText xml:space="preserve"> ADDIN EN.CITE.DATA </w:instrText>
      </w:r>
      <w:r w:rsidR="00CE2DF2">
        <w:rPr>
          <w:rFonts w:cs="Calibri"/>
        </w:rPr>
      </w:r>
      <w:r w:rsidR="00CE2DF2">
        <w:rPr>
          <w:rFonts w:cs="Calibri"/>
        </w:rPr>
        <w:fldChar w:fldCharType="end"/>
      </w:r>
      <w:r w:rsidR="00EF6533">
        <w:rPr>
          <w:rFonts w:cs="Calibri"/>
        </w:rPr>
      </w:r>
      <w:r w:rsidR="00EF6533">
        <w:rPr>
          <w:rFonts w:cs="Calibri"/>
        </w:rPr>
        <w:fldChar w:fldCharType="separate"/>
      </w:r>
      <w:r w:rsidR="00CE2DF2">
        <w:rPr>
          <w:rFonts w:cs="Calibri"/>
          <w:noProof/>
        </w:rPr>
        <w:t>(</w:t>
      </w:r>
      <w:hyperlink w:anchor="_ENREF_139" w:tooltip="Trimble Jr., 1973 #264" w:history="1">
        <w:r w:rsidR="001E4C88">
          <w:rPr>
            <w:rFonts w:cs="Calibri"/>
            <w:noProof/>
          </w:rPr>
          <w:t>Trimble Jr. 1973</w:t>
        </w:r>
      </w:hyperlink>
      <w:r w:rsidR="00CE2DF2">
        <w:rPr>
          <w:rFonts w:cs="Calibri"/>
          <w:noProof/>
        </w:rPr>
        <w:t xml:space="preserve">; </w:t>
      </w:r>
      <w:hyperlink w:anchor="_ENREF_99" w:tooltip="Miller, 1991 #265" w:history="1">
        <w:r w:rsidR="001E4C88">
          <w:rPr>
            <w:rFonts w:cs="Calibri"/>
            <w:noProof/>
          </w:rPr>
          <w:t>Miller and Smith 1991</w:t>
        </w:r>
      </w:hyperlink>
      <w:r w:rsidR="00CE2DF2">
        <w:rPr>
          <w:rFonts w:cs="Calibri"/>
          <w:noProof/>
        </w:rPr>
        <w:t xml:space="preserve">; </w:t>
      </w:r>
      <w:hyperlink w:anchor="_ENREF_118" w:tooltip="Schuler, 2004 #218" w:history="1">
        <w:r w:rsidR="001E4C88">
          <w:rPr>
            <w:rFonts w:cs="Calibri"/>
            <w:noProof/>
          </w:rPr>
          <w:t>Schuler 2004</w:t>
        </w:r>
      </w:hyperlink>
      <w:r w:rsidR="00CE2DF2">
        <w:rPr>
          <w:rFonts w:cs="Calibri"/>
          <w:noProof/>
        </w:rPr>
        <w:t>)</w:t>
      </w:r>
      <w:r w:rsidR="00EF6533">
        <w:rPr>
          <w:rFonts w:cs="Calibri"/>
        </w:rPr>
        <w:fldChar w:fldCharType="end"/>
      </w:r>
      <w:r w:rsidR="00BF197E">
        <w:rPr>
          <w:rFonts w:cs="Calibri"/>
        </w:rPr>
        <w:t xml:space="preserve">.  These </w:t>
      </w:r>
      <w:r w:rsidR="00913810">
        <w:rPr>
          <w:rFonts w:cs="Calibri"/>
        </w:rPr>
        <w:t>uneven-age practices</w:t>
      </w:r>
      <w:r w:rsidR="00F45412">
        <w:rPr>
          <w:rFonts w:cs="Calibri"/>
        </w:rPr>
        <w:t xml:space="preserve"> diminish the  value of future periodic harvests </w:t>
      </w:r>
      <w:r w:rsidR="001B4E7D">
        <w:rPr>
          <w:rFonts w:cs="Calibri"/>
        </w:rPr>
        <w:t xml:space="preserve">because </w:t>
      </w:r>
      <w:r w:rsidR="00BF197E">
        <w:rPr>
          <w:rFonts w:cs="Calibri"/>
        </w:rPr>
        <w:t>they induce</w:t>
      </w:r>
      <w:r w:rsidR="001B4E7D">
        <w:rPr>
          <w:rFonts w:cs="Calibri"/>
        </w:rPr>
        <w:t xml:space="preserve"> a proliferation of shade tolerant species i</w:t>
      </w:r>
      <w:r w:rsidR="00887888">
        <w:rPr>
          <w:rFonts w:cs="Calibri"/>
        </w:rPr>
        <w:t xml:space="preserve">n the understory that under such </w:t>
      </w:r>
      <w:r w:rsidR="00887888">
        <w:rPr>
          <w:rFonts w:cs="Calibri"/>
        </w:rPr>
        <w:lastRenderedPageBreak/>
        <w:t xml:space="preserve">conditions produce less  grade sawtimber and garner lower market prices than do relatively intolerant species </w:t>
      </w:r>
      <w:r w:rsidR="008E751F">
        <w:rPr>
          <w:rFonts w:cs="Calibri"/>
        </w:rPr>
        <w:fldChar w:fldCharType="begin"/>
      </w:r>
      <w:r w:rsidR="00CE2DF2">
        <w:rPr>
          <w:rFonts w:cs="Calibri"/>
        </w:rPr>
        <w:instrText xml:space="preserve"> ADDIN EN.CITE &lt;EndNote&gt;&lt;Cite&gt;&lt;Author&gt;Miller&lt;/Author&gt;&lt;Year&gt;1993&lt;/Year&gt;&lt;RecNum&gt;219&lt;/RecNum&gt;&lt;DisplayText&gt;(Miller 1993)&lt;/DisplayText&gt;&lt;record&gt;&lt;rec-number&gt;219&lt;/rec-number&gt;&lt;foreign-keys&gt;&lt;key app="EN" db-id="a90s5zadewrawxeer07v2f90xr5vxv022sat"&gt;219&lt;/key&gt;&lt;/foreign-keys&gt;&lt;ref-type name="Journal Article"&gt;17&lt;/ref-type&gt;&lt;contributors&gt;&lt;authors&gt;&lt;author&gt;Miller, Gary W.&lt;/author&gt;&lt;/authors&gt;&lt;/contributors&gt;&lt;titles&gt;&lt;title&gt;Financial aspects of partial cutting practices in central Appalachian hardwoods. Res. Pap. NE-673. Radnor, PA: U.S. Department of Agriculture, Forest Service, Northeastern Forest Experiment Station. 9 p&lt;/title&gt;&lt;/titles&gt;&lt;dates&gt;&lt;year&gt;1993&lt;/year&gt;&lt;/dates&gt;&lt;urls&gt;&lt;related-urls&gt;&lt;url&gt;http://www.treesearch.fs.fed.us/pubs/20775&lt;/url&gt;&lt;/related-urls&gt;&lt;/urls&gt;&lt;/record&gt;&lt;/Cite&gt;&lt;/EndNote&gt;</w:instrText>
      </w:r>
      <w:r w:rsidR="008E751F">
        <w:rPr>
          <w:rFonts w:cs="Calibri"/>
        </w:rPr>
        <w:fldChar w:fldCharType="separate"/>
      </w:r>
      <w:r w:rsidR="00CE2DF2">
        <w:rPr>
          <w:rFonts w:cs="Calibri"/>
          <w:noProof/>
        </w:rPr>
        <w:t>(</w:t>
      </w:r>
      <w:hyperlink w:anchor="_ENREF_94" w:tooltip="Miller, 1993 #219" w:history="1">
        <w:r w:rsidR="001E4C88">
          <w:rPr>
            <w:rFonts w:cs="Calibri"/>
            <w:noProof/>
          </w:rPr>
          <w:t>Miller 1993</w:t>
        </w:r>
      </w:hyperlink>
      <w:r w:rsidR="00CE2DF2">
        <w:rPr>
          <w:rFonts w:cs="Calibri"/>
          <w:noProof/>
        </w:rPr>
        <w:t>)</w:t>
      </w:r>
      <w:r w:rsidR="008E751F">
        <w:rPr>
          <w:rFonts w:cs="Calibri"/>
        </w:rPr>
        <w:fldChar w:fldCharType="end"/>
      </w:r>
      <w:r w:rsidR="008E751F">
        <w:rPr>
          <w:rFonts w:cs="Calibri"/>
        </w:rPr>
        <w:t xml:space="preserve"> </w:t>
      </w:r>
      <w:r w:rsidR="00887888">
        <w:rPr>
          <w:rFonts w:cs="Calibri"/>
        </w:rPr>
        <w:t xml:space="preserve">that are </w:t>
      </w:r>
      <w:r w:rsidR="001B4E7D">
        <w:rPr>
          <w:rFonts w:cs="Calibri"/>
        </w:rPr>
        <w:t xml:space="preserve">likely to </w:t>
      </w:r>
      <w:r w:rsidR="009B3B0E">
        <w:rPr>
          <w:rFonts w:cs="Calibri"/>
        </w:rPr>
        <w:t xml:space="preserve">be </w:t>
      </w:r>
      <w:r w:rsidR="001B4E7D">
        <w:rPr>
          <w:rFonts w:cs="Calibri"/>
        </w:rPr>
        <w:t>outcompete</w:t>
      </w:r>
      <w:r w:rsidR="0009774C">
        <w:rPr>
          <w:rFonts w:cs="Calibri"/>
        </w:rPr>
        <w:t>d</w:t>
      </w:r>
      <w:r w:rsidR="001B4E7D">
        <w:rPr>
          <w:rFonts w:cs="Calibri"/>
        </w:rPr>
        <w:t xml:space="preserve"> </w:t>
      </w:r>
      <w:r w:rsidR="00887888">
        <w:rPr>
          <w:rFonts w:cs="Calibri"/>
        </w:rPr>
        <w:t>when</w:t>
      </w:r>
      <w:r w:rsidR="001B4E7D">
        <w:rPr>
          <w:rFonts w:cs="Calibri"/>
        </w:rPr>
        <w:t xml:space="preserve"> canopy openings occur</w:t>
      </w:r>
      <w:r w:rsidR="00FC3844">
        <w:rPr>
          <w:rFonts w:cs="Calibri"/>
        </w:rPr>
        <w:t xml:space="preserve"> </w:t>
      </w:r>
      <w:r w:rsidR="00FC3844">
        <w:rPr>
          <w:rFonts w:cs="Calibri"/>
        </w:rPr>
        <w:fldChar w:fldCharType="begin"/>
      </w:r>
      <w:r w:rsidR="00FC3844">
        <w:rPr>
          <w:rFonts w:cs="Calibri"/>
        </w:rPr>
        <w:instrText xml:space="preserve"> ADDIN EN.CITE &lt;EndNote&gt;&lt;Cite&gt;&lt;Author&gt;Fajvan&lt;/Author&gt;&lt;Year&gt;1996&lt;/Year&gt;&lt;RecNum&gt;305&lt;/RecNum&gt;&lt;DisplayText&gt;(Fajvan and Wood 1996)&lt;/DisplayText&gt;&lt;record&gt;&lt;rec-number&gt;305&lt;/rec-number&gt;&lt;foreign-keys&gt;&lt;key app="EN" db-id="a90s5zadewrawxeer07v2f90xr5vxv022sat"&gt;305&lt;/key&gt;&lt;/foreign-keys&gt;&lt;ref-type name="Journal Article"&gt;17&lt;/ref-type&gt;&lt;contributors&gt;&lt;authors&gt;&lt;author&gt;Fajvan, Mary Ann&lt;/author&gt;&lt;author&gt;Wood, John M.&lt;/author&gt;&lt;/authors&gt;&lt;/contributors&gt;&lt;titles&gt;&lt;title&gt;Stand structure and development after gypsy moth defoliation in the Appalachian Plateau&lt;/title&gt;&lt;secondary-title&gt;Forest Ecology and Management&lt;/secondary-title&gt;&lt;/titles&gt;&lt;periodical&gt;&lt;full-title&gt;Forest Ecology and Management&lt;/full-title&gt;&lt;abbr-1&gt;For. Ecol. Manage.&lt;/abbr-1&gt;&lt;/periodical&gt;&lt;pages&gt;79-88&lt;/pages&gt;&lt;volume&gt;89&lt;/volume&gt;&lt;number&gt;1-3&lt;/number&gt;&lt;keywords&gt;&lt;keyword&gt;Minor disturbance&lt;/keyword&gt;&lt;keyword&gt;Stand development&lt;/keyword&gt;&lt;keyword&gt;Oak regeneration&lt;/keyword&gt;&lt;/keywords&gt;&lt;dates&gt;&lt;year&gt;1996&lt;/year&gt;&lt;/dates&gt;&lt;isbn&gt;0378-1127&lt;/isbn&gt;&lt;urls&gt;&lt;related-urls&gt;&lt;url&gt;http://www.sciencedirect.com/science/article/B6T6X-3W31BNG-16/2/3d7643009c872de7420b992bca69a0bc&lt;/url&gt;&lt;/related-urls&gt;&lt;/urls&gt;&lt;electronic-resource-num&gt;Doi: 10.1016/s0378-1127(96)03865-0&lt;/electronic-resource-num&gt;&lt;/record&gt;&lt;/Cite&gt;&lt;/EndNote&gt;</w:instrText>
      </w:r>
      <w:r w:rsidR="00FC3844">
        <w:rPr>
          <w:rFonts w:cs="Calibri"/>
        </w:rPr>
        <w:fldChar w:fldCharType="separate"/>
      </w:r>
      <w:r w:rsidR="00FC3844">
        <w:rPr>
          <w:rFonts w:cs="Calibri"/>
          <w:noProof/>
        </w:rPr>
        <w:t>(</w:t>
      </w:r>
      <w:hyperlink w:anchor="_ENREF_52" w:tooltip="Fajvan, 1996 #305" w:history="1">
        <w:r w:rsidR="001E4C88">
          <w:rPr>
            <w:rFonts w:cs="Calibri"/>
            <w:noProof/>
          </w:rPr>
          <w:t>Fajvan and Wood 1996</w:t>
        </w:r>
      </w:hyperlink>
      <w:r w:rsidR="00FC3844">
        <w:rPr>
          <w:rFonts w:cs="Calibri"/>
          <w:noProof/>
        </w:rPr>
        <w:t>)</w:t>
      </w:r>
      <w:r w:rsidR="00FC3844">
        <w:rPr>
          <w:rFonts w:cs="Calibri"/>
        </w:rPr>
        <w:fldChar w:fldCharType="end"/>
      </w:r>
      <w:r w:rsidR="00F45412">
        <w:rPr>
          <w:rFonts w:cs="Calibri"/>
        </w:rPr>
        <w:t>.</w:t>
      </w:r>
      <w:r w:rsidRPr="00A75CC6">
        <w:t xml:space="preserve"> </w:t>
      </w:r>
      <w:r>
        <w:t xml:space="preserve">  H</w:t>
      </w:r>
      <w:r w:rsidRPr="0077200E">
        <w:t xml:space="preserve">owever, low-DL harvests can heavily reduce stocking, allowing the successful regeneration of </w:t>
      </w:r>
      <w:r w:rsidR="00701B22">
        <w:t xml:space="preserve">well-formed </w:t>
      </w:r>
      <w:r w:rsidRPr="0077200E">
        <w:t>less shade-tolerant s</w:t>
      </w:r>
      <w:r w:rsidR="00FC3844">
        <w:t xml:space="preserve">pecies that are more desirable </w:t>
      </w:r>
      <w:r w:rsidR="00FC3844">
        <w:fldChar w:fldCharType="begin"/>
      </w:r>
      <w:r w:rsidR="00CE2DF2">
        <w:instrText xml:space="preserve"> ADDIN EN.CITE &lt;EndNote&gt;&lt;Cite&gt;&lt;Author&gt;SMITH&lt;/Author&gt;&lt;Year&gt;1977&lt;/Year&gt;&lt;RecNum&gt;306&lt;/RecNum&gt;&lt;DisplayText&gt;(Smith and Lamson 1977; Fajvan 2006)&lt;/DisplayText&gt;&lt;record&gt;&lt;rec-number&gt;306&lt;/rec-number&gt;&lt;foreign-keys&gt;&lt;key app="EN" db-id="a90s5zadewrawxeer07v2f90xr5vxv022sat"&gt;306&lt;/key&gt;&lt;/foreign-keys&gt;&lt;ref-type name="Report"&gt;27&lt;/ref-type&gt;&lt;contributors&gt;&lt;authors&gt;&lt;author&gt;Smith, H.C.&lt;/author&gt;&lt;author&gt;N.I.  Lamson&lt;/author&gt;&lt;/authors&gt;&lt;/contributors&gt;&lt;titles&gt;&lt;title&gt;Stand Development 25 Years after a 9.0-inch Diameter-Limit First Cutting In Appalachian Hardwoods. Res. Pap. NE-379. Upper Darby, PA: U.S. Department of Agriculture, Forest Service, Northeastern Forest Experiment Station. 4p&lt;/title&gt;&lt;/titles&gt;&lt;dates&gt;&lt;year&gt;1977&lt;/year&gt;&lt;/dates&gt;&lt;urls&gt;&lt;/urls&gt;&lt;/record&gt;&lt;/Cite&gt;&lt;Cite&gt;&lt;Author&gt;Fajvan&lt;/Author&gt;&lt;Year&gt;2006&lt;/Year&gt;&lt;RecNum&gt;307&lt;/RecNum&gt;&lt;record&gt;&lt;rec-number&gt;307&lt;/rec-number&gt;&lt;foreign-keys&gt;&lt;key app="EN" db-id="a90s5zadewrawxeer07v2f90xr5vxv022sat"&gt;307&lt;/key&gt;&lt;/foreign-keys&gt;&lt;ref-type name="Conference Paper"&gt;47&lt;/ref-type&gt;&lt;contributors&gt;&lt;authors&gt;&lt;author&gt;Fajvan, Mary Ann&lt;/author&gt;&lt;/authors&gt;&lt;/contributors&gt;&lt;titles&gt;&lt;title&gt;Research on Diameter-Limit Cutting in Central Appalachian Forests. In: Kenefic, Laura S.; Nyland, Ralph D. eds. Proceedings of the conference on diameter-limit cutting in northeastern forests; 2005 May 23-24; Amherst, MA. Gen. Tech. Rep. NE-342. Newtown Square, PA: U.S. Forest Service: 32-38&lt;/title&gt;&lt;/titles&gt;&lt;dates&gt;&lt;year&gt;2006&lt;/year&gt;&lt;/dates&gt;&lt;urls&gt;&lt;related-urls&gt;&lt;url&gt;http://nrs.fs.fed.us/pubs/8050&lt;/url&gt;&lt;/related-urls&gt;&lt;/urls&gt;&lt;/record&gt;&lt;/Cite&gt;&lt;/EndNote&gt;</w:instrText>
      </w:r>
      <w:r w:rsidR="00FC3844">
        <w:fldChar w:fldCharType="separate"/>
      </w:r>
      <w:r w:rsidR="00CE2DF2">
        <w:rPr>
          <w:noProof/>
        </w:rPr>
        <w:t>(</w:t>
      </w:r>
      <w:hyperlink w:anchor="_ENREF_125" w:tooltip="Smith, 1977 #306" w:history="1">
        <w:r w:rsidR="001E4C88">
          <w:rPr>
            <w:noProof/>
          </w:rPr>
          <w:t>Smith and Lamson 1977</w:t>
        </w:r>
      </w:hyperlink>
      <w:r w:rsidR="00CE2DF2">
        <w:rPr>
          <w:noProof/>
        </w:rPr>
        <w:t xml:space="preserve">; </w:t>
      </w:r>
      <w:hyperlink w:anchor="_ENREF_49" w:tooltip="Fajvan, 2006 #307" w:history="1">
        <w:r w:rsidR="001E4C88">
          <w:rPr>
            <w:noProof/>
          </w:rPr>
          <w:t>Fajvan 2006</w:t>
        </w:r>
      </w:hyperlink>
      <w:r w:rsidR="00CE2DF2">
        <w:rPr>
          <w:noProof/>
        </w:rPr>
        <w:t>)</w:t>
      </w:r>
      <w:r w:rsidR="00FC3844">
        <w:fldChar w:fldCharType="end"/>
      </w:r>
      <w:r w:rsidRPr="0077200E">
        <w:t>.  While these intolerants out</w:t>
      </w:r>
      <w:r w:rsidR="003058F1">
        <w:t>-</w:t>
      </w:r>
      <w:r w:rsidRPr="0077200E">
        <w:t>compete their more tolerant neighbors outside of resi</w:t>
      </w:r>
      <w:r w:rsidR="00B42ED4">
        <w:t xml:space="preserve">dual tree shade, </w:t>
      </w:r>
      <w:r w:rsidRPr="0077200E">
        <w:t xml:space="preserve">the </w:t>
      </w:r>
      <w:r w:rsidR="00B42ED4">
        <w:t>tolerant</w:t>
      </w:r>
      <w:r w:rsidR="00BB39C1">
        <w:t xml:space="preserve"> and</w:t>
      </w:r>
      <w:r w:rsidR="00B42ED4">
        <w:t xml:space="preserve"> </w:t>
      </w:r>
      <w:r w:rsidRPr="00E802CD">
        <w:t>pervasive map</w:t>
      </w:r>
      <w:r w:rsidR="00B42ED4" w:rsidRPr="00E802CD">
        <w:t>le population in the understory makes less tolerant species more scarce, especially oaks</w:t>
      </w:r>
      <w:r w:rsidR="00F44D39">
        <w:t xml:space="preserve"> </w:t>
      </w:r>
      <w:r w:rsidR="007C777B">
        <w:fldChar w:fldCharType="begin"/>
      </w:r>
      <w:r w:rsidR="007C777B">
        <w:instrText xml:space="preserve"> ADDIN EN.CITE &lt;EndNote&gt;&lt;Cite&gt;&lt;Author&gt;Fajvan&lt;/Author&gt;&lt;Year&gt;2006&lt;/Year&gt;&lt;RecNum&gt;307&lt;/RecNum&gt;&lt;DisplayText&gt;(Fajvan 2006)&lt;/DisplayText&gt;&lt;record&gt;&lt;rec-number&gt;307&lt;/rec-number&gt;&lt;foreign-keys&gt;&lt;key app="EN" db-id="a90s5zadewrawxeer07v2f90xr5vxv022sat"&gt;307&lt;/key&gt;&lt;/foreign-keys&gt;&lt;ref-type name="Conference Paper"&gt;47&lt;/ref-type&gt;&lt;contributors&gt;&lt;authors&gt;&lt;author&gt;Fajvan, Mary Ann&lt;/author&gt;&lt;/authors&gt;&lt;/contributors&gt;&lt;titles&gt;&lt;title&gt;Research on Diameter-Limit Cutting in Central Appalachian Forests. In: Kenefic, Laura S.; Nyland, Ralph D. eds. Proceedings of the conference on diameter-limit cutting in northeastern forests; 2005 May 23-24; Amherst, MA. Gen. Tech. Rep. NE-342. Newtown Square, PA: U.S. Forest Service: 32-38&lt;/title&gt;&lt;/titles&gt;&lt;dates&gt;&lt;year&gt;2006&lt;/year&gt;&lt;/dates&gt;&lt;urls&gt;&lt;related-urls&gt;&lt;url&gt;http://nrs.fs.fed.us/pubs/8050&lt;/url&gt;&lt;/related-urls&gt;&lt;/urls&gt;&lt;/record&gt;&lt;/Cite&gt;&lt;/EndNote&gt;</w:instrText>
      </w:r>
      <w:r w:rsidR="007C777B">
        <w:fldChar w:fldCharType="separate"/>
      </w:r>
      <w:r w:rsidR="007C777B">
        <w:rPr>
          <w:noProof/>
        </w:rPr>
        <w:t>(</w:t>
      </w:r>
      <w:hyperlink w:anchor="_ENREF_49" w:tooltip="Fajvan, 2006 #307" w:history="1">
        <w:r w:rsidR="001E4C88">
          <w:rPr>
            <w:noProof/>
          </w:rPr>
          <w:t>Fajvan 2006</w:t>
        </w:r>
      </w:hyperlink>
      <w:r w:rsidR="007C777B">
        <w:rPr>
          <w:noProof/>
        </w:rPr>
        <w:t>)</w:t>
      </w:r>
      <w:r w:rsidR="007C777B">
        <w:fldChar w:fldCharType="end"/>
      </w:r>
      <w:r w:rsidR="00182BDF" w:rsidRPr="00E802CD">
        <w:t>.</w:t>
      </w:r>
      <w:r w:rsidR="00182BDF">
        <w:rPr>
          <w:color w:val="FF0000"/>
        </w:rPr>
        <w:t xml:space="preserve">  </w:t>
      </w:r>
      <w:r w:rsidR="00020F9F" w:rsidRPr="00182BDF">
        <w:t xml:space="preserve">Such outcomes are by definition unsustainable </w:t>
      </w:r>
      <w:r w:rsidR="00020F9F" w:rsidRPr="00A44407">
        <w:t xml:space="preserve">according to </w:t>
      </w:r>
      <w:r w:rsidR="00020F9F" w:rsidRPr="00A44407">
        <w:rPr>
          <w:rFonts w:cs="Calibri"/>
        </w:rPr>
        <w:t xml:space="preserve">the Montréal Process Criteria and Indicators </w:t>
      </w:r>
      <w:r w:rsidR="00DF1366">
        <w:rPr>
          <w:rFonts w:cs="Calibri"/>
        </w:rPr>
        <w:fldChar w:fldCharType="begin"/>
      </w:r>
      <w:r w:rsidR="00DF1366">
        <w:rPr>
          <w:rFonts w:cs="Calibri"/>
        </w:rPr>
        <w:instrText xml:space="preserve"> ADDIN EN.CITE &lt;EndNote&gt;&lt;Cite ExcludeAuth="1"&gt;&lt;Year&gt;Montréal Process Working Group 2009&lt;/Year&gt;&lt;RecNum&gt;245&lt;/RecNum&gt;&lt;DisplayText&gt;(Montréal Process Working Group 2009)&lt;/DisplayText&gt;&lt;record&gt;&lt;rec-number&gt;245&lt;/rec-number&gt;&lt;foreign-keys&gt;&lt;key app="EN" db-id="a90s5zadewrawxeer07v2f90xr5vxv022sat"&gt;245&lt;/key&gt;&lt;/foreign-keys&gt;&lt;ref-type name="Standard"&gt;58&lt;/ref-type&gt;&lt;contributors&gt;&lt;/contributors&gt;&lt;titles&gt;&lt;title&gt;Criteria and Indicators for the Conservation and Sustainable Management of Temperate and Boreal Forests, 4th Edition. 29p&lt;/title&gt;&lt;/titles&gt;&lt;dates&gt;&lt;year&gt;Montréal Process Working Group 2009&lt;/year&gt;&lt;/dates&gt;&lt;urls&gt;&lt;/urls&gt;&lt;/record&gt;&lt;/Cite&gt;&lt;/EndNote&gt;</w:instrText>
      </w:r>
      <w:r w:rsidR="00DF1366">
        <w:rPr>
          <w:rFonts w:cs="Calibri"/>
        </w:rPr>
        <w:fldChar w:fldCharType="separate"/>
      </w:r>
      <w:r w:rsidR="00DF1366">
        <w:rPr>
          <w:rFonts w:cs="Calibri"/>
          <w:noProof/>
        </w:rPr>
        <w:t>(</w:t>
      </w:r>
      <w:hyperlink w:anchor="_ENREF_7" w:tooltip=", Montréal Process Working Group 2009 #245" w:history="1">
        <w:r w:rsidR="001E4C88">
          <w:rPr>
            <w:rFonts w:cs="Calibri"/>
            <w:noProof/>
          </w:rPr>
          <w:t>Montréal Process Working Group 2009</w:t>
        </w:r>
      </w:hyperlink>
      <w:r w:rsidR="00DF1366">
        <w:rPr>
          <w:rFonts w:cs="Calibri"/>
          <w:noProof/>
        </w:rPr>
        <w:t>)</w:t>
      </w:r>
      <w:r w:rsidR="00DF1366">
        <w:rPr>
          <w:rFonts w:cs="Calibri"/>
        </w:rPr>
        <w:fldChar w:fldCharType="end"/>
      </w:r>
      <w:r w:rsidR="00020F9F" w:rsidRPr="00A44407">
        <w:rPr>
          <w:rFonts w:cs="Calibri"/>
        </w:rPr>
        <w:t>.</w:t>
      </w:r>
      <w:r w:rsidR="00020F9F" w:rsidRPr="003E36D0">
        <w:rPr>
          <w:rFonts w:cs="Calibri"/>
        </w:rPr>
        <w:t xml:space="preserve"> </w:t>
      </w:r>
      <w:r w:rsidR="00020F9F">
        <w:rPr>
          <w:rFonts w:cs="Calibri"/>
        </w:rPr>
        <w:t xml:space="preserve"> Indeed, i</w:t>
      </w:r>
      <w:r w:rsidR="00020F9F" w:rsidRPr="003E36D0">
        <w:rPr>
          <w:rFonts w:cs="Calibri"/>
        </w:rPr>
        <w:t xml:space="preserve">f oak abundance declines </w:t>
      </w:r>
      <w:r w:rsidR="00020F9F">
        <w:rPr>
          <w:rFonts w:cs="Calibri"/>
        </w:rPr>
        <w:t>by</w:t>
      </w:r>
      <w:r w:rsidR="00020F9F" w:rsidRPr="003E36D0">
        <w:rPr>
          <w:rFonts w:cs="Calibri"/>
        </w:rPr>
        <w:t xml:space="preserve"> a significant extent, wildlife communities throughout the eastern forest region and especially in Southern Appalachia will be profoundly</w:t>
      </w:r>
      <w:r w:rsidR="00461ED5">
        <w:rPr>
          <w:rFonts w:cs="Calibri"/>
        </w:rPr>
        <w:t xml:space="preserve"> and adversely</w:t>
      </w:r>
      <w:r w:rsidR="00020F9F" w:rsidRPr="003E36D0">
        <w:rPr>
          <w:rFonts w:cs="Calibri"/>
        </w:rPr>
        <w:t xml:space="preserve"> impacted </w:t>
      </w:r>
      <w:r w:rsidR="00020F9F">
        <w:rPr>
          <w:rFonts w:cs="Calibri"/>
        </w:rPr>
        <w:fldChar w:fldCharType="begin"/>
      </w:r>
      <w:r w:rsidR="00083723">
        <w:rPr>
          <w:rFonts w:cs="Calibri"/>
        </w:rPr>
        <w:instrText xml:space="preserve"> ADDIN EN.CITE &lt;EndNote&gt;&lt;Cite&gt;&lt;Author&gt;McShea&lt;/Author&gt;&lt;Year&gt;2007&lt;/Year&gt;&lt;RecNum&gt;299&lt;/RecNum&gt;&lt;DisplayText&gt;(Mcshea et al. 2007)&lt;/DisplayText&gt;&lt;record&gt;&lt;rec-number&gt;299&lt;/rec-number&gt;&lt;foreign-keys&gt;&lt;key app="EN" db-id="a90s5zadewrawxeer07v2f90xr5vxv022sat"&gt;299&lt;/key&gt;&lt;/foreign-keys&gt;&lt;ref-type name="Journal Article"&gt;17&lt;/ref-type&gt;&lt;contributors&gt;&lt;authors&gt;&lt;author&gt;McShea, William&lt;/author&gt;&lt;author&gt;Healy, W. M.&lt;/author&gt;&lt;author&gt;Devers, P.&lt;/author&gt;&lt;author&gt;Fearer, T.&lt;/author&gt;&lt;author&gt;Koch, F. H.&lt;/author&gt;&lt;author&gt;Stauffer, D.&lt;/author&gt;&lt;author&gt;Waldon, J.&lt;/author&gt;&lt;/authors&gt;&lt;/contributors&gt;&lt;titles&gt;&lt;title&gt;Forestry matters: decline of oaks will impact wildlife in hardwood forests&lt;/title&gt;&lt;secondary-title&gt;Journal of Wildlife Management&lt;/secondary-title&gt;&lt;/titles&gt;&lt;periodical&gt;&lt;full-title&gt;Journal of Wildlife Management&lt;/full-title&gt;&lt;abbr-1&gt;J. Wildl. Manage.&lt;/abbr-1&gt;&lt;/periodical&gt;&lt;pages&gt;1717-1728&lt;/pages&gt;&lt;volume&gt;71&lt;/volume&gt;&lt;number&gt;5&lt;/number&gt;&lt;dates&gt;&lt;year&gt;2007&lt;/year&gt;&lt;/dates&gt;&lt;urls&gt;&lt;related-urls&gt;&lt;url&gt;http://si-pddr.si.edu/jspui/bitstream/10088/6029/1/2F31FAD1-5D7E-49B8-8624-575FF5E4D61C.pdf&lt;/url&gt;&lt;/related-urls&gt;&lt;/urls&gt;&lt;/record&gt;&lt;/Cite&gt;&lt;/EndNote&gt;</w:instrText>
      </w:r>
      <w:r w:rsidR="00020F9F">
        <w:rPr>
          <w:rFonts w:cs="Calibri"/>
        </w:rPr>
        <w:fldChar w:fldCharType="separate"/>
      </w:r>
      <w:r w:rsidR="00083723">
        <w:rPr>
          <w:rFonts w:cs="Calibri"/>
          <w:noProof/>
        </w:rPr>
        <w:t>(</w:t>
      </w:r>
      <w:hyperlink w:anchor="_ENREF_91" w:tooltip="McShea, 2007 #299" w:history="1">
        <w:r w:rsidR="001E4C88">
          <w:rPr>
            <w:rFonts w:cs="Calibri"/>
            <w:noProof/>
          </w:rPr>
          <w:t>Mcshea et al. 2007</w:t>
        </w:r>
      </w:hyperlink>
      <w:r w:rsidR="00083723">
        <w:rPr>
          <w:rFonts w:cs="Calibri"/>
          <w:noProof/>
        </w:rPr>
        <w:t>)</w:t>
      </w:r>
      <w:r w:rsidR="00020F9F">
        <w:rPr>
          <w:rFonts w:cs="Calibri"/>
        </w:rPr>
        <w:fldChar w:fldCharType="end"/>
      </w:r>
      <w:r w:rsidR="00020F9F" w:rsidRPr="003E36D0">
        <w:rPr>
          <w:rFonts w:cs="Calibri"/>
        </w:rPr>
        <w:t>.</w:t>
      </w:r>
    </w:p>
    <w:p w:rsidR="00CD73D1" w:rsidRDefault="00F61AF1" w:rsidP="00B661F6">
      <w:pPr>
        <w:autoSpaceDE w:val="0"/>
        <w:autoSpaceDN w:val="0"/>
        <w:adjustRightInd w:val="0"/>
        <w:spacing w:line="480" w:lineRule="auto"/>
        <w:ind w:firstLine="720"/>
        <w:rPr>
          <w:rFonts w:cs="Calibri"/>
        </w:rPr>
      </w:pPr>
      <w:r w:rsidRPr="00BE2F0D">
        <w:rPr>
          <w:rFonts w:cs="Calibri"/>
        </w:rPr>
        <w:t>Absent</w:t>
      </w:r>
      <w:r w:rsidR="00340993" w:rsidRPr="00BE2F0D">
        <w:rPr>
          <w:rFonts w:cs="Calibri"/>
        </w:rPr>
        <w:t xml:space="preserve"> </w:t>
      </w:r>
      <w:r w:rsidR="008E751F" w:rsidRPr="00BE2F0D">
        <w:rPr>
          <w:rFonts w:cs="Calibri"/>
        </w:rPr>
        <w:t xml:space="preserve">management and </w:t>
      </w:r>
      <w:r w:rsidR="00F02A84" w:rsidRPr="00BE2F0D">
        <w:rPr>
          <w:rFonts w:cs="Calibri"/>
        </w:rPr>
        <w:t>low intensity</w:t>
      </w:r>
      <w:r w:rsidR="008E751F" w:rsidRPr="00BE2F0D">
        <w:rPr>
          <w:rFonts w:cs="Calibri"/>
        </w:rPr>
        <w:t xml:space="preserve"> wildfire</w:t>
      </w:r>
      <w:r w:rsidR="00CD78FD" w:rsidRPr="00BE2F0D">
        <w:rPr>
          <w:rFonts w:cs="Calibri"/>
        </w:rPr>
        <w:t xml:space="preserve"> in these forests</w:t>
      </w:r>
      <w:r w:rsidR="00340993" w:rsidRPr="00BE2F0D">
        <w:rPr>
          <w:rFonts w:cs="Calibri"/>
        </w:rPr>
        <w:t xml:space="preserve">, </w:t>
      </w:r>
      <w:r w:rsidR="008E751F" w:rsidRPr="00BE2F0D">
        <w:rPr>
          <w:rFonts w:cs="Calibri"/>
        </w:rPr>
        <w:t xml:space="preserve">species diversity </w:t>
      </w:r>
      <w:r w:rsidR="00E52604" w:rsidRPr="00BE2F0D">
        <w:rPr>
          <w:rFonts w:cs="Calibri"/>
        </w:rPr>
        <w:t>also</w:t>
      </w:r>
      <w:r w:rsidR="008E751F" w:rsidRPr="00BE2F0D">
        <w:rPr>
          <w:rFonts w:cs="Calibri"/>
        </w:rPr>
        <w:t xml:space="preserve"> regresses</w:t>
      </w:r>
      <w:r w:rsidR="008E751F">
        <w:rPr>
          <w:rFonts w:cs="Calibri"/>
        </w:rPr>
        <w:t xml:space="preserve"> </w:t>
      </w:r>
      <w:r w:rsidR="007E70BA" w:rsidRPr="007E70BA">
        <w:rPr>
          <w:rFonts w:cs="Calibri"/>
        </w:rPr>
        <w:fldChar w:fldCharType="begin"/>
      </w:r>
      <w:r w:rsidR="00E11FF6">
        <w:rPr>
          <w:rFonts w:cs="Calibri"/>
        </w:rPr>
        <w:instrText xml:space="preserve"> ADDIN EN.CITE &lt;EndNote&gt;&lt;Cite&gt;&lt;Author&gt;Schuler&lt;/Author&gt;&lt;Year&gt;2004&lt;/Year&gt;&lt;RecNum&gt;218&lt;/RecNum&gt;&lt;DisplayText&gt;(Schuler 2004; Clark et al. 2007)&lt;/DisplayText&gt;&lt;record&gt;&lt;rec-number&gt;218&lt;/rec-number&gt;&lt;foreign-keys&gt;&lt;key app="EN" db-id="a90s5zadewrawxeer07v2f90xr5vxv022sat"&gt;218&lt;/key&gt;&lt;/foreign-keys&gt;&lt;ref-type name="Journal Article"&gt;17&lt;/ref-type&gt;&lt;contributors&gt;&lt;authors&gt;&lt;author&gt;Schuler, T.M.&lt;/author&gt;&lt;/authors&gt;&lt;/contributors&gt;&lt;titles&gt;&lt;title&gt;Fifty years of partial harvesting in a mixed mesophytic forest: composition and productivity&lt;/title&gt;&lt;secondary-title&gt;Canadian Journal of Forest Research&lt;/secondary-title&gt;&lt;/titles&gt;&lt;periodical&gt;&lt;full-title&gt;Canadian Journal of Forest Research&lt;/full-title&gt;&lt;/periodical&gt;&lt;pages&gt;985-997&lt;/pages&gt;&lt;volume&gt;34&lt;/volume&gt;&lt;dates&gt;&lt;year&gt;2004&lt;/year&gt;&lt;/dates&gt;&lt;urls&gt;&lt;related-urls&gt;&lt;url&gt;http://www.treesearch.fs.fed.us/pubs/7944&lt;/url&gt;&lt;/related-urls&gt;&lt;/urls&gt;&lt;/record&gt;&lt;/Cite&gt;&lt;Cite&gt;&lt;Author&gt;Clark&lt;/Author&gt;&lt;Year&gt;2007&lt;/Year&gt;&lt;RecNum&gt;222&lt;/RecNum&gt;&lt;record&gt;&lt;rec-number&gt;222&lt;/rec-number&gt;&lt;foreign-keys&gt;&lt;key app="EN" db-id="a90s5zadewrawxeer07v2f90xr5vxv022sat"&gt;222&lt;/key&gt;&lt;/foreign-keys&gt;&lt;ref-type name="Report"&gt;27&lt;/ref-type&gt;&lt;contributors&gt;&lt;authors&gt;&lt;author&gt;Clark, Stacy L.&lt;/author&gt;&lt;author&gt;Torreano, Scott J.&lt;/author&gt;&lt;author&gt;Loftis, David L.&lt;/author&gt;&lt;author&gt;Dimov, Luben D.&lt;/author&gt;&lt;/authors&gt;&lt;/contributors&gt;&lt;titles&gt;&lt;title&gt;Twenty-two year changes in regeneration potential in an old-growth Quercus forest in the Mid-Cumberland plateau, Tennessee. In: Buckley, D.S.; Clatterbuck, W.K., eds. Proceedings, 15th central hardwood forest conference. E-Gen. Tech. Rep. SRS-101. U.S. Department of Agriculture, Forest Service, Southern Research Station: 286-294. [CDROM]&lt;/title&gt;&lt;/titles&gt;&lt;dates&gt;&lt;year&gt;2007&lt;/year&gt;&lt;/dates&gt;&lt;urls&gt;&lt;related-urls&gt;&lt;url&gt;http://www.treesearch.fs.fed.us/pubs/29221&lt;/url&gt;&lt;/related-urls&gt;&lt;/urls&gt;&lt;/record&gt;&lt;/Cite&gt;&lt;/EndNote&gt;</w:instrText>
      </w:r>
      <w:r w:rsidR="007E70BA" w:rsidRPr="007E70BA">
        <w:rPr>
          <w:rFonts w:cs="Calibri"/>
        </w:rPr>
        <w:fldChar w:fldCharType="separate"/>
      </w:r>
      <w:r w:rsidR="00E11FF6">
        <w:rPr>
          <w:rFonts w:cs="Calibri"/>
          <w:noProof/>
        </w:rPr>
        <w:t>(</w:t>
      </w:r>
      <w:hyperlink w:anchor="_ENREF_118" w:tooltip="Schuler, 2004 #218" w:history="1">
        <w:r w:rsidR="001E4C88">
          <w:rPr>
            <w:rFonts w:cs="Calibri"/>
            <w:noProof/>
          </w:rPr>
          <w:t>Schuler 2004</w:t>
        </w:r>
      </w:hyperlink>
      <w:r w:rsidR="00E11FF6">
        <w:rPr>
          <w:rFonts w:cs="Calibri"/>
          <w:noProof/>
        </w:rPr>
        <w:t xml:space="preserve">; </w:t>
      </w:r>
      <w:hyperlink w:anchor="_ENREF_39" w:tooltip="Clark, 2007 #222" w:history="1">
        <w:r w:rsidR="001E4C88" w:rsidRPr="00BE2F0D">
          <w:rPr>
            <w:rFonts w:cs="Calibri"/>
            <w:noProof/>
          </w:rPr>
          <w:t>Clark et al. 2007</w:t>
        </w:r>
      </w:hyperlink>
      <w:r w:rsidR="00E11FF6" w:rsidRPr="00BE2F0D">
        <w:rPr>
          <w:rFonts w:cs="Calibri"/>
          <w:noProof/>
        </w:rPr>
        <w:t>)</w:t>
      </w:r>
      <w:r w:rsidR="007E70BA" w:rsidRPr="007E70BA">
        <w:rPr>
          <w:rFonts w:cs="Calibri"/>
        </w:rPr>
        <w:fldChar w:fldCharType="end"/>
      </w:r>
      <w:r w:rsidR="006B751C">
        <w:rPr>
          <w:rFonts w:cs="Calibri"/>
        </w:rPr>
        <w:t xml:space="preserve"> and red oak species </w:t>
      </w:r>
      <w:r w:rsidR="00E52604">
        <w:rPr>
          <w:rFonts w:cs="Calibri"/>
        </w:rPr>
        <w:t>become</w:t>
      </w:r>
      <w:r w:rsidR="006B751C">
        <w:rPr>
          <w:rFonts w:cs="Calibri"/>
        </w:rPr>
        <w:t xml:space="preserve"> increasingly vulnerable to </w:t>
      </w:r>
      <w:r w:rsidR="00605CCA">
        <w:rPr>
          <w:rFonts w:cs="Calibri"/>
        </w:rPr>
        <w:t>“</w:t>
      </w:r>
      <w:r w:rsidR="006B751C">
        <w:rPr>
          <w:rFonts w:cs="Calibri"/>
        </w:rPr>
        <w:t xml:space="preserve">Oak </w:t>
      </w:r>
      <w:r w:rsidR="00605CCA">
        <w:rPr>
          <w:rFonts w:cs="Calibri"/>
        </w:rPr>
        <w:t>decline”</w:t>
      </w:r>
      <w:r w:rsidR="00F02A84">
        <w:rPr>
          <w:rFonts w:cs="Calibri"/>
        </w:rPr>
        <w:t xml:space="preserve"> </w:t>
      </w:r>
      <w:r w:rsidR="00F02A84">
        <w:rPr>
          <w:rFonts w:cs="Calibri"/>
        </w:rPr>
        <w:fldChar w:fldCharType="begin"/>
      </w:r>
      <w:r w:rsidR="00A87D07">
        <w:rPr>
          <w:rFonts w:cs="Calibri"/>
        </w:rPr>
        <w:instrText xml:space="preserve"> ADDIN EN.CITE &lt;EndNote&gt;&lt;Cite&gt;&lt;Author&gt;Shifley&lt;/Author&gt;&lt;Year&gt;2006&lt;/Year&gt;&lt;RecNum&gt;223&lt;/RecNum&gt;&lt;DisplayText&gt;(Shifley et al. 2006)&lt;/DisplayText&gt;&lt;record&gt;&lt;rec-number&gt;223&lt;/rec-number&gt;&lt;foreign-keys&gt;&lt;key app="EN" db-id="a90s5zadewrawxeer07v2f90xr5vxv022sat"&gt;223&lt;/key&gt;&lt;/foreign-keys&gt;&lt;ref-type name="Journal Article"&gt;17&lt;/ref-type&gt;&lt;contributors&gt;&lt;authors&gt;&lt;author&gt;Shifley, Stephen R.&lt;/author&gt;&lt;author&gt;Fan, Zhaofei&lt;/author&gt;&lt;author&gt;Kabrick, John M.&lt;/author&gt;&lt;author&gt;Jensen, Randy G. &lt;/author&gt;&lt;/authors&gt;&lt;/contributors&gt;&lt;titles&gt;&lt;title&gt;Oak mortality risk factors and mortality estimation&lt;/title&gt;&lt;secondary-title&gt;Forest Ecology and Management&lt;/secondary-title&gt;&lt;/titles&gt;&lt;periodical&gt;&lt;full-title&gt;Forest Ecology and Management&lt;/full-title&gt;&lt;abbr-1&gt;For. Ecol. Manage.&lt;/abbr-1&gt;&lt;/periodical&gt;&lt;pages&gt;16-26&lt;/pages&gt;&lt;volume&gt;229&lt;/volume&gt;&lt;dates&gt;&lt;year&gt;2006&lt;/year&gt;&lt;/dates&gt;&lt;urls&gt;&lt;related-urls&gt;&lt;url&gt;http://www.ncrs.fs.fed.us/pubs/viewpub.asp?key=5689&lt;/url&gt;&lt;/related-urls&gt;&lt;/urls&gt;&lt;/record&gt;&lt;/Cite&gt;&lt;/EndNote&gt;</w:instrText>
      </w:r>
      <w:r w:rsidR="00F02A84">
        <w:rPr>
          <w:rFonts w:cs="Calibri"/>
        </w:rPr>
        <w:fldChar w:fldCharType="separate"/>
      </w:r>
      <w:r w:rsidR="00A87D07">
        <w:rPr>
          <w:rFonts w:cs="Calibri"/>
          <w:noProof/>
        </w:rPr>
        <w:t>(</w:t>
      </w:r>
      <w:hyperlink w:anchor="_ENREF_121" w:tooltip="Shifley, 2006 #223" w:history="1">
        <w:r w:rsidR="001E4C88">
          <w:rPr>
            <w:rFonts w:cs="Calibri"/>
            <w:noProof/>
          </w:rPr>
          <w:t>Shifley et al. 2006</w:t>
        </w:r>
      </w:hyperlink>
      <w:r w:rsidR="00A87D07">
        <w:rPr>
          <w:rFonts w:cs="Calibri"/>
          <w:noProof/>
        </w:rPr>
        <w:t>)</w:t>
      </w:r>
      <w:r w:rsidR="00F02A84">
        <w:rPr>
          <w:rFonts w:cs="Calibri"/>
        </w:rPr>
        <w:fldChar w:fldCharType="end"/>
      </w:r>
      <w:r w:rsidR="00F02A84">
        <w:rPr>
          <w:rFonts w:cs="Calibri"/>
        </w:rPr>
        <w:t xml:space="preserve">. </w:t>
      </w:r>
      <w:r w:rsidR="00FB7BFE">
        <w:rPr>
          <w:rFonts w:cs="Calibri"/>
        </w:rPr>
        <w:t xml:space="preserve"> </w:t>
      </w:r>
      <w:r w:rsidR="003E36D0">
        <w:rPr>
          <w:rFonts w:cs="Calibri"/>
        </w:rPr>
        <w:t>“</w:t>
      </w:r>
      <w:r w:rsidR="00605CCA">
        <w:rPr>
          <w:rFonts w:cs="Calibri"/>
        </w:rPr>
        <w:t xml:space="preserve">Oak </w:t>
      </w:r>
      <w:r w:rsidR="00813CC9">
        <w:rPr>
          <w:rFonts w:cs="Calibri"/>
        </w:rPr>
        <w:t>d</w:t>
      </w:r>
      <w:r w:rsidR="00605CCA">
        <w:rPr>
          <w:rFonts w:cs="Calibri"/>
        </w:rPr>
        <w:t>ecline</w:t>
      </w:r>
      <w:r w:rsidR="003E36D0">
        <w:rPr>
          <w:rFonts w:cs="Calibri"/>
        </w:rPr>
        <w:t>”</w:t>
      </w:r>
      <w:r w:rsidR="00605CCA">
        <w:rPr>
          <w:rFonts w:cs="Calibri"/>
        </w:rPr>
        <w:t xml:space="preserve"> refers </w:t>
      </w:r>
      <w:r w:rsidR="00FB7BFE">
        <w:rPr>
          <w:rFonts w:cs="Calibri"/>
        </w:rPr>
        <w:t xml:space="preserve">to </w:t>
      </w:r>
      <w:r w:rsidR="00A97740">
        <w:rPr>
          <w:rFonts w:cs="Calibri"/>
        </w:rPr>
        <w:t xml:space="preserve">usually </w:t>
      </w:r>
      <w:r w:rsidR="005D5176">
        <w:rPr>
          <w:rFonts w:cs="Calibri"/>
        </w:rPr>
        <w:t>clustered</w:t>
      </w:r>
      <w:r w:rsidR="00F02A84">
        <w:rPr>
          <w:rFonts w:cs="Calibri"/>
        </w:rPr>
        <w:t xml:space="preserve"> </w:t>
      </w:r>
      <w:r w:rsidR="00A97740">
        <w:rPr>
          <w:rFonts w:cs="Calibri"/>
        </w:rPr>
        <w:t xml:space="preserve">and relatively slow </w:t>
      </w:r>
      <w:r w:rsidR="00F02A84">
        <w:rPr>
          <w:rFonts w:cs="Calibri"/>
        </w:rPr>
        <w:t xml:space="preserve">mortality </w:t>
      </w:r>
      <w:r w:rsidR="00A97740">
        <w:rPr>
          <w:rFonts w:cs="Calibri"/>
        </w:rPr>
        <w:t xml:space="preserve">events </w:t>
      </w:r>
      <w:r w:rsidR="00F02A84">
        <w:rPr>
          <w:rFonts w:cs="Calibri"/>
        </w:rPr>
        <w:t>in aging hardwood forests brought on by a</w:t>
      </w:r>
      <w:r w:rsidR="00605CCA">
        <w:rPr>
          <w:rFonts w:cs="Calibri"/>
        </w:rPr>
        <w:t xml:space="preserve"> stress-induced </w:t>
      </w:r>
      <w:r w:rsidR="00F02A84">
        <w:rPr>
          <w:rFonts w:cs="Calibri"/>
        </w:rPr>
        <w:t xml:space="preserve">disease complex </w:t>
      </w:r>
      <w:r w:rsidR="0057413A">
        <w:rPr>
          <w:rFonts w:cs="Calibri"/>
        </w:rPr>
        <w:t>whose</w:t>
      </w:r>
      <w:r w:rsidR="00FB7BFE">
        <w:rPr>
          <w:rFonts w:cs="Calibri"/>
        </w:rPr>
        <w:t xml:space="preserve"> incidence</w:t>
      </w:r>
      <w:r w:rsidR="00F02A84">
        <w:rPr>
          <w:rFonts w:cs="Calibri"/>
        </w:rPr>
        <w:t xml:space="preserve"> is </w:t>
      </w:r>
      <w:r w:rsidR="0057413A">
        <w:rPr>
          <w:rFonts w:cs="Calibri"/>
        </w:rPr>
        <w:t>notably</w:t>
      </w:r>
      <w:r w:rsidR="00F02A84">
        <w:rPr>
          <w:rFonts w:cs="Calibri"/>
        </w:rPr>
        <w:t xml:space="preserve"> high in Southern Appalachia</w:t>
      </w:r>
      <w:r w:rsidR="00F02A84" w:rsidRPr="00F02A84">
        <w:rPr>
          <w:rFonts w:cs="Calibri"/>
        </w:rPr>
        <w:t xml:space="preserve"> </w:t>
      </w:r>
      <w:r w:rsidR="007C777B">
        <w:rPr>
          <w:rFonts w:cs="Calibri"/>
        </w:rPr>
        <w:fldChar w:fldCharType="begin"/>
      </w:r>
      <w:r w:rsidR="007C777B">
        <w:rPr>
          <w:rFonts w:cs="Calibri"/>
        </w:rPr>
        <w:instrText xml:space="preserve"> ADDIN EN.CITE &lt;EndNote&gt;&lt;Cite&gt;&lt;Author&gt;Oak&lt;/Author&gt;&lt;Year&gt;2004&lt;/Year&gt;&lt;RecNum&gt;308&lt;/RecNum&gt;&lt;DisplayText&gt;(Oak et al. 2004)&lt;/DisplayText&gt;&lt;record&gt;&lt;rec-number&gt;308&lt;/rec-number&gt;&lt;foreign-keys&gt;&lt;key app="EN" db-id="a90s5zadewrawxeer07v2f90xr5vxv022sat"&gt;308&lt;/key&gt;&lt;/foreign-keys&gt;&lt;ref-type name="Report"&gt;27&lt;/ref-type&gt;&lt;contributors&gt;&lt;authors&gt;&lt;author&gt;Oak, S.W.&lt;/author&gt;&lt;author&gt;Steinman, J.R.&lt;/author&gt;&lt;author&gt;Starkey, D.A.&lt;/author&gt;&lt;author&gt;Yockey, D.K.&lt;/author&gt;&lt;/authors&gt;&lt;/contributors&gt;&lt;titles&gt;&lt;title&gt;Assessing oak decline incidence and distribution in the southern U.S. using forest inventory and analysis data. Gen. Tech. Rep. SRS-73. Asheville, NC: U.S. Department of Agriculture, Forest Service, Southern Research Station. pp. 236-242&lt;/title&gt;&lt;/titles&gt;&lt;dates&gt;&lt;year&gt;2004&lt;/year&gt;&lt;/dates&gt;&lt;urls&gt;&lt;related-urls&gt;&lt;url&gt;http://www.treesearch.fs.fed.us/pubs/6552&lt;/url&gt;&lt;/related-urls&gt;&lt;/urls&gt;&lt;/record&gt;&lt;/Cite&gt;&lt;/EndNote&gt;</w:instrText>
      </w:r>
      <w:r w:rsidR="007C777B">
        <w:rPr>
          <w:rFonts w:cs="Calibri"/>
        </w:rPr>
        <w:fldChar w:fldCharType="separate"/>
      </w:r>
      <w:r w:rsidR="007C777B">
        <w:rPr>
          <w:rFonts w:cs="Calibri"/>
          <w:noProof/>
        </w:rPr>
        <w:t>(</w:t>
      </w:r>
      <w:hyperlink w:anchor="_ENREF_108" w:tooltip="Oak, 2004 #308" w:history="1">
        <w:r w:rsidR="001E4C88">
          <w:rPr>
            <w:rFonts w:cs="Calibri"/>
            <w:noProof/>
          </w:rPr>
          <w:t>Oak et al. 2004</w:t>
        </w:r>
      </w:hyperlink>
      <w:r w:rsidR="007C777B">
        <w:rPr>
          <w:rFonts w:cs="Calibri"/>
          <w:noProof/>
        </w:rPr>
        <w:t>)</w:t>
      </w:r>
      <w:r w:rsidR="007C777B">
        <w:rPr>
          <w:rFonts w:cs="Calibri"/>
        </w:rPr>
        <w:fldChar w:fldCharType="end"/>
      </w:r>
      <w:r w:rsidR="00F02A84">
        <w:rPr>
          <w:rFonts w:cs="Calibri"/>
        </w:rPr>
        <w:t>.</w:t>
      </w:r>
      <w:r w:rsidR="00605CCA">
        <w:rPr>
          <w:rFonts w:cs="Calibri"/>
        </w:rPr>
        <w:t xml:space="preserve">  </w:t>
      </w:r>
      <w:r w:rsidR="00B661F6">
        <w:rPr>
          <w:rFonts w:cs="Calibri"/>
        </w:rPr>
        <w:t xml:space="preserve">Moreover, the European gypsy moth invasion from northern states (where it was introduced) is expected to </w:t>
      </w:r>
      <w:r w:rsidR="007C777B">
        <w:rPr>
          <w:rFonts w:cs="Calibri"/>
        </w:rPr>
        <w:t>exacerbate the incidence of “oak decline”</w:t>
      </w:r>
      <w:r w:rsidR="00B661F6">
        <w:rPr>
          <w:rFonts w:cs="Calibri"/>
        </w:rPr>
        <w:t xml:space="preserve"> because oaks are its</w:t>
      </w:r>
      <w:r w:rsidR="00B661F6" w:rsidRPr="00B661F6">
        <w:rPr>
          <w:rFonts w:cs="Calibri"/>
        </w:rPr>
        <w:t xml:space="preserve"> pre</w:t>
      </w:r>
      <w:r w:rsidR="00B661F6">
        <w:rPr>
          <w:rFonts w:cs="Calibri"/>
        </w:rPr>
        <w:t>ferred food source</w:t>
      </w:r>
      <w:r w:rsidR="00A66D8F">
        <w:rPr>
          <w:rFonts w:cs="Calibri"/>
          <w:color w:val="FF0000"/>
        </w:rPr>
        <w:t xml:space="preserve"> </w:t>
      </w:r>
      <w:r w:rsidR="00A66D8F">
        <w:fldChar w:fldCharType="begin"/>
      </w:r>
      <w:r w:rsidR="00A87D07">
        <w:instrText xml:space="preserve"> ADDIN EN.CITE &lt;EndNote&gt;&lt;Cite&gt;&lt;Author&gt;Kauffman&lt;/Author&gt;&lt;Year&gt;2006&lt;/Year&gt;&lt;RecNum&gt;262&lt;/RecNum&gt;&lt;DisplayText&gt;(Kauffman and Clatterbuck 2006)&lt;/DisplayText&gt;&lt;record&gt;&lt;rec-number&gt;262&lt;/rec-number&gt;&lt;foreign-keys&gt;&lt;key app="EN" db-id="a90s5zadewrawxeer07v2f90xr5vxv022sat"&gt;262&lt;/key&gt;&lt;/foreign-keys&gt;&lt;ref-type name="Report"&gt;27&lt;/ref-type&gt;&lt;contributors&gt;&lt;authors&gt;&lt;author&gt;B.W. Kauffman&lt;/author&gt;&lt;author&gt;Clatterbuck, W.K.&lt;/author&gt;&lt;/authors&gt;&lt;secondary-authors&gt;&lt;author&gt;Jeff W. Stringer&lt;/author&gt;&lt;author&gt;Wayne K. Clatterbuck&lt;/author&gt;&lt;/secondary-authors&gt;&lt;/contributors&gt;&lt;titles&gt;&lt;title&gt;Forest management strategies to minimize the impact of gypsy moth&lt;/title&gt;&lt;secondary-title&gt;Professional Hardwood Notes&lt;/secondary-title&gt;&lt;/titles&gt;&lt;pages&gt;8&lt;/pages&gt;&lt;volume&gt;FOR-102&lt;/volume&gt;&lt;dates&gt;&lt;year&gt;2006&lt;/year&gt;&lt;/dates&gt;&lt;publisher&gt;University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rsidR="00A66D8F">
        <w:fldChar w:fldCharType="separate"/>
      </w:r>
      <w:r w:rsidR="00A87D07">
        <w:rPr>
          <w:noProof/>
        </w:rPr>
        <w:t>(</w:t>
      </w:r>
      <w:hyperlink w:anchor="_ENREF_75" w:tooltip="Kauffman, 2006 #262" w:history="1">
        <w:r w:rsidR="001E4C88">
          <w:rPr>
            <w:noProof/>
          </w:rPr>
          <w:t>Kauffman and Clatterbuck 2006</w:t>
        </w:r>
      </w:hyperlink>
      <w:r w:rsidR="00A87D07">
        <w:rPr>
          <w:noProof/>
        </w:rPr>
        <w:t>)</w:t>
      </w:r>
      <w:r w:rsidR="00A66D8F">
        <w:fldChar w:fldCharType="end"/>
      </w:r>
      <w:r w:rsidR="00B661F6" w:rsidRPr="00B661F6">
        <w:rPr>
          <w:rFonts w:cs="Calibri"/>
        </w:rPr>
        <w:t>.</w:t>
      </w:r>
      <w:r w:rsidR="00B661F6">
        <w:rPr>
          <w:rFonts w:cs="Calibri"/>
        </w:rPr>
        <w:t xml:space="preserve">  </w:t>
      </w:r>
      <w:r w:rsidR="00A44407">
        <w:rPr>
          <w:rFonts w:cs="Calibri"/>
        </w:rPr>
        <w:t>In effect, halting or extensively deferring timber harvests on upland oak sites for carbon credit accrual may be as unsustainable as DL cutting.  Furthermore</w:t>
      </w:r>
      <w:r w:rsidR="00CD73D1">
        <w:rPr>
          <w:rFonts w:cs="Calibri"/>
        </w:rPr>
        <w:t>,</w:t>
      </w:r>
      <w:r w:rsidR="00C47D5B">
        <w:rPr>
          <w:rFonts w:cs="Calibri"/>
        </w:rPr>
        <w:t xml:space="preserve"> increases in stand density</w:t>
      </w:r>
      <w:r w:rsidR="00512467">
        <w:rPr>
          <w:rFonts w:cs="Calibri"/>
        </w:rPr>
        <w:t xml:space="preserve"> and corresponding increases in</w:t>
      </w:r>
      <w:r w:rsidR="00C47D5B">
        <w:rPr>
          <w:rFonts w:cs="Calibri"/>
        </w:rPr>
        <w:t xml:space="preserve"> live tree carbon stocks accompany the</w:t>
      </w:r>
      <w:r w:rsidR="00CD73D1">
        <w:rPr>
          <w:rFonts w:cs="Calibri"/>
        </w:rPr>
        <w:t xml:space="preserve"> </w:t>
      </w:r>
      <w:r w:rsidR="00C47D5B">
        <w:rPr>
          <w:rFonts w:cs="Calibri"/>
        </w:rPr>
        <w:t xml:space="preserve">transition to northern hardwood </w:t>
      </w:r>
      <w:r w:rsidR="00A66D8F">
        <w:rPr>
          <w:rFonts w:cs="Calibri"/>
        </w:rPr>
        <w:t xml:space="preserve">forest cover types.  </w:t>
      </w:r>
      <w:r w:rsidR="00CA51E9">
        <w:rPr>
          <w:rFonts w:cs="Calibri"/>
        </w:rPr>
        <w:t>Therefore, f</w:t>
      </w:r>
      <w:r w:rsidR="00A44407">
        <w:rPr>
          <w:rFonts w:cs="Calibri"/>
        </w:rPr>
        <w:t>inancially rewarding the augmentation of forest carbon stocks indiscriminately m</w:t>
      </w:r>
      <w:r w:rsidR="00A66D8F">
        <w:rPr>
          <w:rFonts w:cs="Calibri"/>
        </w:rPr>
        <w:t xml:space="preserve">ay </w:t>
      </w:r>
      <w:r w:rsidR="00A44407">
        <w:rPr>
          <w:rFonts w:cs="Calibri"/>
        </w:rPr>
        <w:t>establish</w:t>
      </w:r>
      <w:r w:rsidR="001331FE">
        <w:rPr>
          <w:rFonts w:cs="Calibri"/>
        </w:rPr>
        <w:t xml:space="preserve"> a perverse incentive to facilitate </w:t>
      </w:r>
      <w:r w:rsidR="00391961">
        <w:rPr>
          <w:rFonts w:cs="Calibri"/>
        </w:rPr>
        <w:t xml:space="preserve">the </w:t>
      </w:r>
      <w:r w:rsidR="007C777B">
        <w:rPr>
          <w:rFonts w:cs="Calibri"/>
        </w:rPr>
        <w:t>transition to maple dominated forests</w:t>
      </w:r>
      <w:r w:rsidR="00391961">
        <w:rPr>
          <w:rFonts w:cs="Calibri"/>
        </w:rPr>
        <w:t>.</w:t>
      </w:r>
    </w:p>
    <w:p w:rsidR="00A31E6F" w:rsidRDefault="00266339" w:rsidP="00591524">
      <w:pPr>
        <w:autoSpaceDE w:val="0"/>
        <w:autoSpaceDN w:val="0"/>
        <w:adjustRightInd w:val="0"/>
        <w:spacing w:line="480" w:lineRule="auto"/>
        <w:ind w:firstLine="720"/>
        <w:rPr>
          <w:rFonts w:cs="Calibri"/>
        </w:rPr>
      </w:pPr>
      <w:r>
        <w:rPr>
          <w:rFonts w:cs="Calibri"/>
        </w:rPr>
        <w:t>In fact</w:t>
      </w:r>
      <w:r w:rsidR="00AE3CE2">
        <w:rPr>
          <w:rFonts w:cs="Calibri"/>
        </w:rPr>
        <w:t xml:space="preserve">, DL harvests significantly </w:t>
      </w:r>
      <w:r w:rsidR="002E4AA9">
        <w:rPr>
          <w:rFonts w:cs="Calibri"/>
        </w:rPr>
        <w:t xml:space="preserve">stimulated periodic annual growth </w:t>
      </w:r>
      <w:r w:rsidR="00F45412">
        <w:rPr>
          <w:rFonts w:cs="Calibri"/>
        </w:rPr>
        <w:t>over th</w:t>
      </w:r>
      <w:r w:rsidR="002E4AA9">
        <w:rPr>
          <w:rFonts w:cs="Calibri"/>
        </w:rPr>
        <w:t xml:space="preserve">e 45 year experiment </w:t>
      </w:r>
      <w:r w:rsidR="00AE3CE2">
        <w:rPr>
          <w:rFonts w:cs="Calibri"/>
        </w:rPr>
        <w:t xml:space="preserve">described </w:t>
      </w:r>
      <w:r w:rsidR="00512467">
        <w:rPr>
          <w:rFonts w:cs="Calibri"/>
        </w:rPr>
        <w:t>above, approaching</w:t>
      </w:r>
      <w:r w:rsidR="00A84809">
        <w:rPr>
          <w:rFonts w:cs="Calibri"/>
        </w:rPr>
        <w:t xml:space="preserve"> the level of growth</w:t>
      </w:r>
      <w:r w:rsidR="002E4AA9">
        <w:rPr>
          <w:rFonts w:cs="Calibri"/>
        </w:rPr>
        <w:t xml:space="preserve"> observed in even</w:t>
      </w:r>
      <w:r w:rsidR="00813CC9">
        <w:rPr>
          <w:rFonts w:cs="Calibri"/>
        </w:rPr>
        <w:t>-</w:t>
      </w:r>
      <w:r w:rsidR="002E4AA9">
        <w:rPr>
          <w:rFonts w:cs="Calibri"/>
        </w:rPr>
        <w:t>aged stands on similar sites</w:t>
      </w:r>
      <w:r w:rsidR="00191CE6">
        <w:rPr>
          <w:rFonts w:cs="Calibri"/>
        </w:rPr>
        <w:t xml:space="preserve">.  This outcome </w:t>
      </w:r>
      <w:r w:rsidR="00191CE6">
        <w:rPr>
          <w:rFonts w:cs="Calibri"/>
        </w:rPr>
        <w:lastRenderedPageBreak/>
        <w:t>contends with common wisdom that DL cutting hinders periodic growth due to the low-vigor of small-diameter residual trees.</w:t>
      </w:r>
      <w:r w:rsidR="00AE3CE2">
        <w:rPr>
          <w:rFonts w:cs="Calibri"/>
        </w:rPr>
        <w:t xml:space="preserve"> </w:t>
      </w:r>
      <w:r w:rsidR="00191CE6">
        <w:rPr>
          <w:rFonts w:cs="Calibri"/>
        </w:rPr>
        <w:t xml:space="preserve"> However, a dense understory dominated by shade-tolerant maples can respond </w:t>
      </w:r>
      <w:r w:rsidR="00B12896">
        <w:rPr>
          <w:rFonts w:cs="Calibri"/>
        </w:rPr>
        <w:t xml:space="preserve">to canopy openings </w:t>
      </w:r>
      <w:r w:rsidR="00191CE6">
        <w:rPr>
          <w:rFonts w:cs="Calibri"/>
        </w:rPr>
        <w:t>with vigorous growth</w:t>
      </w:r>
      <w:r w:rsidR="00E3229F">
        <w:rPr>
          <w:rFonts w:cs="Calibri"/>
        </w:rPr>
        <w:t xml:space="preserve"> </w:t>
      </w:r>
      <w:r w:rsidR="007722C4">
        <w:rPr>
          <w:rFonts w:cs="Calibri"/>
        </w:rPr>
        <w:fldChar w:fldCharType="begin"/>
      </w:r>
      <w:r w:rsidR="007722C4">
        <w:rPr>
          <w:rFonts w:cs="Calibri"/>
        </w:rPr>
        <w:instrText xml:space="preserve"> ADDIN EN.CITE &lt;EndNote&gt;&lt;Cite&gt;&lt;Author&gt;Tryon&lt;/Author&gt;&lt;Year&gt;1992&lt;/Year&gt;&lt;RecNum&gt;317&lt;/RecNum&gt;&lt;DisplayText&gt;(Tryon et al. 1992)&lt;/DisplayText&gt;&lt;record&gt;&lt;rec-number&gt;317&lt;/rec-number&gt;&lt;foreign-keys&gt;&lt;key app="EN" db-id="a90s5zadewrawxeer07v2f90xr5vxv022sat"&gt;317&lt;/key&gt;&lt;/foreign-keys&gt;&lt;ref-type name="Journal Article"&gt;17&lt;/ref-type&gt;&lt;contributors&gt;&lt;authors&gt;&lt;author&gt;E.H. Tryon&lt;/author&gt;&lt;author&gt;Lanasa, M.&lt;/author&gt;&lt;author&gt;Townsend, E.C.&lt;/author&gt;&lt;/authors&gt;&lt;/contributors&gt;&lt;titles&gt;&lt;title&gt;&lt;style face="normal" font="default" size="100%"&gt;Radial growth response of understory sugar maple (&lt;/style&gt;&lt;style face="italic" font="default" size="100%"&gt;Acer saccharum&lt;/style&gt;&lt;style face="normal" font="default" size="100%"&gt;) surrounding openings&lt;/style&gt;&lt;/title&gt;&lt;secondary-title&gt;Forest Ecology and Management&lt;/secondary-title&gt;&lt;/titles&gt;&lt;periodical&gt;&lt;full-title&gt;Forest Ecology and Management&lt;/full-title&gt;&lt;abbr-1&gt;For. Ecol. Manage.&lt;/abbr-1&gt;&lt;/periodical&gt;&lt;pages&gt;249-257&lt;/pages&gt;&lt;volume&gt;55&lt;/volume&gt;&lt;dates&gt;&lt;year&gt;1992&lt;/year&gt;&lt;/dates&gt;&lt;urls&gt;&lt;/urls&gt;&lt;/record&gt;&lt;/Cite&gt;&lt;/EndNote&gt;</w:instrText>
      </w:r>
      <w:r w:rsidR="007722C4">
        <w:rPr>
          <w:rFonts w:cs="Calibri"/>
        </w:rPr>
        <w:fldChar w:fldCharType="separate"/>
      </w:r>
      <w:r w:rsidR="007722C4">
        <w:rPr>
          <w:rFonts w:cs="Calibri"/>
          <w:noProof/>
        </w:rPr>
        <w:t>(</w:t>
      </w:r>
      <w:hyperlink w:anchor="_ENREF_140" w:tooltip="Tryon, 1992 #317" w:history="1">
        <w:r w:rsidR="001E4C88">
          <w:rPr>
            <w:rFonts w:cs="Calibri"/>
            <w:noProof/>
          </w:rPr>
          <w:t>Tryon et al. 1992</w:t>
        </w:r>
      </w:hyperlink>
      <w:r w:rsidR="007722C4">
        <w:rPr>
          <w:rFonts w:cs="Calibri"/>
          <w:noProof/>
        </w:rPr>
        <w:t>)</w:t>
      </w:r>
      <w:r w:rsidR="007722C4">
        <w:rPr>
          <w:rFonts w:cs="Calibri"/>
        </w:rPr>
        <w:fldChar w:fldCharType="end"/>
      </w:r>
      <w:r w:rsidR="00B12896">
        <w:rPr>
          <w:rFonts w:cs="Calibri"/>
        </w:rPr>
        <w:t xml:space="preserve">.  </w:t>
      </w:r>
      <w:r w:rsidR="00E802CD">
        <w:rPr>
          <w:rFonts w:cs="Calibri"/>
        </w:rPr>
        <w:t>Thus, it follows</w:t>
      </w:r>
      <w:r w:rsidR="00AE3CE2">
        <w:rPr>
          <w:rFonts w:cs="Calibri"/>
        </w:rPr>
        <w:t xml:space="preserve"> that if </w:t>
      </w:r>
      <w:r w:rsidR="00A84809">
        <w:rPr>
          <w:rFonts w:cs="Calibri"/>
        </w:rPr>
        <w:t xml:space="preserve">this response is </w:t>
      </w:r>
      <w:r w:rsidR="00AE3CE2">
        <w:rPr>
          <w:rFonts w:cs="Calibri"/>
        </w:rPr>
        <w:t>replicable</w:t>
      </w:r>
      <w:r w:rsidR="002E1EA4">
        <w:rPr>
          <w:rFonts w:cs="Calibri"/>
        </w:rPr>
        <w:t>,</w:t>
      </w:r>
      <w:r w:rsidR="00191CE6">
        <w:rPr>
          <w:rFonts w:cs="Calibri"/>
        </w:rPr>
        <w:t xml:space="preserve"> despite common wisdom</w:t>
      </w:r>
      <w:r w:rsidR="00A84809">
        <w:rPr>
          <w:rFonts w:cs="Calibri"/>
        </w:rPr>
        <w:t xml:space="preserve">, </w:t>
      </w:r>
      <w:r w:rsidR="00813CC9">
        <w:rPr>
          <w:rFonts w:cs="Calibri"/>
        </w:rPr>
        <w:t xml:space="preserve">DL cuts undertaken by </w:t>
      </w:r>
      <w:r w:rsidR="00A84809">
        <w:rPr>
          <w:rFonts w:cs="Calibri"/>
        </w:rPr>
        <w:t xml:space="preserve">landowners could </w:t>
      </w:r>
      <w:r w:rsidR="00CA1CAE">
        <w:rPr>
          <w:rFonts w:cs="Calibri"/>
        </w:rPr>
        <w:t xml:space="preserve">perhaps </w:t>
      </w:r>
      <w:r w:rsidR="00EC1D9E">
        <w:rPr>
          <w:rFonts w:cs="Calibri"/>
        </w:rPr>
        <w:t xml:space="preserve">qualify as IFM practices and </w:t>
      </w:r>
      <w:r w:rsidR="00F6056D">
        <w:rPr>
          <w:rFonts w:cs="Calibri"/>
        </w:rPr>
        <w:t>generate</w:t>
      </w:r>
      <w:r w:rsidR="00CA1CAE">
        <w:rPr>
          <w:rFonts w:cs="Calibri"/>
        </w:rPr>
        <w:t xml:space="preserve"> </w:t>
      </w:r>
      <w:r w:rsidR="00F6056D">
        <w:rPr>
          <w:rFonts w:cs="Calibri"/>
        </w:rPr>
        <w:t>creditable carbon</w:t>
      </w:r>
      <w:r w:rsidR="00CA1CAE">
        <w:rPr>
          <w:rFonts w:cs="Calibri"/>
        </w:rPr>
        <w:t xml:space="preserve"> </w:t>
      </w:r>
      <w:r w:rsidR="00EC1D9E">
        <w:rPr>
          <w:rFonts w:cs="Calibri"/>
        </w:rPr>
        <w:t>just as easily if not more so than biodiversity supporting even-age silvicultural practices.</w:t>
      </w:r>
      <w:r w:rsidR="002E4AA9">
        <w:rPr>
          <w:rFonts w:cs="Calibri"/>
        </w:rPr>
        <w:t xml:space="preserve">  </w:t>
      </w:r>
      <w:r w:rsidR="006E46FC">
        <w:rPr>
          <w:rFonts w:cs="Calibri"/>
        </w:rPr>
        <w:t>Such a</w:t>
      </w:r>
      <w:r w:rsidR="00607FDC" w:rsidRPr="00607FDC">
        <w:rPr>
          <w:rFonts w:cs="Calibri"/>
        </w:rPr>
        <w:t xml:space="preserve"> tradeoff between </w:t>
      </w:r>
      <w:r>
        <w:rPr>
          <w:rFonts w:cs="Calibri"/>
        </w:rPr>
        <w:t>carbon</w:t>
      </w:r>
      <w:r w:rsidR="00607FDC">
        <w:rPr>
          <w:rFonts w:cs="Calibri"/>
        </w:rPr>
        <w:t xml:space="preserve"> and</w:t>
      </w:r>
      <w:r w:rsidR="00607FDC" w:rsidRPr="00607FDC">
        <w:rPr>
          <w:rFonts w:cs="Calibri"/>
        </w:rPr>
        <w:t xml:space="preserve"> biological diversity is a significant one because it </w:t>
      </w:r>
      <w:r w:rsidR="00607FDC">
        <w:rPr>
          <w:rFonts w:cs="Calibri"/>
        </w:rPr>
        <w:t>presents</w:t>
      </w:r>
      <w:r w:rsidR="00607FDC" w:rsidRPr="00607FDC">
        <w:rPr>
          <w:rFonts w:cs="Calibri"/>
        </w:rPr>
        <w:t xml:space="preserve"> </w:t>
      </w:r>
      <w:r w:rsidR="00607FDC">
        <w:rPr>
          <w:rFonts w:cs="Calibri"/>
        </w:rPr>
        <w:t xml:space="preserve">exceptionally </w:t>
      </w:r>
      <w:r w:rsidR="00607FDC" w:rsidRPr="00607FDC">
        <w:rPr>
          <w:rFonts w:cs="Calibri"/>
        </w:rPr>
        <w:t xml:space="preserve">undesirable implications </w:t>
      </w:r>
      <w:r w:rsidR="00607FDC">
        <w:rPr>
          <w:rFonts w:cs="Calibri"/>
        </w:rPr>
        <w:t>for</w:t>
      </w:r>
      <w:r w:rsidR="00607FDC" w:rsidRPr="00607FDC">
        <w:rPr>
          <w:rFonts w:cs="Calibri"/>
        </w:rPr>
        <w:t xml:space="preserve"> both </w:t>
      </w:r>
      <w:r w:rsidR="00607FDC">
        <w:rPr>
          <w:rFonts w:cs="Calibri"/>
        </w:rPr>
        <w:t>carbon</w:t>
      </w:r>
      <w:r w:rsidR="00607FDC" w:rsidRPr="00607FDC">
        <w:rPr>
          <w:rFonts w:cs="Calibri"/>
        </w:rPr>
        <w:t xml:space="preserve"> and other non-</w:t>
      </w:r>
      <w:r w:rsidR="00607FDC">
        <w:rPr>
          <w:rFonts w:cs="Calibri"/>
        </w:rPr>
        <w:t>carbon</w:t>
      </w:r>
      <w:r w:rsidR="00607FDC" w:rsidRPr="00607FDC">
        <w:rPr>
          <w:rFonts w:cs="Calibri"/>
        </w:rPr>
        <w:t xml:space="preserve"> forest values</w:t>
      </w:r>
      <w:r>
        <w:rPr>
          <w:rFonts w:cs="Calibri"/>
        </w:rPr>
        <w:t xml:space="preserve"> in the long run</w:t>
      </w:r>
      <w:r w:rsidR="00607FDC" w:rsidRPr="00607FDC">
        <w:rPr>
          <w:rFonts w:cs="Calibri"/>
        </w:rPr>
        <w:t xml:space="preserve">.  </w:t>
      </w:r>
      <w:r w:rsidR="007B642B">
        <w:rPr>
          <w:rFonts w:cs="Calibri"/>
        </w:rPr>
        <w:t xml:space="preserve">For instance, oaks are more adept at </w:t>
      </w:r>
      <w:r w:rsidR="00D108FD">
        <w:rPr>
          <w:rFonts w:cs="Calibri"/>
        </w:rPr>
        <w:t>surviving in</w:t>
      </w:r>
      <w:r w:rsidR="007B642B">
        <w:rPr>
          <w:rFonts w:cs="Calibri"/>
        </w:rPr>
        <w:t xml:space="preserve"> dry growing conditions than associated maples and other species</w:t>
      </w:r>
      <w:r w:rsidR="00052931">
        <w:rPr>
          <w:rFonts w:cs="Calibri"/>
        </w:rPr>
        <w:t>.  Hence, oaks</w:t>
      </w:r>
      <w:r w:rsidR="007B642B">
        <w:rPr>
          <w:rFonts w:cs="Calibri"/>
        </w:rPr>
        <w:t xml:space="preserve"> may be crucial to maintaining productive or perhaps cohesive forest cover</w:t>
      </w:r>
      <w:r w:rsidR="00052931">
        <w:rPr>
          <w:rFonts w:cs="Calibri"/>
        </w:rPr>
        <w:t>,</w:t>
      </w:r>
      <w:r w:rsidR="007B642B">
        <w:rPr>
          <w:rFonts w:cs="Calibri"/>
        </w:rPr>
        <w:t xml:space="preserve"> </w:t>
      </w:r>
      <w:r w:rsidR="009572DB">
        <w:rPr>
          <w:rFonts w:cs="Calibri"/>
        </w:rPr>
        <w:t>thereby</w:t>
      </w:r>
      <w:r w:rsidR="00D108FD">
        <w:rPr>
          <w:rFonts w:cs="Calibri"/>
        </w:rPr>
        <w:t xml:space="preserve"> stabilizing potential deterioration of carbon stocks </w:t>
      </w:r>
      <w:r w:rsidR="007B642B">
        <w:rPr>
          <w:rFonts w:cs="Calibri"/>
        </w:rPr>
        <w:t>in parts of Southern Appalachia</w:t>
      </w:r>
      <w:r w:rsidR="00E25EC8">
        <w:rPr>
          <w:rFonts w:cs="Calibri"/>
        </w:rPr>
        <w:t xml:space="preserve"> </w:t>
      </w:r>
      <w:r w:rsidR="00BB39C1">
        <w:rPr>
          <w:rFonts w:cs="Calibri"/>
        </w:rPr>
        <w:t>that may</w:t>
      </w:r>
      <w:r w:rsidR="008C74A5">
        <w:rPr>
          <w:rFonts w:cs="Calibri"/>
        </w:rPr>
        <w:t xml:space="preserve"> experience a </w:t>
      </w:r>
      <w:r w:rsidR="00BB39C1">
        <w:rPr>
          <w:rFonts w:cs="Calibri"/>
        </w:rPr>
        <w:t>drier future</w:t>
      </w:r>
      <w:r w:rsidR="008C74A5">
        <w:rPr>
          <w:rFonts w:cs="Calibri"/>
        </w:rPr>
        <w:t xml:space="preserve"> climate</w:t>
      </w:r>
      <w:r w:rsidR="007B642B">
        <w:rPr>
          <w:rFonts w:cs="Calibri"/>
        </w:rPr>
        <w:t>.  However, once oak par</w:t>
      </w:r>
      <w:r w:rsidR="00303670">
        <w:rPr>
          <w:rFonts w:cs="Calibri"/>
        </w:rPr>
        <w:t xml:space="preserve">ent trees are </w:t>
      </w:r>
      <w:r w:rsidR="00D108FD">
        <w:rPr>
          <w:rFonts w:cs="Calibri"/>
        </w:rPr>
        <w:t>reduced</w:t>
      </w:r>
      <w:r w:rsidR="00303670">
        <w:rPr>
          <w:rFonts w:cs="Calibri"/>
        </w:rPr>
        <w:t xml:space="preserve"> to very low densities, artificially establishing </w:t>
      </w:r>
      <w:r w:rsidR="007B642B">
        <w:rPr>
          <w:rFonts w:cs="Calibri"/>
        </w:rPr>
        <w:t xml:space="preserve">oak reproduction </w:t>
      </w:r>
      <w:r w:rsidR="00303670">
        <w:rPr>
          <w:rFonts w:cs="Calibri"/>
        </w:rPr>
        <w:t>becomes the only option</w:t>
      </w:r>
      <w:r w:rsidR="00D108FD">
        <w:rPr>
          <w:rFonts w:cs="Calibri"/>
        </w:rPr>
        <w:t xml:space="preserve"> for successful restoration</w:t>
      </w:r>
      <w:r w:rsidR="00303670">
        <w:rPr>
          <w:rFonts w:cs="Calibri"/>
        </w:rPr>
        <w:t xml:space="preserve">, which </w:t>
      </w:r>
      <w:r w:rsidR="00E25EC8">
        <w:rPr>
          <w:rFonts w:cs="Calibri"/>
        </w:rPr>
        <w:t>is</w:t>
      </w:r>
      <w:r w:rsidR="00303670">
        <w:rPr>
          <w:rFonts w:cs="Calibri"/>
        </w:rPr>
        <w:t xml:space="preserve"> </w:t>
      </w:r>
      <w:r w:rsidR="00E25EC8">
        <w:rPr>
          <w:rFonts w:cs="Calibri"/>
        </w:rPr>
        <w:t xml:space="preserve">difficult and </w:t>
      </w:r>
      <w:r>
        <w:rPr>
          <w:rFonts w:cs="Calibri"/>
        </w:rPr>
        <w:t>extremely</w:t>
      </w:r>
      <w:r w:rsidR="00303670">
        <w:rPr>
          <w:rFonts w:cs="Calibri"/>
        </w:rPr>
        <w:t xml:space="preserve"> expensive.</w:t>
      </w:r>
      <w:r w:rsidR="007B642B">
        <w:rPr>
          <w:rFonts w:cs="Calibri"/>
        </w:rPr>
        <w:t xml:space="preserve"> </w:t>
      </w:r>
      <w:r w:rsidR="00303670">
        <w:rPr>
          <w:rFonts w:cs="Calibri"/>
        </w:rPr>
        <w:t xml:space="preserve"> </w:t>
      </w:r>
    </w:p>
    <w:p w:rsidR="004F55C9" w:rsidRDefault="004F55C9" w:rsidP="004F55C9">
      <w:pPr>
        <w:tabs>
          <w:tab w:val="left" w:pos="720"/>
        </w:tabs>
        <w:spacing w:line="480" w:lineRule="auto"/>
        <w:rPr>
          <w:rFonts w:cs="Calibri"/>
        </w:rPr>
      </w:pPr>
      <w:r>
        <w:rPr>
          <w:rFonts w:cs="Calibri"/>
        </w:rPr>
        <w:tab/>
      </w:r>
      <w:r w:rsidR="00607FDC" w:rsidRPr="00607FDC">
        <w:rPr>
          <w:rFonts w:cs="Calibri"/>
        </w:rPr>
        <w:t xml:space="preserve">Due to </w:t>
      </w:r>
      <w:r w:rsidR="00607FDC">
        <w:rPr>
          <w:rFonts w:cs="Calibri"/>
        </w:rPr>
        <w:t>impending</w:t>
      </w:r>
      <w:r w:rsidR="00607FDC" w:rsidRPr="00607FDC">
        <w:rPr>
          <w:rFonts w:cs="Calibri"/>
        </w:rPr>
        <w:t xml:space="preserve"> and uncertain climate changes, forests </w:t>
      </w:r>
      <w:r w:rsidR="00607FDC">
        <w:rPr>
          <w:rFonts w:cs="Calibri"/>
        </w:rPr>
        <w:t>must</w:t>
      </w:r>
      <w:r w:rsidR="00607FDC" w:rsidRPr="00607FDC">
        <w:rPr>
          <w:rFonts w:cs="Calibri"/>
        </w:rPr>
        <w:t xml:space="preserve"> be managed with the </w:t>
      </w:r>
      <w:r w:rsidR="00600DE6">
        <w:rPr>
          <w:rFonts w:cs="Calibri"/>
        </w:rPr>
        <w:t>recognition</w:t>
      </w:r>
      <w:r w:rsidR="00607FDC" w:rsidRPr="00607FDC">
        <w:rPr>
          <w:rFonts w:cs="Calibri"/>
        </w:rPr>
        <w:t xml:space="preserve"> that they will have to adapt to a climate that may severely limit </w:t>
      </w:r>
      <w:r w:rsidR="00600DE6">
        <w:rPr>
          <w:rFonts w:cs="Calibri"/>
        </w:rPr>
        <w:t>the</w:t>
      </w:r>
      <w:r w:rsidR="00607FDC" w:rsidRPr="00607FDC">
        <w:rPr>
          <w:rFonts w:cs="Calibri"/>
        </w:rPr>
        <w:t xml:space="preserve"> productivity </w:t>
      </w:r>
      <w:r w:rsidR="00600DE6">
        <w:rPr>
          <w:rFonts w:cs="Calibri"/>
        </w:rPr>
        <w:t xml:space="preserve">of many species </w:t>
      </w:r>
      <w:r w:rsidR="00607FDC" w:rsidRPr="00607FDC">
        <w:rPr>
          <w:rFonts w:cs="Calibri"/>
        </w:rPr>
        <w:t>and even threaten their existence.</w:t>
      </w:r>
      <w:r w:rsidR="00E25EC8">
        <w:rPr>
          <w:rFonts w:cs="Calibri"/>
        </w:rPr>
        <w:t xml:space="preserve"> </w:t>
      </w:r>
      <w:r w:rsidR="00607FDC" w:rsidRPr="00607FDC">
        <w:rPr>
          <w:rFonts w:cs="Calibri"/>
        </w:rPr>
        <w:t xml:space="preserve"> </w:t>
      </w:r>
      <w:r w:rsidR="00303670">
        <w:rPr>
          <w:rFonts w:cs="Calibri"/>
        </w:rPr>
        <w:t>These</w:t>
      </w:r>
      <w:r w:rsidR="00303670" w:rsidRPr="00607FDC">
        <w:rPr>
          <w:rFonts w:cs="Calibri"/>
        </w:rPr>
        <w:t xml:space="preserve"> uncertainties necessitate that </w:t>
      </w:r>
      <w:r w:rsidR="00E25EC8">
        <w:rPr>
          <w:rFonts w:cs="Calibri"/>
        </w:rPr>
        <w:t>IFM</w:t>
      </w:r>
      <w:r w:rsidR="00303670" w:rsidRPr="00607FDC">
        <w:rPr>
          <w:rFonts w:cs="Calibri"/>
        </w:rPr>
        <w:t xml:space="preserve"> </w:t>
      </w:r>
      <w:r w:rsidR="00997CE5">
        <w:rPr>
          <w:rFonts w:cs="Calibri"/>
        </w:rPr>
        <w:t>programs include rules that ensure</w:t>
      </w:r>
      <w:r w:rsidR="00303670" w:rsidRPr="00607FDC">
        <w:rPr>
          <w:rFonts w:cs="Calibri"/>
        </w:rPr>
        <w:t xml:space="preserve"> </w:t>
      </w:r>
      <w:r w:rsidR="00997CE5">
        <w:rPr>
          <w:rFonts w:cs="Calibri"/>
        </w:rPr>
        <w:t xml:space="preserve">sustainability in terms of </w:t>
      </w:r>
      <w:r w:rsidR="00303670" w:rsidRPr="00607FDC">
        <w:rPr>
          <w:rFonts w:cs="Calibri"/>
        </w:rPr>
        <w:t>future ecosystem productivity and resilience —the ability to recover from s</w:t>
      </w:r>
      <w:r w:rsidR="00997CE5">
        <w:rPr>
          <w:rFonts w:cs="Calibri"/>
        </w:rPr>
        <w:t>tress and persist through time</w:t>
      </w:r>
      <w:r w:rsidR="00E25EC8">
        <w:rPr>
          <w:rFonts w:cs="Calibri"/>
        </w:rPr>
        <w:t xml:space="preserve">, </w:t>
      </w:r>
      <w:r w:rsidR="00303670" w:rsidRPr="00607FDC">
        <w:rPr>
          <w:rFonts w:cs="Calibri"/>
        </w:rPr>
        <w:t>of which species diversity is a key indicator</w:t>
      </w:r>
      <w:r w:rsidR="00303670">
        <w:rPr>
          <w:rFonts w:cs="Calibri"/>
        </w:rPr>
        <w:t xml:space="preserve"> </w:t>
      </w:r>
      <w:r w:rsidR="00303670">
        <w:rPr>
          <w:rFonts w:cs="Calibri"/>
        </w:rPr>
        <w:fldChar w:fldCharType="begin"/>
      </w:r>
      <w:r w:rsidR="00A87D07">
        <w:rPr>
          <w:rFonts w:cs="Calibri"/>
        </w:rPr>
        <w:instrText xml:space="preserve"> ADDIN EN.CITE &lt;EndNote&gt;&lt;Cite&gt;&lt;Author&gt;Franklin&lt;/Author&gt;&lt;RecNum&gt;92&lt;/RecNum&gt;&lt;DisplayText&gt;(Franklin et al. 1989)&lt;/DisplayText&gt;&lt;record&gt;&lt;rec-number&gt;92&lt;/rec-number&gt;&lt;foreign-keys&gt;&lt;key app="EN" db-id="a90s5zadewrawxeer07v2f90xr5vxv022sat"&gt;92&lt;/key&gt;&lt;/foreign-keys&gt;&lt;ref-type name="Journal Article"&gt;17&lt;/ref-type&gt;&lt;contributors&gt;&lt;authors&gt;&lt;author&gt;Franklin, J.F.&lt;/author&gt;&lt;author&gt;Perry, D.A.&lt;/author&gt;&lt;author&gt;Schowalter, T.D.&lt;/author&gt;&lt;author&gt;Harmon, M.E.,&lt;/author&gt;&lt;author&gt;McKee, A.&lt;/author&gt;&lt;author&gt;Spies, T.A.&lt;/author&gt;&lt;/authors&gt;&lt;/contributors&gt;&lt;titles&gt;&lt;title&gt;Importance of ecological diversity in maintaining long-term site productivity. In: Perry, D.A., Miller, R., Boyle, J., Perry, C.R., Powers, R.F. (Eds.), Maintaining the Long-Term Productivity of Pacific Northwest Forest Ecosystems. Timber Press, Portland, OR, pp. 82-97&lt;/title&gt;&lt;/titles&gt;&lt;dates&gt;&lt;year&gt;1989&lt;/year&gt;&lt;/dates&gt;&lt;urls&gt;&lt;/urls&gt;&lt;/record&gt;&lt;/Cite&gt;&lt;/EndNote&gt;</w:instrText>
      </w:r>
      <w:r w:rsidR="00303670">
        <w:rPr>
          <w:rFonts w:cs="Calibri"/>
        </w:rPr>
        <w:fldChar w:fldCharType="separate"/>
      </w:r>
      <w:r w:rsidR="00A87D07">
        <w:rPr>
          <w:rFonts w:cs="Calibri"/>
          <w:noProof/>
        </w:rPr>
        <w:t>(</w:t>
      </w:r>
      <w:hyperlink w:anchor="_ENREF_55" w:tooltip="Franklin, 1989 #92" w:history="1">
        <w:r w:rsidR="001E4C88">
          <w:rPr>
            <w:rFonts w:cs="Calibri"/>
            <w:noProof/>
          </w:rPr>
          <w:t>Franklin et al. 1989</w:t>
        </w:r>
      </w:hyperlink>
      <w:r w:rsidR="00A87D07">
        <w:rPr>
          <w:rFonts w:cs="Calibri"/>
          <w:noProof/>
        </w:rPr>
        <w:t>)</w:t>
      </w:r>
      <w:r w:rsidR="00303670">
        <w:rPr>
          <w:rFonts w:cs="Calibri"/>
        </w:rPr>
        <w:fldChar w:fldCharType="end"/>
      </w:r>
      <w:r w:rsidR="00E25EC8">
        <w:rPr>
          <w:rFonts w:cs="Calibri"/>
        </w:rPr>
        <w:t>.</w:t>
      </w:r>
      <w:r w:rsidR="008C74A5">
        <w:rPr>
          <w:rFonts w:cs="Calibri"/>
        </w:rPr>
        <w:t xml:space="preserve">  </w:t>
      </w:r>
      <w:r w:rsidR="00997CE5">
        <w:rPr>
          <w:rFonts w:cs="Calibri"/>
        </w:rPr>
        <w:t xml:space="preserve">Such measures are embedded in the Climate Action Reserve </w:t>
      </w:r>
      <w:r w:rsidR="00324C1C">
        <w:rPr>
          <w:rFonts w:cs="Calibri"/>
        </w:rPr>
        <w:t xml:space="preserve">Forest Project Protocol, hereafter referred to as </w:t>
      </w:r>
      <w:r w:rsidR="00A44407">
        <w:rPr>
          <w:rFonts w:cs="Calibri"/>
        </w:rPr>
        <w:t xml:space="preserve">the </w:t>
      </w:r>
      <w:r w:rsidR="00324C1C">
        <w:rPr>
          <w:rFonts w:cs="Calibri"/>
        </w:rPr>
        <w:t>CAR</w:t>
      </w:r>
      <w:r w:rsidR="00020F9F">
        <w:rPr>
          <w:rFonts w:cs="Calibri"/>
        </w:rPr>
        <w:t xml:space="preserve"> protocol</w:t>
      </w:r>
      <w:r w:rsidR="00324C1C">
        <w:rPr>
          <w:rFonts w:cs="Calibri"/>
        </w:rPr>
        <w:t xml:space="preserve">, which compels an assessment of </w:t>
      </w:r>
      <w:r w:rsidR="00701B22">
        <w:rPr>
          <w:rFonts w:cs="Calibri"/>
        </w:rPr>
        <w:t>it</w:t>
      </w:r>
      <w:r w:rsidR="00324C1C">
        <w:rPr>
          <w:rFonts w:cs="Calibri"/>
        </w:rPr>
        <w:t xml:space="preserve"> </w:t>
      </w:r>
      <w:r w:rsidR="00C302C8">
        <w:rPr>
          <w:rFonts w:cs="Calibri"/>
        </w:rPr>
        <w:t>in</w:t>
      </w:r>
      <w:r w:rsidR="00324C1C">
        <w:rPr>
          <w:rFonts w:cs="Calibri"/>
        </w:rPr>
        <w:t xml:space="preserve"> this analysis.</w:t>
      </w:r>
      <w:r w:rsidR="009D6D5F">
        <w:rPr>
          <w:rFonts w:cs="Calibri"/>
        </w:rPr>
        <w:t xml:space="preserve">  </w:t>
      </w:r>
      <w:r>
        <w:rPr>
          <w:rFonts w:cs="Calibri"/>
        </w:rPr>
        <w:t>The latest revision of the CAR protocol afforded</w:t>
      </w:r>
      <w:r w:rsidRPr="0050343F">
        <w:rPr>
          <w:rFonts w:cs="Calibri"/>
        </w:rPr>
        <w:t xml:space="preserve"> the ability to encompass </w:t>
      </w:r>
      <w:r>
        <w:rPr>
          <w:rFonts w:cs="Calibri"/>
        </w:rPr>
        <w:t>multiple</w:t>
      </w:r>
      <w:r w:rsidRPr="0050343F">
        <w:rPr>
          <w:rFonts w:cs="Calibri"/>
        </w:rPr>
        <w:t xml:space="preserve"> forest community type</w:t>
      </w:r>
      <w:r>
        <w:rPr>
          <w:rFonts w:cs="Calibri"/>
        </w:rPr>
        <w:t>s</w:t>
      </w:r>
      <w:r w:rsidRPr="0050343F">
        <w:rPr>
          <w:rFonts w:cs="Calibri"/>
        </w:rPr>
        <w:t xml:space="preserve"> in a project</w:t>
      </w:r>
      <w:r>
        <w:rPr>
          <w:rFonts w:cs="Calibri"/>
        </w:rPr>
        <w:t xml:space="preserve"> </w:t>
      </w:r>
      <w:r w:rsidRPr="0050343F">
        <w:rPr>
          <w:rFonts w:cs="Calibri"/>
        </w:rPr>
        <w:t>by remov</w:t>
      </w:r>
      <w:r>
        <w:rPr>
          <w:rFonts w:cs="Calibri"/>
        </w:rPr>
        <w:t>ing</w:t>
      </w:r>
      <w:r w:rsidRPr="0050343F">
        <w:rPr>
          <w:rFonts w:cs="Calibri"/>
        </w:rPr>
        <w:t xml:space="preserve"> a </w:t>
      </w:r>
      <w:r w:rsidR="00BB39C1">
        <w:rPr>
          <w:rFonts w:cs="Calibri"/>
        </w:rPr>
        <w:t>problematic</w:t>
      </w:r>
      <w:r w:rsidRPr="0050343F">
        <w:rPr>
          <w:rFonts w:cs="Calibri"/>
        </w:rPr>
        <w:t xml:space="preserve"> </w:t>
      </w:r>
      <w:r>
        <w:rPr>
          <w:rFonts w:cs="Calibri"/>
        </w:rPr>
        <w:t>rule</w:t>
      </w:r>
      <w:r w:rsidRPr="0050343F">
        <w:rPr>
          <w:rFonts w:cs="Calibri"/>
        </w:rPr>
        <w:t xml:space="preserve"> </w:t>
      </w:r>
      <w:r w:rsidR="00701B22">
        <w:rPr>
          <w:rFonts w:cs="Calibri"/>
        </w:rPr>
        <w:t>dictating</w:t>
      </w:r>
      <w:r w:rsidRPr="0050343F">
        <w:rPr>
          <w:rFonts w:cs="Calibri"/>
        </w:rPr>
        <w:t xml:space="preserve"> that proposed projects with fewer than 90 percent of total area in a single forest community </w:t>
      </w:r>
      <w:r w:rsidR="00701B22">
        <w:rPr>
          <w:rFonts w:cs="Calibri"/>
        </w:rPr>
        <w:t>we</w:t>
      </w:r>
      <w:r w:rsidRPr="0050343F">
        <w:rPr>
          <w:rFonts w:cs="Calibri"/>
        </w:rPr>
        <w:t xml:space="preserve">re ineligible as a single project.  </w:t>
      </w:r>
      <w:r>
        <w:rPr>
          <w:rFonts w:cs="Calibri"/>
        </w:rPr>
        <w:t>In doing so, CAR expanded</w:t>
      </w:r>
      <w:r w:rsidRPr="0050343F">
        <w:rPr>
          <w:rFonts w:cs="Calibri"/>
        </w:rPr>
        <w:t xml:space="preserve"> </w:t>
      </w:r>
      <w:r>
        <w:rPr>
          <w:rFonts w:cs="Calibri"/>
        </w:rPr>
        <w:t>its applicability to Appalachia, where most p</w:t>
      </w:r>
      <w:r w:rsidRPr="0050343F">
        <w:rPr>
          <w:rFonts w:cs="Calibri"/>
        </w:rPr>
        <w:t xml:space="preserve">roperties large enough to be viable IFM projects are comprised of a mosaic of forest community patches determined by the great environmental heterogeneity </w:t>
      </w:r>
      <w:r w:rsidRPr="0050343F">
        <w:rPr>
          <w:rFonts w:cs="Calibri"/>
        </w:rPr>
        <w:lastRenderedPageBreak/>
        <w:t xml:space="preserve">and disparate disturbance history of the landscape.  </w:t>
      </w:r>
      <w:r>
        <w:rPr>
          <w:rFonts w:cs="Calibri"/>
        </w:rPr>
        <w:t xml:space="preserve">Figure </w:t>
      </w:r>
      <w:r w:rsidR="00BB39C1">
        <w:rPr>
          <w:rFonts w:cs="Calibri"/>
        </w:rPr>
        <w:t>2</w:t>
      </w:r>
      <w:r>
        <w:rPr>
          <w:rFonts w:cs="Calibri"/>
        </w:rPr>
        <w:t xml:space="preserve"> illustrates this point, depicting how </w:t>
      </w:r>
      <w:r w:rsidRPr="0050343F">
        <w:rPr>
          <w:rFonts w:cs="Calibri"/>
        </w:rPr>
        <w:t xml:space="preserve">forest composition </w:t>
      </w:r>
      <w:r>
        <w:rPr>
          <w:rFonts w:cs="Calibri"/>
        </w:rPr>
        <w:t>relates to</w:t>
      </w:r>
      <w:r w:rsidRPr="0050343F">
        <w:rPr>
          <w:rFonts w:cs="Calibri"/>
        </w:rPr>
        <w:t xml:space="preserve"> landform position and shape</w:t>
      </w:r>
      <w:r>
        <w:rPr>
          <w:rFonts w:cs="Calibri"/>
        </w:rPr>
        <w:t xml:space="preserve"> in the Appalachian Mountains.</w:t>
      </w:r>
      <w:r w:rsidRPr="00730C20">
        <w:rPr>
          <w:rFonts w:cs="Calibri"/>
        </w:rPr>
        <w:t xml:space="preserve"> </w:t>
      </w:r>
      <w:r>
        <w:rPr>
          <w:rFonts w:cs="Calibri"/>
        </w:rPr>
        <w:t xml:space="preserve"> What’s more</w:t>
      </w:r>
      <w:r w:rsidRPr="0050343F">
        <w:rPr>
          <w:rFonts w:cs="Calibri"/>
        </w:rPr>
        <w:t xml:space="preserve">, </w:t>
      </w:r>
      <w:r>
        <w:rPr>
          <w:rFonts w:cs="Calibri"/>
        </w:rPr>
        <w:t xml:space="preserve">the </w:t>
      </w:r>
      <w:r w:rsidR="00B4026B">
        <w:rPr>
          <w:rFonts w:cs="Calibri"/>
          <w:noProof/>
        </w:rPr>
        <w:drawing>
          <wp:anchor distT="0" distB="0" distL="114300" distR="114300" simplePos="0" relativeHeight="251663360" behindDoc="0" locked="0" layoutInCell="1" allowOverlap="1" wp14:anchorId="56171E73" wp14:editId="4FF7F339">
            <wp:simplePos x="0" y="0"/>
            <wp:positionH relativeFrom="margin">
              <wp:posOffset>55245</wp:posOffset>
            </wp:positionH>
            <wp:positionV relativeFrom="margin">
              <wp:posOffset>443230</wp:posOffset>
            </wp:positionV>
            <wp:extent cx="1889760" cy="183642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836420"/>
                    </a:xfrm>
                    <a:prstGeom prst="rect">
                      <a:avLst/>
                    </a:prstGeom>
                    <a:noFill/>
                    <a:ln>
                      <a:noFill/>
                    </a:ln>
                  </pic:spPr>
                </pic:pic>
              </a:graphicData>
            </a:graphic>
          </wp:anchor>
        </w:drawing>
      </w:r>
      <w:r>
        <w:rPr>
          <w:rFonts w:cs="Calibri"/>
        </w:rPr>
        <w:t xml:space="preserve">elimination of </w:t>
      </w:r>
      <w:r w:rsidRPr="0050343F">
        <w:rPr>
          <w:rFonts w:cs="Calibri"/>
        </w:rPr>
        <w:t xml:space="preserve">this rule </w:t>
      </w:r>
      <w:r>
        <w:rPr>
          <w:rFonts w:cs="Calibri"/>
        </w:rPr>
        <w:t>now</w:t>
      </w:r>
      <w:r w:rsidRPr="0050343F">
        <w:rPr>
          <w:rFonts w:cs="Calibri"/>
        </w:rPr>
        <w:t xml:space="preserve"> </w:t>
      </w:r>
      <w:r w:rsidR="00306701">
        <w:rPr>
          <w:rFonts w:cs="Calibri"/>
        </w:rPr>
        <w:t>enable</w:t>
      </w:r>
      <w:r>
        <w:rPr>
          <w:rFonts w:cs="Calibri"/>
        </w:rPr>
        <w:t>s</w:t>
      </w:r>
      <w:r w:rsidRPr="0050343F">
        <w:rPr>
          <w:rFonts w:cs="Calibri"/>
        </w:rPr>
        <w:t xml:space="preserve"> </w:t>
      </w:r>
      <w:r w:rsidR="00BE2F0D">
        <w:rPr>
          <w:rFonts w:cs="Calibri"/>
          <w:noProof/>
        </w:rPr>
        <w:drawing>
          <wp:anchor distT="0" distB="0" distL="114300" distR="114300" simplePos="0" relativeHeight="251662336" behindDoc="0" locked="0" layoutInCell="1" allowOverlap="1" wp14:anchorId="6794B474" wp14:editId="4EDBB436">
            <wp:simplePos x="0" y="0"/>
            <wp:positionH relativeFrom="margin">
              <wp:posOffset>2057400</wp:posOffset>
            </wp:positionH>
            <wp:positionV relativeFrom="margin">
              <wp:posOffset>1110615</wp:posOffset>
            </wp:positionV>
            <wp:extent cx="1328420" cy="647065"/>
            <wp:effectExtent l="0" t="0" r="508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8420" cy="647065"/>
                    </a:xfrm>
                    <a:prstGeom prst="rect">
                      <a:avLst/>
                    </a:prstGeom>
                    <a:noFill/>
                    <a:ln>
                      <a:noFill/>
                    </a:ln>
                  </pic:spPr>
                </pic:pic>
              </a:graphicData>
            </a:graphic>
          </wp:anchor>
        </w:drawing>
      </w:r>
      <w:r w:rsidRPr="0050343F">
        <w:rPr>
          <w:rFonts w:cs="Calibri"/>
        </w:rPr>
        <w:t xml:space="preserve">Appalachian </w:t>
      </w:r>
      <w:r w:rsidR="00BB39C1">
        <w:rPr>
          <w:rFonts w:cs="Calibri"/>
        </w:rPr>
        <w:t xml:space="preserve">CAR </w:t>
      </w:r>
      <w:r>
        <w:rPr>
          <w:rFonts w:cs="Calibri"/>
        </w:rPr>
        <w:t>projects</w:t>
      </w:r>
      <w:r w:rsidRPr="0050343F">
        <w:rPr>
          <w:rFonts w:cs="Calibri"/>
        </w:rPr>
        <w:t xml:space="preserve"> to restore </w:t>
      </w:r>
      <w:r w:rsidR="00BB39C1">
        <w:rPr>
          <w:rFonts w:cs="Calibri"/>
        </w:rPr>
        <w:t>mixed hardwood</w:t>
      </w:r>
      <w:r w:rsidRPr="0050343F">
        <w:rPr>
          <w:rFonts w:cs="Calibri"/>
        </w:rPr>
        <w:t xml:space="preserve"> communities that have been overwhelmed by </w:t>
      </w:r>
      <w:r w:rsidR="00BB39C1">
        <w:rPr>
          <w:rFonts w:cs="Calibri"/>
        </w:rPr>
        <w:t>maples and associated</w:t>
      </w:r>
      <w:r>
        <w:rPr>
          <w:rFonts w:cs="Calibri"/>
        </w:rPr>
        <w:t xml:space="preserve"> species.</w:t>
      </w:r>
    </w:p>
    <w:p w:rsidR="00B4026B" w:rsidRPr="00BE2F0D" w:rsidRDefault="004F55C9" w:rsidP="00BE2F0D">
      <w:pPr>
        <w:tabs>
          <w:tab w:val="left" w:pos="-1710"/>
          <w:tab w:val="right" w:pos="-1530"/>
        </w:tabs>
        <w:autoSpaceDE w:val="0"/>
        <w:autoSpaceDN w:val="0"/>
        <w:adjustRightInd w:val="0"/>
        <w:spacing w:line="480" w:lineRule="auto"/>
        <w:ind w:left="3240"/>
        <w:rPr>
          <w:rFonts w:cs="Calibri"/>
          <w:color w:val="FF0000"/>
        </w:rPr>
      </w:pPr>
      <w:proofErr w:type="gramStart"/>
      <w:r w:rsidRPr="0050343F">
        <w:rPr>
          <w:rFonts w:cs="Calibri"/>
          <w:b/>
        </w:rPr>
        <w:t xml:space="preserve">Figure </w:t>
      </w:r>
      <w:r w:rsidR="00BB39C1">
        <w:rPr>
          <w:rFonts w:cs="Calibri"/>
          <w:b/>
        </w:rPr>
        <w:t>2</w:t>
      </w:r>
      <w:r>
        <w:rPr>
          <w:rFonts w:cs="Calibri"/>
          <w:b/>
        </w:rPr>
        <w:t>.</w:t>
      </w:r>
      <w:proofErr w:type="gramEnd"/>
      <w:r>
        <w:rPr>
          <w:rFonts w:cs="Calibri"/>
          <w:b/>
        </w:rPr>
        <w:t xml:space="preserve">  Relation</w:t>
      </w:r>
      <w:r w:rsidRPr="0050343F">
        <w:rPr>
          <w:rFonts w:cs="Calibri"/>
          <w:b/>
        </w:rPr>
        <w:t xml:space="preserve"> between forest community types and </w:t>
      </w:r>
      <w:r w:rsidR="00B4026B">
        <w:rPr>
          <w:rFonts w:cs="Calibri"/>
          <w:b/>
        </w:rPr>
        <w:t xml:space="preserve">Appalachian </w:t>
      </w:r>
      <w:r w:rsidRPr="0050343F">
        <w:rPr>
          <w:rFonts w:cs="Calibri"/>
          <w:b/>
        </w:rPr>
        <w:t>topography</w:t>
      </w:r>
      <w:r>
        <w:rPr>
          <w:rFonts w:cs="Calibri"/>
          <w:b/>
        </w:rPr>
        <w:t xml:space="preserve"> </w:t>
      </w:r>
      <w:r w:rsidRPr="0050343F">
        <w:rPr>
          <w:rFonts w:cs="Calibri"/>
          <w:b/>
        </w:rPr>
        <w:t xml:space="preserve">mapped by Pearson </w:t>
      </w:r>
      <w:r w:rsidR="00EE0AFE">
        <w:rPr>
          <w:rFonts w:cs="Calibri"/>
          <w:b/>
        </w:rPr>
        <w:fldChar w:fldCharType="begin"/>
      </w:r>
      <w:r w:rsidR="0056578C">
        <w:rPr>
          <w:rFonts w:cs="Calibri"/>
          <w:b/>
        </w:rPr>
        <w:instrText xml:space="preserve"> ADDIN EN.CITE &lt;EndNote&gt;&lt;Cite ExcludeAuth="1"&gt;&lt;Author&gt;Pearson&lt;/Author&gt;&lt;Year&gt;2008&lt;/Year&gt;&lt;RecNum&gt;235&lt;/RecNum&gt;&lt;DisplayText&gt;(2008)&lt;/DisplayText&gt;&lt;record&gt;&lt;rec-number&gt;235&lt;/rec-number&gt;&lt;foreign-keys&gt;&lt;key app="EN" db-id="a90s5zadewrawxeer07v2f90xr5vxv022sat"&gt;235&lt;/key&gt;&lt;/foreign-keys&gt;&lt;ref-type name="Web Page"&gt;12&lt;/ref-type&gt;&lt;contributors&gt;&lt;authors&gt;&lt;author&gt;S. M. Pearson &lt;/author&gt;&lt;/authors&gt;&lt;/contributors&gt;&lt;titles&gt;&lt;title&gt;Environmental Gradients&lt;/title&gt;&lt;/titles&gt;&lt;volume&gt;2010&lt;/volume&gt;&lt;number&gt;January 5&lt;/number&gt;&lt;edition&gt;Encyclopedia of Southern Appalachian Forest Ecosystems&lt;/edition&gt;&lt;dates&gt;&lt;year&gt;2008&lt;/year&gt;&lt;/dates&gt;&lt;urls&gt;&lt;related-urls&gt;&lt;url&gt;http://www.forestencyclopedia.net/p/p1585&lt;/url&gt;&lt;/related-urls&gt;&lt;/urls&gt;&lt;/record&gt;&lt;/Cite&gt;&lt;/EndNote&gt;</w:instrText>
      </w:r>
      <w:r w:rsidR="00EE0AFE">
        <w:rPr>
          <w:rFonts w:cs="Calibri"/>
          <w:b/>
        </w:rPr>
        <w:fldChar w:fldCharType="separate"/>
      </w:r>
      <w:r w:rsidR="0056578C">
        <w:rPr>
          <w:rFonts w:cs="Calibri"/>
          <w:b/>
          <w:noProof/>
        </w:rPr>
        <w:t>(</w:t>
      </w:r>
      <w:hyperlink w:anchor="_ENREF_110" w:tooltip="Pearson, 2008 #235" w:history="1">
        <w:r w:rsidR="001E4C88">
          <w:rPr>
            <w:rFonts w:cs="Calibri"/>
            <w:b/>
            <w:noProof/>
          </w:rPr>
          <w:t>2008</w:t>
        </w:r>
      </w:hyperlink>
      <w:r w:rsidR="0056578C">
        <w:rPr>
          <w:rFonts w:cs="Calibri"/>
          <w:b/>
          <w:noProof/>
        </w:rPr>
        <w:t>)</w:t>
      </w:r>
      <w:r w:rsidR="00EE0AFE">
        <w:rPr>
          <w:rFonts w:cs="Calibri"/>
          <w:b/>
        </w:rPr>
        <w:fldChar w:fldCharType="end"/>
      </w:r>
    </w:p>
    <w:p w:rsidR="002E1EA4" w:rsidRDefault="005B3735" w:rsidP="00306B0B">
      <w:pPr>
        <w:autoSpaceDE w:val="0"/>
        <w:autoSpaceDN w:val="0"/>
        <w:adjustRightInd w:val="0"/>
        <w:spacing w:line="480" w:lineRule="auto"/>
        <w:ind w:firstLine="720"/>
        <w:rPr>
          <w:rFonts w:cs="Calibri"/>
        </w:rPr>
      </w:pPr>
      <w:r>
        <w:rPr>
          <w:rFonts w:cs="Calibri"/>
        </w:rPr>
        <w:t xml:space="preserve">Moreover, </w:t>
      </w:r>
      <w:r w:rsidR="00CF391B">
        <w:rPr>
          <w:rFonts w:cs="Calibri"/>
        </w:rPr>
        <w:t>f</w:t>
      </w:r>
      <w:r w:rsidR="00CF391B" w:rsidRPr="00CF391B">
        <w:rPr>
          <w:rFonts w:cs="Calibri"/>
        </w:rPr>
        <w:t xml:space="preserve">orest loss to suburban sprawl is predicted to accelerate over the coming decades but most significantly in the Southern Appalachian Piedmont and to a lesser degree in the Southern Appalachian Mountains, notably areas </w:t>
      </w:r>
      <w:r w:rsidR="00CF391B">
        <w:rPr>
          <w:rFonts w:cs="Calibri"/>
        </w:rPr>
        <w:t>surrounding</w:t>
      </w:r>
      <w:r w:rsidR="00CF391B" w:rsidRPr="00CF391B">
        <w:rPr>
          <w:rFonts w:cs="Calibri"/>
        </w:rPr>
        <w:t xml:space="preserve"> Knoxville, TN</w:t>
      </w:r>
      <w:r w:rsidR="00B12896">
        <w:rPr>
          <w:rStyle w:val="FootnoteReference"/>
        </w:rPr>
        <w:footnoteReference w:id="5"/>
      </w:r>
      <w:r w:rsidR="00CF391B" w:rsidRPr="00CF391B">
        <w:rPr>
          <w:rFonts w:cs="Calibri"/>
        </w:rPr>
        <w:t xml:space="preserve"> </w:t>
      </w:r>
      <w:r w:rsidR="00CF391B" w:rsidRPr="00CF391B">
        <w:rPr>
          <w:rFonts w:cs="Calibri"/>
        </w:rPr>
        <w:fldChar w:fldCharType="begin"/>
      </w:r>
      <w:r w:rsidR="00A87D07">
        <w:rPr>
          <w:rFonts w:cs="Calibri"/>
        </w:rPr>
        <w:instrText xml:space="preserve"> ADDIN EN.CITE &lt;EndNote&gt;&lt;Cite&gt;&lt;Author&gt;Wear&lt;/Author&gt;&lt;Year&gt;2004&lt;/Year&gt;&lt;RecNum&gt;224&lt;/RecNum&gt;&lt;DisplayText&gt;(Wear et al. 2004)&lt;/DisplayText&gt;&lt;record&gt;&lt;rec-number&gt;224&lt;/rec-number&gt;&lt;foreign-keys&gt;&lt;key app="EN" db-id="a90s5zadewrawxeer07v2f90xr5vxv022sat"&gt;224&lt;/key&gt;&lt;/foreign-keys&gt;&lt;ref-type name="Journal Article"&gt;17&lt;/ref-type&gt;&lt;contributors&gt;&lt;authors&gt;&lt;author&gt;Wear, D.&lt;/author&gt;&lt;author&gt;J. Pye&lt;/author&gt;&lt;author&gt;K. Riitters&lt;/author&gt;&lt;/authors&gt;&lt;/contributors&gt;&lt;titles&gt;&lt;title&gt;Defining conservation priorities using fragmentation forecasts.&lt;/title&gt;&lt;secondary-title&gt;Ecology and Society &lt;/secondary-title&gt;&lt;/titles&gt;&lt;periodical&gt;&lt;full-title&gt;Ecology and Society&lt;/full-title&gt;&lt;/periodical&gt;&lt;pages&gt;4. [online] URL: http://www.ecologyandsociety.org/vol9/iss5/art4/ &lt;/pages&gt;&lt;volume&gt;9&lt;/volume&gt;&lt;number&gt;5&lt;/number&gt;&lt;dates&gt;&lt;year&gt;2004&lt;/year&gt;&lt;/dates&gt;&lt;urls&gt;&lt;/urls&gt;&lt;/record&gt;&lt;/Cite&gt;&lt;/EndNote&gt;</w:instrText>
      </w:r>
      <w:r w:rsidR="00CF391B" w:rsidRPr="00CF391B">
        <w:rPr>
          <w:rFonts w:cs="Calibri"/>
        </w:rPr>
        <w:fldChar w:fldCharType="separate"/>
      </w:r>
      <w:r w:rsidR="00A87D07">
        <w:rPr>
          <w:rFonts w:cs="Calibri"/>
          <w:noProof/>
        </w:rPr>
        <w:t>(</w:t>
      </w:r>
      <w:hyperlink w:anchor="_ENREF_145" w:tooltip="Wear, 2004 #224" w:history="1">
        <w:r w:rsidR="001E4C88">
          <w:rPr>
            <w:rFonts w:cs="Calibri"/>
            <w:noProof/>
          </w:rPr>
          <w:t>Wear et al. 2004</w:t>
        </w:r>
      </w:hyperlink>
      <w:r w:rsidR="00A87D07">
        <w:rPr>
          <w:rFonts w:cs="Calibri"/>
          <w:noProof/>
        </w:rPr>
        <w:t>)</w:t>
      </w:r>
      <w:r w:rsidR="00CF391B" w:rsidRPr="00CF391B">
        <w:rPr>
          <w:rFonts w:cs="Calibri"/>
        </w:rPr>
        <w:fldChar w:fldCharType="end"/>
      </w:r>
      <w:r w:rsidR="00CF391B" w:rsidRPr="00CF391B">
        <w:rPr>
          <w:rFonts w:cs="Calibri"/>
        </w:rPr>
        <w:t>.</w:t>
      </w:r>
      <w:r w:rsidR="00CF391B">
        <w:rPr>
          <w:rFonts w:cs="Calibri"/>
        </w:rPr>
        <w:t xml:space="preserve">  S</w:t>
      </w:r>
      <w:r>
        <w:rPr>
          <w:rFonts w:cs="Calibri"/>
        </w:rPr>
        <w:t xml:space="preserve">uburbanization is </w:t>
      </w:r>
      <w:r w:rsidR="00CF391B">
        <w:rPr>
          <w:rFonts w:cs="Calibri"/>
        </w:rPr>
        <w:t xml:space="preserve">also </w:t>
      </w:r>
      <w:r w:rsidR="00D27A43">
        <w:rPr>
          <w:rFonts w:cs="Calibri"/>
        </w:rPr>
        <w:t>increasingly fragmenting forested landscapes and thereby limiting</w:t>
      </w:r>
      <w:r w:rsidR="003957A4">
        <w:rPr>
          <w:rFonts w:cs="Calibri"/>
        </w:rPr>
        <w:t xml:space="preserve"> the </w:t>
      </w:r>
      <w:r w:rsidR="002A4F2C">
        <w:rPr>
          <w:rFonts w:cs="Calibri"/>
        </w:rPr>
        <w:t>efficacy</w:t>
      </w:r>
      <w:r w:rsidR="00207502">
        <w:rPr>
          <w:rFonts w:cs="Calibri"/>
        </w:rPr>
        <w:t xml:space="preserve"> of forest management</w:t>
      </w:r>
      <w:r w:rsidR="00E97FB1">
        <w:rPr>
          <w:rFonts w:cs="Calibri"/>
        </w:rPr>
        <w:t xml:space="preserve"> </w:t>
      </w:r>
      <w:r w:rsidR="00E97FB1">
        <w:rPr>
          <w:rFonts w:cs="Calibri"/>
        </w:rPr>
        <w:fldChar w:fldCharType="begin"/>
      </w:r>
      <w:r w:rsidR="00A87D07">
        <w:rPr>
          <w:rFonts w:cs="Calibri"/>
        </w:rPr>
        <w:instrText xml:space="preserve"> ADDIN EN.CITE &lt;EndNote&gt;&lt;Cite&gt;&lt;Author&gt;Alig&lt;/Author&gt;&lt;Year&gt;2008&lt;/Year&gt;&lt;RecNum&gt;227&lt;/RecNum&gt;&lt;DisplayText&gt;(Alig et al. 2008)&lt;/DisplayText&gt;&lt;record&gt;&lt;rec-number&gt;227&lt;/rec-number&gt;&lt;foreign-keys&gt;&lt;key app="EN" db-id="a90s5zadewrawxeer07v2f90xr5vxv022sat"&gt;227&lt;/key&gt;&lt;/foreign-keys&gt;&lt;ref-type name="Web Page"&gt;12&lt;/ref-type&gt;&lt;contributors&gt;&lt;authors&gt;&lt;author&gt;R. J. Alig&lt;/author&gt;&lt;author&gt;S. Stewart&lt;/author&gt;&lt;author&gt;D. N. Wear&lt;/author&gt;&lt;author&gt;S. M. Stein&lt;/author&gt;&lt;author&gt;D. Nowak&lt;/author&gt;&lt;/authors&gt;&lt;/contributors&gt;&lt;titles&gt;&lt;title&gt;Forest Parcelization&lt;/title&gt;&lt;/titles&gt;&lt;volume&gt;2010&lt;/volume&gt;&lt;number&gt;August 4&lt;/number&gt;&lt;edition&gt;Encyclepedia of Southern Bioenergy&lt;/edition&gt;&lt;dates&gt;&lt;year&gt;2008&lt;/year&gt;&lt;/dates&gt;&lt;urls&gt;&lt;related-urls&gt;&lt;url&gt;http://biomass.forestencyclopedia.net/p/p3121&lt;/url&gt;&lt;/related-urls&gt;&lt;/urls&gt;&lt;/record&gt;&lt;/Cite&gt;&lt;/EndNote&gt;</w:instrText>
      </w:r>
      <w:r w:rsidR="00E97FB1">
        <w:rPr>
          <w:rFonts w:cs="Calibri"/>
        </w:rPr>
        <w:fldChar w:fldCharType="separate"/>
      </w:r>
      <w:r w:rsidR="00A87D07">
        <w:rPr>
          <w:rFonts w:cs="Calibri"/>
          <w:noProof/>
        </w:rPr>
        <w:t>(</w:t>
      </w:r>
      <w:hyperlink w:anchor="_ENREF_19" w:tooltip="Alig, 2008 #227" w:history="1">
        <w:r w:rsidR="001E4C88">
          <w:rPr>
            <w:rFonts w:cs="Calibri"/>
            <w:noProof/>
          </w:rPr>
          <w:t>Alig et al. 2008</w:t>
        </w:r>
      </w:hyperlink>
      <w:r w:rsidR="00A87D07">
        <w:rPr>
          <w:rFonts w:cs="Calibri"/>
          <w:noProof/>
        </w:rPr>
        <w:t>)</w:t>
      </w:r>
      <w:r w:rsidR="00E97FB1">
        <w:rPr>
          <w:rFonts w:cs="Calibri"/>
        </w:rPr>
        <w:fldChar w:fldCharType="end"/>
      </w:r>
      <w:r w:rsidR="00D27A43">
        <w:rPr>
          <w:rFonts w:cs="Calibri"/>
        </w:rPr>
        <w:t>.</w:t>
      </w:r>
      <w:r w:rsidR="00CF391B" w:rsidRPr="00CF391B">
        <w:rPr>
          <w:rFonts w:cs="Calibri"/>
        </w:rPr>
        <w:t xml:space="preserve">  </w:t>
      </w:r>
      <w:r w:rsidR="00DF0AFA">
        <w:rPr>
          <w:rFonts w:cs="Calibri"/>
        </w:rPr>
        <w:t xml:space="preserve">Stein et al. </w:t>
      </w:r>
      <w:r w:rsidR="00DF0AFA">
        <w:rPr>
          <w:rFonts w:cs="Calibri"/>
        </w:rPr>
        <w:fldChar w:fldCharType="begin"/>
      </w:r>
      <w:r w:rsidR="00DF0AFA">
        <w:rPr>
          <w:rFonts w:cs="Calibri"/>
        </w:rPr>
        <w:instrText xml:space="preserve"> ADDIN EN.CITE &lt;EndNote&gt;&lt;Cite ExcludeAuth="1"&gt;&lt;Author&gt;Stein&lt;/Author&gt;&lt;Year&gt;2010&lt;/Year&gt;&lt;RecNum&gt;309&lt;/RecNum&gt;&lt;DisplayText&gt;(2010)&lt;/DisplayText&gt;&lt;record&gt;&lt;rec-number&gt;309&lt;/rec-number&gt;&lt;foreign-keys&gt;&lt;key app="EN" db-id="a90s5zadewrawxeer07v2f90xr5vxv022sat"&gt;309&lt;/key&gt;&lt;/foreign-keys&gt;&lt;ref-type name="Journal Article"&gt;17&lt;/ref-type&gt;&lt;contributors&gt;&lt;authors&gt;&lt;author&gt;Stein, Susan M.&lt;/author&gt;&lt;author&gt;McRoberts, Ronald E.&lt;/author&gt;&lt;author&gt;Nelson, Mark D.&lt;/author&gt;&lt;author&gt;Mahal, Lisa&lt;/author&gt;&lt;author&gt;Flather, Curtis H.&lt;/author&gt;&lt;author&gt;Alig, Ralph J.&lt;/author&gt;&lt;author&gt;Comas, Sara&lt;/author&gt;&lt;/authors&gt;&lt;/contributors&gt;&lt;titles&gt;&lt;title&gt;Private Forest Habitat for At-Risk Species: Where Is It and Where Might It Be Changing? &lt;/title&gt;&lt;secondary-title&gt;Journal of Forestry&lt;/secondary-title&gt;&lt;/titles&gt;&lt;periodical&gt;&lt;full-title&gt;Journal of Forestry&lt;/full-title&gt;&lt;abbr-1&gt;J. For.&lt;/abbr-1&gt;&lt;/periodical&gt;&lt;pages&gt;61-70&lt;/pages&gt;&lt;volume&gt;108&lt;/volume&gt;&lt;number&gt;2&lt;/number&gt;&lt;dates&gt;&lt;year&gt;2010&lt;/year&gt;&lt;/dates&gt;&lt;urls&gt;&lt;related-urls&gt;&lt;url&gt;http://www.treesearch.fs.fed.us/pubs/34771&lt;/url&gt;&lt;/related-urls&gt;&lt;/urls&gt;&lt;/record&gt;&lt;/Cite&gt;&lt;/EndNote&gt;</w:instrText>
      </w:r>
      <w:r w:rsidR="00DF0AFA">
        <w:rPr>
          <w:rFonts w:cs="Calibri"/>
        </w:rPr>
        <w:fldChar w:fldCharType="separate"/>
      </w:r>
      <w:r w:rsidR="00DF0AFA">
        <w:rPr>
          <w:rFonts w:cs="Calibri"/>
          <w:noProof/>
        </w:rPr>
        <w:t>(</w:t>
      </w:r>
      <w:hyperlink w:anchor="_ENREF_133" w:tooltip="Stein, 2010 #309" w:history="1">
        <w:r w:rsidR="001E4C88">
          <w:rPr>
            <w:rFonts w:cs="Calibri"/>
            <w:noProof/>
          </w:rPr>
          <w:t>2010</w:t>
        </w:r>
      </w:hyperlink>
      <w:r w:rsidR="00DF0AFA">
        <w:rPr>
          <w:rFonts w:cs="Calibri"/>
          <w:noProof/>
        </w:rPr>
        <w:t>)</w:t>
      </w:r>
      <w:r w:rsidR="00DF0AFA">
        <w:rPr>
          <w:rFonts w:cs="Calibri"/>
        </w:rPr>
        <w:fldChar w:fldCharType="end"/>
      </w:r>
      <w:r w:rsidR="00AF0B5A">
        <w:rPr>
          <w:rFonts w:cs="Calibri"/>
        </w:rPr>
        <w:t xml:space="preserve"> report that most of the region’s watersheds rank at or above the 90</w:t>
      </w:r>
      <w:r w:rsidR="00AF0B5A" w:rsidRPr="00AF0B5A">
        <w:rPr>
          <w:rFonts w:cs="Calibri"/>
          <w:vertAlign w:val="superscript"/>
        </w:rPr>
        <w:t>th</w:t>
      </w:r>
      <w:r w:rsidR="00AF0B5A">
        <w:rPr>
          <w:rFonts w:cs="Calibri"/>
        </w:rPr>
        <w:t xml:space="preserve"> percentile for number of at risk species associated with private forests </w:t>
      </w:r>
      <w:r w:rsidR="00913810">
        <w:rPr>
          <w:rFonts w:cs="Calibri"/>
        </w:rPr>
        <w:t xml:space="preserve">predicted </w:t>
      </w:r>
      <w:r w:rsidR="00AF0B5A">
        <w:rPr>
          <w:rFonts w:cs="Calibri"/>
        </w:rPr>
        <w:t>to be developed</w:t>
      </w:r>
      <w:r w:rsidR="00913810">
        <w:rPr>
          <w:rFonts w:cs="Calibri"/>
        </w:rPr>
        <w:t xml:space="preserve"> in the next two decades</w:t>
      </w:r>
      <w:r w:rsidR="00685FF7">
        <w:rPr>
          <w:rFonts w:cs="Calibri"/>
        </w:rPr>
        <w:t xml:space="preserve">.  </w:t>
      </w:r>
      <w:r w:rsidR="00CF391B" w:rsidRPr="00CF391B">
        <w:rPr>
          <w:rFonts w:cs="Calibri"/>
        </w:rPr>
        <w:t>Timberlands in the Cumberland</w:t>
      </w:r>
      <w:r w:rsidR="00F6056D">
        <w:rPr>
          <w:rFonts w:cs="Calibri"/>
        </w:rPr>
        <w:t xml:space="preserve"> </w:t>
      </w:r>
      <w:proofErr w:type="spellStart"/>
      <w:r w:rsidR="00F6056D">
        <w:rPr>
          <w:rFonts w:cs="Calibri"/>
        </w:rPr>
        <w:t>Mountains</w:t>
      </w:r>
      <w:r w:rsidR="00E856F1" w:rsidRPr="00E856F1">
        <w:rPr>
          <w:rFonts w:cs="Calibri"/>
          <w:vertAlign w:val="superscript"/>
        </w:rPr>
        <w:t>v</w:t>
      </w:r>
      <w:proofErr w:type="spellEnd"/>
      <w:r w:rsidR="00324C1C">
        <w:rPr>
          <w:rFonts w:cs="Calibri"/>
        </w:rPr>
        <w:t xml:space="preserve"> </w:t>
      </w:r>
      <w:r w:rsidR="00D7600E">
        <w:rPr>
          <w:rFonts w:cs="Calibri"/>
        </w:rPr>
        <w:t xml:space="preserve">and Plateau </w:t>
      </w:r>
      <w:r w:rsidR="00B12896">
        <w:rPr>
          <w:rFonts w:cs="Calibri"/>
        </w:rPr>
        <w:t xml:space="preserve">(or Cumberlands) </w:t>
      </w:r>
      <w:r w:rsidR="00CF391B" w:rsidRPr="00CF391B">
        <w:rPr>
          <w:rFonts w:cs="Calibri"/>
        </w:rPr>
        <w:t xml:space="preserve">of </w:t>
      </w:r>
      <w:r w:rsidR="006D0CBD" w:rsidRPr="00CF391B">
        <w:rPr>
          <w:rFonts w:cs="Calibri"/>
        </w:rPr>
        <w:t>T</w:t>
      </w:r>
      <w:r w:rsidR="006D0CBD">
        <w:rPr>
          <w:rFonts w:cs="Calibri"/>
        </w:rPr>
        <w:t>ennessee</w:t>
      </w:r>
      <w:r w:rsidR="00CF391B" w:rsidRPr="00CF391B">
        <w:rPr>
          <w:rFonts w:cs="Calibri"/>
        </w:rPr>
        <w:t xml:space="preserve"> will therefore be increasi</w:t>
      </w:r>
      <w:r w:rsidR="00207502">
        <w:rPr>
          <w:rFonts w:cs="Calibri"/>
        </w:rPr>
        <w:t>ngly impacted</w:t>
      </w:r>
      <w:r w:rsidR="00AF0B5A">
        <w:rPr>
          <w:rFonts w:cs="Calibri"/>
        </w:rPr>
        <w:t xml:space="preserve"> by development pressures</w:t>
      </w:r>
      <w:r w:rsidR="00CF391B" w:rsidRPr="00CF391B">
        <w:rPr>
          <w:rFonts w:cs="Calibri"/>
        </w:rPr>
        <w:t>, which</w:t>
      </w:r>
      <w:r w:rsidR="009F685A">
        <w:rPr>
          <w:rFonts w:cs="Calibri"/>
        </w:rPr>
        <w:t xml:space="preserve"> </w:t>
      </w:r>
      <w:r w:rsidR="003806FF">
        <w:rPr>
          <w:rFonts w:cs="Calibri"/>
        </w:rPr>
        <w:t xml:space="preserve">also </w:t>
      </w:r>
      <w:r w:rsidR="00CF391B" w:rsidRPr="00CF391B">
        <w:rPr>
          <w:rFonts w:cs="Calibri"/>
        </w:rPr>
        <w:t>present</w:t>
      </w:r>
      <w:r w:rsidR="00B12896">
        <w:rPr>
          <w:rFonts w:cs="Calibri"/>
        </w:rPr>
        <w:t>s</w:t>
      </w:r>
      <w:r w:rsidR="00CF391B" w:rsidRPr="00CF391B">
        <w:rPr>
          <w:rFonts w:cs="Calibri"/>
        </w:rPr>
        <w:t xml:space="preserve"> a</w:t>
      </w:r>
      <w:r w:rsidR="00B12896">
        <w:rPr>
          <w:rFonts w:cs="Calibri"/>
        </w:rPr>
        <w:t xml:space="preserve"> </w:t>
      </w:r>
      <w:r w:rsidR="00CF391B" w:rsidRPr="00CF391B">
        <w:rPr>
          <w:rFonts w:cs="Calibri"/>
        </w:rPr>
        <w:t xml:space="preserve">threat </w:t>
      </w:r>
      <w:r w:rsidR="00B12896">
        <w:rPr>
          <w:rFonts w:cs="Calibri"/>
        </w:rPr>
        <w:t xml:space="preserve">to the region’s timber supply </w:t>
      </w:r>
      <w:r w:rsidR="00CF391B" w:rsidRPr="00CF391B">
        <w:rPr>
          <w:rFonts w:cs="Calibri"/>
        </w:rPr>
        <w:fldChar w:fldCharType="begin"/>
      </w:r>
      <w:r w:rsidR="00CE2DF2">
        <w:rPr>
          <w:rFonts w:cs="Calibri"/>
        </w:rPr>
        <w:instrText xml:space="preserve"> ADDIN EN.CITE &lt;EndNote&gt;&lt;Cite&gt;&lt;Author&gt;Smith&lt;/Author&gt;&lt;Year&gt;2009&lt;/Year&gt;&lt;RecNum&gt;186&lt;/RecNum&gt;&lt;DisplayText&gt;(Smith 2009)&lt;/DisplayText&gt;&lt;record&gt;&lt;rec-number&gt;186&lt;/rec-number&gt;&lt;foreign-keys&gt;&lt;key app="EN" db-id="a90s5zadewrawxeer07v2f90xr5vxv022sat"&gt;186&lt;/key&gt;&lt;/foreign-keys&gt;&lt;ref-type name="Report"&gt;27&lt;/ref-type&gt;&lt;contributors&gt;&lt;authors&gt;&lt;author&gt;Smith, W. Brad, tech. coord.; Miles, Patrick D., data coord.; Perry, Charles H., map coord.; Pugh, Scott A., Data CD coord.&lt;/author&gt;&lt;/authors&gt;&lt;/contributors&gt;&lt;titles&gt;&lt;title&gt;Forest Resources of the United States, 2007. Gen. Tech. Rep. WO-78. Washington, DC: U.S. Department of Agriculture, Forest Service, Washington Office. 336 p&lt;/title&gt;&lt;/titles&gt;&lt;dates&gt;&lt;year&gt;2009&lt;/year&gt;&lt;/dates&gt;&lt;urls&gt;&lt;/urls&gt;&lt;/record&gt;&lt;/Cite&gt;&lt;/EndNote&gt;</w:instrText>
      </w:r>
      <w:r w:rsidR="00CF391B" w:rsidRPr="00CF391B">
        <w:rPr>
          <w:rFonts w:cs="Calibri"/>
        </w:rPr>
        <w:fldChar w:fldCharType="separate"/>
      </w:r>
      <w:r w:rsidR="00CE2DF2">
        <w:rPr>
          <w:rFonts w:cs="Calibri"/>
          <w:noProof/>
        </w:rPr>
        <w:t>(</w:t>
      </w:r>
      <w:hyperlink w:anchor="_ENREF_130" w:tooltip="Smith, 2009 #186" w:history="1">
        <w:r w:rsidR="001E4C88">
          <w:rPr>
            <w:rFonts w:cs="Calibri"/>
            <w:noProof/>
          </w:rPr>
          <w:t>Smith 2009</w:t>
        </w:r>
      </w:hyperlink>
      <w:r w:rsidR="00CE2DF2">
        <w:rPr>
          <w:rFonts w:cs="Calibri"/>
          <w:noProof/>
        </w:rPr>
        <w:t>)</w:t>
      </w:r>
      <w:r w:rsidR="00CF391B" w:rsidRPr="00CF391B">
        <w:rPr>
          <w:rFonts w:cs="Calibri"/>
        </w:rPr>
        <w:fldChar w:fldCharType="end"/>
      </w:r>
      <w:r w:rsidR="00CF391B" w:rsidRPr="00CF391B">
        <w:rPr>
          <w:rFonts w:cs="Calibri"/>
        </w:rPr>
        <w:t xml:space="preserve"> due to the </w:t>
      </w:r>
      <w:r w:rsidR="007975B9">
        <w:rPr>
          <w:rFonts w:cs="Calibri"/>
        </w:rPr>
        <w:t xml:space="preserve">area’s </w:t>
      </w:r>
      <w:r w:rsidR="00CF391B" w:rsidRPr="00CF391B">
        <w:rPr>
          <w:rFonts w:cs="Calibri"/>
        </w:rPr>
        <w:t xml:space="preserve">high stocks of timber.  </w:t>
      </w:r>
      <w:r w:rsidR="003957A4">
        <w:rPr>
          <w:rFonts w:cs="Calibri"/>
        </w:rPr>
        <w:t>Such effects have been incorporated into regional timber supply models in which they are assumed to primarily affect natural forests over pine plantations</w:t>
      </w:r>
      <w:r w:rsidR="006E46FC">
        <w:rPr>
          <w:rFonts w:cs="Calibri"/>
        </w:rPr>
        <w:t xml:space="preserve"> or other timberland investments</w:t>
      </w:r>
      <w:r w:rsidR="0036496D">
        <w:rPr>
          <w:rFonts w:cs="Calibri"/>
        </w:rPr>
        <w:t xml:space="preserve"> </w:t>
      </w:r>
      <w:r w:rsidR="00C178F2">
        <w:rPr>
          <w:rFonts w:cs="Calibri"/>
        </w:rPr>
        <w:fldChar w:fldCharType="begin"/>
      </w:r>
      <w:r w:rsidR="00C178F2">
        <w:rPr>
          <w:rFonts w:cs="Calibri"/>
        </w:rPr>
        <w:instrText xml:space="preserve"> ADDIN EN.CITE &lt;EndNote&gt;&lt;Cite&gt;&lt;Author&gt;Adams&lt;/Author&gt;&lt;Year&gt;2005&lt;/Year&gt;&lt;RecNum&gt;310&lt;/RecNum&gt;&lt;DisplayText&gt;(Adams et al. 2005)&lt;/DisplayText&gt;&lt;record&gt;&lt;rec-number&gt;310&lt;/rec-number&gt;&lt;foreign-keys&gt;&lt;key app="EN" db-id="a90s5zadewrawxeer07v2f90xr5vxv022sat"&gt;310&lt;/key&gt;&lt;/foreign-keys&gt;&lt;ref-type name="Journal Article"&gt;17&lt;/ref-type&gt;&lt;contributors&gt;&lt;authors&gt;&lt;author&gt;Adams, D.&lt;/author&gt;&lt;author&gt;J. Mills&lt;/author&gt;&lt;author&gt;R. Alig&lt;/author&gt;&lt;author&gt;R. Haynes&lt;/author&gt;&lt;/authors&gt;&lt;/contributors&gt;&lt;titles&gt;&lt;title&gt;SOFRA and RPA: Two Views of the Future of Southern Timber Supply&lt;/title&gt;&lt;secondary-title&gt;Southern Journal of Applied Forestry&lt;/secondary-title&gt;&lt;/titles&gt;&lt;periodical&gt;&lt;full-title&gt;Southern Journal of Applied Forestry&lt;/full-title&gt;&lt;/periodical&gt;&lt;pages&gt;123-134&lt;/pages&gt;&lt;volume&gt;29&lt;/volume&gt;&lt;number&gt;3&lt;/number&gt;&lt;dates&gt;&lt;year&gt;2005&lt;/year&gt;&lt;/dates&gt;&lt;urls&gt;&lt;related-urls&gt;&lt;url&gt;http://www.treesearch.fs.fed.us/pubs/24840&lt;/url&gt;&lt;/related-urls&gt;&lt;/urls&gt;&lt;/record&gt;&lt;/Cite&gt;&lt;/EndNote&gt;</w:instrText>
      </w:r>
      <w:r w:rsidR="00C178F2">
        <w:rPr>
          <w:rFonts w:cs="Calibri"/>
        </w:rPr>
        <w:fldChar w:fldCharType="separate"/>
      </w:r>
      <w:r w:rsidR="00C178F2">
        <w:rPr>
          <w:rFonts w:cs="Calibri"/>
          <w:noProof/>
        </w:rPr>
        <w:t>(</w:t>
      </w:r>
      <w:hyperlink w:anchor="_ENREF_18" w:tooltip="Adams, 2005 #310" w:history="1">
        <w:r w:rsidR="001E4C88">
          <w:rPr>
            <w:rFonts w:cs="Calibri"/>
            <w:noProof/>
          </w:rPr>
          <w:t>Adams et al. 2005</w:t>
        </w:r>
      </w:hyperlink>
      <w:r w:rsidR="00C178F2">
        <w:rPr>
          <w:rFonts w:cs="Calibri"/>
          <w:noProof/>
        </w:rPr>
        <w:t>)</w:t>
      </w:r>
      <w:r w:rsidR="00C178F2">
        <w:rPr>
          <w:rFonts w:cs="Calibri"/>
        </w:rPr>
        <w:fldChar w:fldCharType="end"/>
      </w:r>
      <w:r w:rsidR="003957A4">
        <w:rPr>
          <w:rFonts w:cs="Calibri"/>
        </w:rPr>
        <w:t>.</w:t>
      </w:r>
      <w:r w:rsidR="00D27A43">
        <w:rPr>
          <w:rFonts w:cs="Calibri"/>
        </w:rPr>
        <w:t xml:space="preserve"> </w:t>
      </w:r>
      <w:r w:rsidR="001774ED">
        <w:rPr>
          <w:rFonts w:cs="Calibri"/>
        </w:rPr>
        <w:t xml:space="preserve"> </w:t>
      </w:r>
      <w:r w:rsidR="00685FF7">
        <w:rPr>
          <w:rFonts w:cs="Calibri"/>
        </w:rPr>
        <w:t xml:space="preserve">However, the Cumberland Mountains are likely far enough from urban populations to </w:t>
      </w:r>
      <w:r w:rsidR="004275A3">
        <w:rPr>
          <w:rFonts w:cs="Calibri"/>
        </w:rPr>
        <w:t xml:space="preserve">largely </w:t>
      </w:r>
      <w:r w:rsidR="00685FF7">
        <w:rPr>
          <w:rFonts w:cs="Calibri"/>
        </w:rPr>
        <w:t xml:space="preserve">escape </w:t>
      </w:r>
      <w:r w:rsidR="004275A3">
        <w:rPr>
          <w:rFonts w:cs="Calibri"/>
        </w:rPr>
        <w:t xml:space="preserve">significant appreciation in timberland values and thusly remain relevant for IFM as opposed to avoided deforestation assessment.  </w:t>
      </w:r>
    </w:p>
    <w:p w:rsidR="00591524" w:rsidRPr="00306B0B" w:rsidRDefault="002E1EA4" w:rsidP="00617BC0">
      <w:pPr>
        <w:autoSpaceDE w:val="0"/>
        <w:autoSpaceDN w:val="0"/>
        <w:adjustRightInd w:val="0"/>
        <w:spacing w:line="480" w:lineRule="auto"/>
        <w:ind w:firstLine="720"/>
        <w:rPr>
          <w:bCs/>
        </w:rPr>
      </w:pPr>
      <w:r>
        <w:rPr>
          <w:rFonts w:cs="Calibri"/>
        </w:rPr>
        <w:lastRenderedPageBreak/>
        <w:t>Not only do the</w:t>
      </w:r>
      <w:r w:rsidRPr="00E97FB1">
        <w:rPr>
          <w:rFonts w:cs="Calibri"/>
        </w:rPr>
        <w:t xml:space="preserve"> Cumberland Mountains</w:t>
      </w:r>
      <w:r>
        <w:rPr>
          <w:rFonts w:cs="Calibri"/>
        </w:rPr>
        <w:t xml:space="preserve"> encompass one of the most diverse forest landscapes in North America </w:t>
      </w:r>
      <w:r>
        <w:rPr>
          <w:rFonts w:cs="Calibri"/>
        </w:rPr>
        <w:fldChar w:fldCharType="begin">
          <w:fldData xml:space="preserve">PEVuZE5vdGU+PENpdGU+PEF1dGhvcj5CcmF1bjwvQXV0aG9yPjxZZWFyPjE5NDI8L1llYXI+PFJl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</w:fldData>
        </w:fldChar>
      </w:r>
      <w:r w:rsidR="007B3D42">
        <w:rPr>
          <w:rFonts w:cs="Calibri"/>
        </w:rPr>
        <w:instrText xml:space="preserve"> ADDIN EN.CITE </w:instrText>
      </w:r>
      <w:r w:rsidR="007B3D42">
        <w:rPr>
          <w:rFonts w:cs="Calibri"/>
        </w:rPr>
        <w:fldChar w:fldCharType="begin">
          <w:fldData xml:space="preserve">PEVuZE5vdGU+PENpdGU+PEF1dGhvcj5CcmF1bjwvQXV0aG9yPjxZZWFyPjE5NDI8L1llYXI+PFJl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</w:fldData>
        </w:fldChar>
      </w:r>
      <w:r w:rsidR="007B3D42">
        <w:rPr>
          <w:rFonts w:cs="Calibri"/>
        </w:rPr>
        <w:instrText xml:space="preserve"> ADDIN EN.CITE.DATA </w:instrText>
      </w:r>
      <w:r w:rsidR="007B3D42">
        <w:rPr>
          <w:rFonts w:cs="Calibri"/>
        </w:rPr>
      </w:r>
      <w:r w:rsidR="007B3D42">
        <w:rPr>
          <w:rFonts w:cs="Calibri"/>
        </w:rPr>
        <w:fldChar w:fldCharType="end"/>
      </w:r>
      <w:r>
        <w:rPr>
          <w:rFonts w:cs="Calibri"/>
        </w:rPr>
      </w:r>
      <w:r>
        <w:rPr>
          <w:rFonts w:cs="Calibri"/>
        </w:rPr>
        <w:fldChar w:fldCharType="separate"/>
      </w:r>
      <w:r w:rsidR="00EE0AFE">
        <w:rPr>
          <w:rFonts w:cs="Calibri"/>
          <w:noProof/>
        </w:rPr>
        <w:t>(</w:t>
      </w:r>
      <w:hyperlink w:anchor="_ENREF_28" w:tooltip="Braun, 1942 #70" w:history="1">
        <w:r w:rsidR="001E4C88">
          <w:rPr>
            <w:rFonts w:cs="Calibri"/>
            <w:noProof/>
          </w:rPr>
          <w:t>Braun 1942</w:t>
        </w:r>
      </w:hyperlink>
      <w:r w:rsidR="00EE0AFE">
        <w:rPr>
          <w:rFonts w:cs="Calibri"/>
          <w:noProof/>
        </w:rPr>
        <w:t xml:space="preserve">; </w:t>
      </w:r>
      <w:hyperlink w:anchor="_ENREF_103" w:tooltip="Muller, 1982 #278" w:history="1">
        <w:r w:rsidR="001E4C88">
          <w:rPr>
            <w:rFonts w:cs="Calibri"/>
            <w:noProof/>
          </w:rPr>
          <w:t>Muller 1982</w:t>
        </w:r>
      </w:hyperlink>
      <w:r w:rsidR="00EE0AFE">
        <w:rPr>
          <w:rFonts w:cs="Calibri"/>
          <w:noProof/>
        </w:rPr>
        <w:t xml:space="preserve">; </w:t>
      </w:r>
      <w:hyperlink w:anchor="_ENREF_113" w:tooltip="Ricketts, 1999 #225" w:history="1">
        <w:r w:rsidR="001E4C88">
          <w:rPr>
            <w:rFonts w:cs="Calibri"/>
            <w:noProof/>
          </w:rPr>
          <w:t>Ricketts et al. 1999</w:t>
        </w:r>
      </w:hyperlink>
      <w:r w:rsidR="00EE0AFE">
        <w:rPr>
          <w:rFonts w:cs="Calibri"/>
          <w:noProof/>
        </w:rPr>
        <w:t>)</w:t>
      </w:r>
      <w:r>
        <w:rPr>
          <w:rFonts w:cs="Calibri"/>
        </w:rPr>
        <w:fldChar w:fldCharType="end"/>
      </w:r>
      <w:r>
        <w:rPr>
          <w:rFonts w:cs="Calibri"/>
        </w:rPr>
        <w:t xml:space="preserve">, they also </w:t>
      </w:r>
      <w:r>
        <w:rPr>
          <w:bCs/>
        </w:rPr>
        <w:t xml:space="preserve">comprise the headwaters of the Cumberland River, which is among the most diverse temperate freshwater communities in the world </w:t>
      </w:r>
      <w:r>
        <w:rPr>
          <w:bCs/>
        </w:rPr>
        <w:fldChar w:fldCharType="begin"/>
      </w:r>
      <w:r w:rsidR="00083723">
        <w:rPr>
          <w:bCs/>
        </w:rPr>
        <w:instrText xml:space="preserve"> ADDIN EN.CITE &lt;EndNote&gt;&lt;Cite&gt;&lt;Author&gt;NatureServe&lt;/Author&gt;&lt;Year&gt;2010&lt;/Year&gt;&lt;RecNum&gt;226&lt;/RecNum&gt;&lt;DisplayText&gt;(Natureserve 2010a)&lt;/DisplayText&gt;&lt;record&gt;&lt;rec-number&gt;226&lt;/rec-number&gt;&lt;foreign-keys&gt;&lt;key app="EN" db-id="a90s5zadewrawxeer07v2f90xr5vxv022sat"&gt;226&lt;/key&gt;&lt;/foreign-keys&gt;&lt;ref-type name="Web Page"&gt;12&lt;/ref-type&gt;&lt;contributors&gt;&lt;authors&gt;&lt;author&gt;NatureServe&lt;/author&gt;&lt;/authors&gt;&lt;/contributors&gt;&lt;titles&gt;&lt;title&gt;Cumberlands and Southern Ridge and Valley Ecoregion&lt;/title&gt;&lt;/titles&gt;&lt;volume&gt;2010&lt;/volume&gt;&lt;number&gt;April 23&lt;/number&gt;&lt;dates&gt;&lt;year&gt;2010a&lt;/year&gt;&lt;/dates&gt;&lt;urls&gt;&lt;related-urls&gt;&lt;url&gt;http://www.landscope.org/explore/natural_geographies/ecoregions/Cumberlands%20and%20Southern%20Ridge%20and%20Valley/&lt;/url&gt;&lt;/related-urls&gt;&lt;/urls&gt;&lt;/record&gt;&lt;/Cite&gt;&lt;/EndNote&gt;</w:instrText>
      </w:r>
      <w:r>
        <w:rPr>
          <w:bCs/>
        </w:rPr>
        <w:fldChar w:fldCharType="separate"/>
      </w:r>
      <w:r w:rsidR="00083723">
        <w:rPr>
          <w:bCs/>
          <w:noProof/>
        </w:rPr>
        <w:t>(</w:t>
      </w:r>
      <w:hyperlink w:anchor="_ENREF_105" w:tooltip="NatureServe, 2010a #226" w:history="1">
        <w:r w:rsidR="001E4C88">
          <w:rPr>
            <w:bCs/>
            <w:noProof/>
          </w:rPr>
          <w:t>Natureserve 2010a</w:t>
        </w:r>
      </w:hyperlink>
      <w:r w:rsidR="00083723">
        <w:rPr>
          <w:bCs/>
          <w:noProof/>
        </w:rPr>
        <w:t>)</w:t>
      </w:r>
      <w:r>
        <w:rPr>
          <w:bCs/>
        </w:rPr>
        <w:fldChar w:fldCharType="end"/>
      </w:r>
      <w:r>
        <w:rPr>
          <w:bCs/>
        </w:rPr>
        <w:t xml:space="preserve">.  </w:t>
      </w:r>
      <w:r w:rsidR="00E856F1">
        <w:rPr>
          <w:bCs/>
        </w:rPr>
        <w:t>It should be noted that c</w:t>
      </w:r>
      <w:r w:rsidR="00042786">
        <w:rPr>
          <w:rFonts w:cs="Calibri"/>
        </w:rPr>
        <w:t>orporate ownership is high in the</w:t>
      </w:r>
      <w:r w:rsidR="00F97C33">
        <w:rPr>
          <w:rFonts w:cs="Calibri"/>
        </w:rPr>
        <w:t xml:space="preserve"> Cumberland</w:t>
      </w:r>
      <w:r w:rsidR="00042786">
        <w:rPr>
          <w:rFonts w:cs="Calibri"/>
        </w:rPr>
        <w:t xml:space="preserve"> </w:t>
      </w:r>
      <w:r w:rsidR="00F97C33">
        <w:rPr>
          <w:rFonts w:cs="Calibri"/>
        </w:rPr>
        <w:t>M</w:t>
      </w:r>
      <w:r w:rsidR="00042786">
        <w:rPr>
          <w:rFonts w:cs="Calibri"/>
        </w:rPr>
        <w:t xml:space="preserve">ountains and significantly comprises watersheds </w:t>
      </w:r>
      <w:r w:rsidR="006E46FC">
        <w:rPr>
          <w:rFonts w:cs="Calibri"/>
        </w:rPr>
        <w:t>containing</w:t>
      </w:r>
      <w:r w:rsidR="00042786">
        <w:rPr>
          <w:rFonts w:cs="Calibri"/>
        </w:rPr>
        <w:t xml:space="preserve"> high numbers of at-risk species</w:t>
      </w:r>
      <w:r w:rsidR="00C178F2">
        <w:rPr>
          <w:rFonts w:cs="Calibri"/>
        </w:rPr>
        <w:t xml:space="preserve"> </w:t>
      </w:r>
      <w:r w:rsidR="00C64F2B">
        <w:rPr>
          <w:rFonts w:cs="Calibri"/>
        </w:rPr>
        <w:fldChar w:fldCharType="begin"/>
      </w:r>
      <w:r w:rsidR="00C64F2B">
        <w:rPr>
          <w:rFonts w:cs="Calibri"/>
        </w:rPr>
        <w:instrText xml:space="preserve"> ADDIN EN.CITE &lt;EndNote&gt;&lt;Cite&gt;&lt;Author&gt;Stein&lt;/Author&gt;&lt;Year&gt;2010&lt;/Year&gt;&lt;RecNum&gt;309&lt;/RecNum&gt;&lt;DisplayText&gt;(Stein et al. 2010)&lt;/DisplayText&gt;&lt;record&gt;&lt;rec-number&gt;309&lt;/rec-number&gt;&lt;foreign-keys&gt;&lt;key app="EN" db-id="a90s5zadewrawxeer07v2f90xr5vxv022sat"&gt;309&lt;/key&gt;&lt;/foreign-keys&gt;&lt;ref-type name="Journal Article"&gt;17&lt;/ref-type&gt;&lt;contributors&gt;&lt;authors&gt;&lt;author&gt;Stein, Susan M.&lt;/author&gt;&lt;author&gt;McRoberts, Ronald E.&lt;/author&gt;&lt;author&gt;Nelson, Mark D.&lt;/author&gt;&lt;author&gt;Mahal, Lisa&lt;/author&gt;&lt;author&gt;Flather, Curtis H.&lt;/author&gt;&lt;author&gt;Alig, Ralph J.&lt;/author&gt;&lt;author&gt;Comas, Sara&lt;/author&gt;&lt;/authors&gt;&lt;/contributors&gt;&lt;titles&gt;&lt;title&gt;Private Forest Habitat for At-Risk Species: Where Is It and Where Might It Be Changing? &lt;/title&gt;&lt;secondary-title&gt;Journal of Forestry&lt;/secondary-title&gt;&lt;/titles&gt;&lt;periodical&gt;&lt;full-title&gt;Journal of Forestry&lt;/full-title&gt;&lt;abbr-1&gt;J. For.&lt;/abbr-1&gt;&lt;/periodical&gt;&lt;pages&gt;61-70&lt;/pages&gt;&lt;volume&gt;108&lt;/volume&gt;&lt;number&gt;2&lt;/number&gt;&lt;dates&gt;&lt;year&gt;2010&lt;/year&gt;&lt;/dates&gt;&lt;urls&gt;&lt;related-urls&gt;&lt;url&gt;http://www.treesearch.fs.fed.us/pubs/34771&lt;/url&gt;&lt;/related-urls&gt;&lt;/urls&gt;&lt;/record&gt;&lt;/Cite&gt;&lt;/EndNote&gt;</w:instrText>
      </w:r>
      <w:r w:rsidR="00C64F2B">
        <w:rPr>
          <w:rFonts w:cs="Calibri"/>
        </w:rPr>
        <w:fldChar w:fldCharType="separate"/>
      </w:r>
      <w:r w:rsidR="00C64F2B">
        <w:rPr>
          <w:rFonts w:cs="Calibri"/>
          <w:noProof/>
        </w:rPr>
        <w:t>(</w:t>
      </w:r>
      <w:hyperlink w:anchor="_ENREF_133" w:tooltip="Stein, 2010 #309" w:history="1">
        <w:r w:rsidR="001E4C88">
          <w:rPr>
            <w:rFonts w:cs="Calibri"/>
            <w:noProof/>
          </w:rPr>
          <w:t>Stein et al. 2010</w:t>
        </w:r>
      </w:hyperlink>
      <w:r w:rsidR="00C64F2B">
        <w:rPr>
          <w:rFonts w:cs="Calibri"/>
          <w:noProof/>
        </w:rPr>
        <w:t>)</w:t>
      </w:r>
      <w:r w:rsidR="00C64F2B">
        <w:rPr>
          <w:rFonts w:cs="Calibri"/>
        </w:rPr>
        <w:fldChar w:fldCharType="end"/>
      </w:r>
      <w:r w:rsidR="00042786">
        <w:rPr>
          <w:rFonts w:cs="Calibri"/>
        </w:rPr>
        <w:t xml:space="preserve">. </w:t>
      </w:r>
      <w:r w:rsidR="00F97C33">
        <w:rPr>
          <w:rFonts w:cs="Calibri"/>
        </w:rPr>
        <w:t xml:space="preserve"> </w:t>
      </w:r>
      <w:r w:rsidR="00A31E6F">
        <w:rPr>
          <w:rFonts w:cs="Calibri"/>
        </w:rPr>
        <w:t>T</w:t>
      </w:r>
      <w:r w:rsidR="00F97C33">
        <w:rPr>
          <w:rFonts w:cs="Calibri"/>
        </w:rPr>
        <w:t xml:space="preserve">his may not bode well for such species given that </w:t>
      </w:r>
      <w:r w:rsidR="002A4F2C">
        <w:rPr>
          <w:rFonts w:cs="Calibri"/>
        </w:rPr>
        <w:t>many of these owners are t</w:t>
      </w:r>
      <w:r w:rsidR="00F97C33">
        <w:rPr>
          <w:rFonts w:cs="Calibri"/>
        </w:rPr>
        <w:t>imber</w:t>
      </w:r>
      <w:r w:rsidR="002A4F2C">
        <w:rPr>
          <w:rFonts w:cs="Calibri"/>
        </w:rPr>
        <w:t>land</w:t>
      </w:r>
      <w:r w:rsidR="00F97C33">
        <w:rPr>
          <w:rFonts w:cs="Calibri"/>
        </w:rPr>
        <w:t xml:space="preserve"> </w:t>
      </w:r>
      <w:r w:rsidR="002A4F2C">
        <w:rPr>
          <w:rFonts w:cs="Calibri"/>
        </w:rPr>
        <w:t>i</w:t>
      </w:r>
      <w:r w:rsidR="00F97C33">
        <w:rPr>
          <w:rFonts w:cs="Calibri"/>
        </w:rPr>
        <w:t xml:space="preserve">nvestment </w:t>
      </w:r>
      <w:r w:rsidR="002A4F2C">
        <w:rPr>
          <w:rFonts w:cs="Calibri"/>
        </w:rPr>
        <w:t>o</w:t>
      </w:r>
      <w:r w:rsidR="00F97C33">
        <w:rPr>
          <w:rFonts w:cs="Calibri"/>
        </w:rPr>
        <w:t xml:space="preserve">rganizations that </w:t>
      </w:r>
      <w:r w:rsidR="007D1AC6">
        <w:rPr>
          <w:rFonts w:cs="Calibri"/>
        </w:rPr>
        <w:t xml:space="preserve">might </w:t>
      </w:r>
      <w:r w:rsidR="002A4F2C">
        <w:rPr>
          <w:rFonts w:cs="Calibri"/>
        </w:rPr>
        <w:t>only hold these investments for relatively short periods</w:t>
      </w:r>
      <w:r w:rsidR="00F97C33">
        <w:rPr>
          <w:rFonts w:cs="Calibri"/>
        </w:rPr>
        <w:t xml:space="preserve">, </w:t>
      </w:r>
      <w:r w:rsidR="002A4F2C">
        <w:rPr>
          <w:rFonts w:cs="Calibri"/>
        </w:rPr>
        <w:t xml:space="preserve">after </w:t>
      </w:r>
      <w:r w:rsidR="00F97C33">
        <w:rPr>
          <w:rFonts w:cs="Calibri"/>
        </w:rPr>
        <w:t xml:space="preserve">which </w:t>
      </w:r>
      <w:r w:rsidR="002A4F2C">
        <w:rPr>
          <w:rFonts w:cs="Calibri"/>
        </w:rPr>
        <w:t>such lands could become</w:t>
      </w:r>
      <w:r w:rsidR="00F97C33">
        <w:rPr>
          <w:rFonts w:cs="Calibri"/>
        </w:rPr>
        <w:t xml:space="preserve"> </w:t>
      </w:r>
      <w:r w:rsidR="002A4F2C">
        <w:rPr>
          <w:rFonts w:cs="Calibri"/>
        </w:rPr>
        <w:t>parcelized</w:t>
      </w:r>
      <w:r w:rsidR="00F97C33">
        <w:rPr>
          <w:rFonts w:cs="Calibri"/>
        </w:rPr>
        <w:t xml:space="preserve"> </w:t>
      </w:r>
      <w:r w:rsidR="00EC71D3">
        <w:rPr>
          <w:rFonts w:cs="Calibri"/>
        </w:rPr>
        <w:fldChar w:fldCharType="begin"/>
      </w:r>
      <w:r w:rsidR="00A87D07">
        <w:rPr>
          <w:rFonts w:cs="Calibri"/>
        </w:rPr>
        <w:instrText xml:space="preserve"> ADDIN EN.CITE &lt;EndNote&gt;&lt;Cite&gt;&lt;Author&gt;Alig&lt;/Author&gt;&lt;Year&gt;2008&lt;/Year&gt;&lt;RecNum&gt;227&lt;/RecNum&gt;&lt;DisplayText&gt;(Alig et al. 2008)&lt;/DisplayText&gt;&lt;record&gt;&lt;rec-number&gt;227&lt;/rec-number&gt;&lt;foreign-keys&gt;&lt;key app="EN" db-id="a90s5zadewrawxeer07v2f90xr5vxv022sat"&gt;227&lt;/key&gt;&lt;/foreign-keys&gt;&lt;ref-type name="Web Page"&gt;12&lt;/ref-type&gt;&lt;contributors&gt;&lt;authors&gt;&lt;author&gt;R. J. Alig&lt;/author&gt;&lt;author&gt;S. Stewart&lt;/author&gt;&lt;author&gt;D. N. Wear&lt;/author&gt;&lt;author&gt;S. M. Stein&lt;/author&gt;&lt;author&gt;D. Nowak&lt;/author&gt;&lt;/authors&gt;&lt;/contributors&gt;&lt;titles&gt;&lt;title&gt;Forest Parcelization&lt;/title&gt;&lt;/titles&gt;&lt;volume&gt;2010&lt;/volume&gt;&lt;number&gt;August 4&lt;/number&gt;&lt;edition&gt;Encyclepedia of Southern Bioenergy&lt;/edition&gt;&lt;dates&gt;&lt;year&gt;2008&lt;/year&gt;&lt;/dates&gt;&lt;urls&gt;&lt;related-urls&gt;&lt;url&gt;http://biomass.forestencyclopedia.net/p/p3121&lt;/url&gt;&lt;/related-urls&gt;&lt;/urls&gt;&lt;/record&gt;&lt;/Cite&gt;&lt;/EndNote&gt;</w:instrText>
      </w:r>
      <w:r w:rsidR="00EC71D3">
        <w:rPr>
          <w:rFonts w:cs="Calibri"/>
        </w:rPr>
        <w:fldChar w:fldCharType="separate"/>
      </w:r>
      <w:r w:rsidR="00A87D07">
        <w:rPr>
          <w:rFonts w:cs="Calibri"/>
          <w:noProof/>
        </w:rPr>
        <w:t>(</w:t>
      </w:r>
      <w:hyperlink w:anchor="_ENREF_19" w:tooltip="Alig, 2008 #227" w:history="1">
        <w:r w:rsidR="001E4C88">
          <w:rPr>
            <w:rFonts w:cs="Calibri"/>
            <w:noProof/>
          </w:rPr>
          <w:t>Alig et al. 2008</w:t>
        </w:r>
      </w:hyperlink>
      <w:r w:rsidR="00A87D07">
        <w:rPr>
          <w:rFonts w:cs="Calibri"/>
          <w:noProof/>
        </w:rPr>
        <w:t>)</w:t>
      </w:r>
      <w:r w:rsidR="00EC71D3">
        <w:rPr>
          <w:rFonts w:cs="Calibri"/>
        </w:rPr>
        <w:fldChar w:fldCharType="end"/>
      </w:r>
      <w:r w:rsidR="002A4F2C">
        <w:t>.</w:t>
      </w:r>
      <w:r w:rsidR="00F97C33">
        <w:rPr>
          <w:rFonts w:cs="Calibri"/>
        </w:rPr>
        <w:t xml:space="preserve"> </w:t>
      </w:r>
      <w:r w:rsidR="002A4F2C">
        <w:rPr>
          <w:rFonts w:cs="Calibri"/>
        </w:rPr>
        <w:t xml:space="preserve"> </w:t>
      </w:r>
      <w:r w:rsidR="00BB39C1">
        <w:rPr>
          <w:rFonts w:cs="Calibri"/>
        </w:rPr>
        <w:t>The coinciding</w:t>
      </w:r>
      <w:r w:rsidR="00E71296">
        <w:rPr>
          <w:rFonts w:cs="Calibri"/>
        </w:rPr>
        <w:t xml:space="preserve"> fragmentation of timberland</w:t>
      </w:r>
      <w:r w:rsidR="00BB39C1">
        <w:rPr>
          <w:rFonts w:cs="Calibri"/>
        </w:rPr>
        <w:t xml:space="preserve"> is likely to adversely affect the </w:t>
      </w:r>
      <w:r w:rsidR="009E2FFA">
        <w:rPr>
          <w:rFonts w:cs="Calibri"/>
        </w:rPr>
        <w:t>seriously</w:t>
      </w:r>
      <w:r w:rsidR="0094275D">
        <w:rPr>
          <w:rFonts w:cs="Calibri"/>
        </w:rPr>
        <w:t xml:space="preserve"> declining </w:t>
      </w:r>
      <w:r w:rsidR="00BB39C1">
        <w:rPr>
          <w:rFonts w:cs="Calibri"/>
        </w:rPr>
        <w:t>cer</w:t>
      </w:r>
      <w:r w:rsidR="00BA0E30">
        <w:rPr>
          <w:rFonts w:cs="Calibri"/>
        </w:rPr>
        <w:t xml:space="preserve">ulean warbler </w:t>
      </w:r>
      <w:r w:rsidR="0094275D" w:rsidRPr="0094275D">
        <w:rPr>
          <w:rFonts w:cs="Calibri"/>
        </w:rPr>
        <w:t>(</w:t>
      </w:r>
      <w:r w:rsidR="0094275D" w:rsidRPr="0094275D">
        <w:rPr>
          <w:rFonts w:cs="Calibri"/>
          <w:i/>
        </w:rPr>
        <w:t>Dendroica cerulea</w:t>
      </w:r>
      <w:r w:rsidR="0094275D" w:rsidRPr="0094275D">
        <w:rPr>
          <w:rFonts w:cs="Calibri"/>
        </w:rPr>
        <w:t>)</w:t>
      </w:r>
      <w:r w:rsidR="0094275D">
        <w:rPr>
          <w:rFonts w:cs="Calibri"/>
        </w:rPr>
        <w:t xml:space="preserve"> </w:t>
      </w:r>
      <w:r w:rsidR="00BA0E30">
        <w:rPr>
          <w:rFonts w:cs="Calibri"/>
        </w:rPr>
        <w:t xml:space="preserve">population </w:t>
      </w:r>
      <w:r w:rsidR="00617BC0">
        <w:rPr>
          <w:rFonts w:cs="Calibri"/>
        </w:rPr>
        <w:fldChar w:fldCharType="begin"/>
      </w:r>
      <w:r w:rsidR="0094275D">
        <w:rPr>
          <w:rFonts w:cs="Calibri"/>
        </w:rPr>
        <w:instrText xml:space="preserve"> ADDIN EN.CITE &lt;EndNote&gt;&lt;Cite&gt;&lt;Author&gt;Buehler&lt;/Author&gt;&lt;Year&gt;2006&lt;/Year&gt;&lt;RecNum&gt;28&lt;/RecNum&gt;&lt;DisplayText&gt;(Buehler et al. 2006)&lt;/DisplayText&gt;&lt;record&gt;&lt;rec-number&gt;28&lt;/rec-number&gt;&lt;foreign-keys&gt;&lt;key app="EN" db-id="a90s5zadewrawxeer07v2f90xr5vxv022sat"&gt;28&lt;/key&gt;&lt;key app="ENWeb" db-id="S3c-7ArtqgcAACfG-zs"&gt;30&lt;/key&gt;&lt;/foreign-keys&gt;&lt;ref-type name="Journal Article"&gt;17&lt;/ref-type&gt;&lt;contributors&gt;&lt;authors&gt;&lt;author&gt;Buehler, D. A.&lt;/author&gt;&lt;author&gt;Welton, M. J.&lt;/author&gt;&lt;author&gt;Beachy, T. A.&lt;/author&gt;&lt;/authors&gt;&lt;/contributors&gt;&lt;auth-address&gt;Univ Tennessee, Dept Forestry Wildlife &amp;amp;amp; Fisheries, Knoxville, TN 37996 USA.&amp;#xD;Buehler, DA, Univ Tennessee, Dept Forestry Wildlife &amp;amp;amp; Fisheries, Knoxville, TN 37996 USA.&amp;#xD;dbuehler@utk.edu&lt;/auth-address&gt;&lt;titles&gt;&lt;title&gt;Predicting cerulean warbler habitat use in the Cumberland Mountains of Tennessee&lt;/title&gt;&lt;secondary-title&gt;Journal of Wildlife Management&lt;/secondary-title&gt;&lt;alt-title&gt;J. Wildl. Manage.&lt;/alt-title&gt;&lt;/titles&gt;&lt;periodical&gt;&lt;full-title&gt;Journal of Wildlife Management&lt;/full-title&gt;&lt;abbr-1&gt;J. Wildl. Manage.&lt;/abbr-1&gt;&lt;/periodical&gt;&lt;alt-periodical&gt;&lt;full-title&gt;Journal of Wildlife Management&lt;/full-title&gt;&lt;abbr-1&gt;J. Wildl. Manage.&lt;/abbr-1&gt;&lt;/alt-periodical&gt;&lt;pages&gt;1763-1769&lt;/pages&gt;&lt;volume&gt;70&lt;/volume&gt;&lt;number&gt;6&lt;/number&gt;&lt;keywords&gt;&lt;keyword&gt;cerulean warbler&lt;/keyword&gt;&lt;keyword&gt;coal mining&lt;/keyword&gt;&lt;keyword&gt;Dendroica cerulea&lt;/keyword&gt;&lt;keyword&gt;habitat&lt;/keyword&gt;&lt;keyword&gt;Mahalanobis&lt;/keyword&gt;&lt;keyword&gt;distance function&lt;/keyword&gt;&lt;keyword&gt;population viability&lt;/keyword&gt;&lt;keyword&gt;DENDROICA-CERULEA&lt;/keyword&gt;&lt;keyword&gt;MODEL&lt;/keyword&gt;&lt;/keywords&gt;&lt;dates&gt;&lt;year&gt;2006&lt;/year&gt;&lt;pub-dates&gt;&lt;date&gt;Dec&lt;/date&gt;&lt;/pub-dates&gt;&lt;/dates&gt;&lt;isbn&gt;0022-541X&lt;/isbn&gt;&lt;accession-num&gt;ISI:000244236100031&lt;/accession-num&gt;&lt;work-type&gt;Article&lt;/work-type&gt;&lt;urls&gt;&lt;/urls&gt;&lt;language&gt;English&lt;/language&gt;&lt;/record&gt;&lt;/Cite&gt;&lt;/EndNote&gt;</w:instrText>
      </w:r>
      <w:r w:rsidR="00617BC0">
        <w:rPr>
          <w:rFonts w:cs="Calibri"/>
        </w:rPr>
        <w:fldChar w:fldCharType="separate"/>
      </w:r>
      <w:r w:rsidR="0094275D">
        <w:rPr>
          <w:rFonts w:cs="Calibri"/>
          <w:noProof/>
        </w:rPr>
        <w:t>(</w:t>
      </w:r>
      <w:hyperlink w:anchor="_ENREF_30" w:tooltip="Buehler, 2006 #28" w:history="1">
        <w:r w:rsidR="001E4C88">
          <w:rPr>
            <w:rFonts w:cs="Calibri"/>
            <w:noProof/>
          </w:rPr>
          <w:t>Buehler et al. 2006</w:t>
        </w:r>
      </w:hyperlink>
      <w:r w:rsidR="0094275D">
        <w:rPr>
          <w:rFonts w:cs="Calibri"/>
          <w:noProof/>
        </w:rPr>
        <w:t>)</w:t>
      </w:r>
      <w:r w:rsidR="00617BC0">
        <w:rPr>
          <w:rFonts w:cs="Calibri"/>
        </w:rPr>
        <w:fldChar w:fldCharType="end"/>
      </w:r>
      <w:r w:rsidR="00E71296">
        <w:rPr>
          <w:rFonts w:cs="Calibri"/>
        </w:rPr>
        <w:t xml:space="preserve"> </w:t>
      </w:r>
      <w:r w:rsidR="00617BC0">
        <w:rPr>
          <w:rFonts w:cs="Calibri"/>
        </w:rPr>
        <w:t>and</w:t>
      </w:r>
      <w:r>
        <w:rPr>
          <w:rFonts w:cs="Calibri"/>
        </w:rPr>
        <w:t xml:space="preserve"> present</w:t>
      </w:r>
      <w:r w:rsidR="00617BC0">
        <w:rPr>
          <w:rFonts w:cs="Calibri"/>
        </w:rPr>
        <w:t>s</w:t>
      </w:r>
      <w:r>
        <w:rPr>
          <w:rFonts w:cs="Calibri"/>
        </w:rPr>
        <w:t xml:space="preserve"> a</w:t>
      </w:r>
      <w:r w:rsidR="00E71296">
        <w:rPr>
          <w:rFonts w:cs="Calibri"/>
        </w:rPr>
        <w:t xml:space="preserve"> grave threat to terrestrial biodiversity </w:t>
      </w:r>
      <w:r w:rsidR="00617BC0">
        <w:rPr>
          <w:rFonts w:cs="Calibri"/>
        </w:rPr>
        <w:t xml:space="preserve">in general </w:t>
      </w:r>
      <w:r w:rsidR="00E97FB1">
        <w:rPr>
          <w:rFonts w:cs="Calibri"/>
        </w:rPr>
        <w:fldChar w:fldCharType="begin"/>
      </w:r>
      <w:r w:rsidR="00A87D07">
        <w:rPr>
          <w:rFonts w:cs="Calibri"/>
        </w:rPr>
        <w:instrText xml:space="preserve"> ADDIN EN.CITE &lt;EndNote&gt;&lt;Cite&gt;&lt;Author&gt;Armsworth&lt;/Author&gt;&lt;Year&gt;2004&lt;/Year&gt;&lt;RecNum&gt;228&lt;/RecNum&gt;&lt;DisplayText&gt;(Armsworth et al. 2004)&lt;/DisplayText&gt;&lt;record&gt;&lt;rec-number&gt;228&lt;/rec-number&gt;&lt;foreign-keys&gt;&lt;key app="EN" db-id="a90s5zadewrawxeer07v2f90xr5vxv022sat"&gt;228&lt;/key&gt;&lt;/foreign-keys&gt;&lt;ref-type name="Journal Article"&gt;17&lt;/ref-type&gt;&lt;contributors&gt;&lt;authors&gt;&lt;author&gt;Armsworth, P.R.&lt;/author&gt;&lt;author&gt;Kendall, B.E.&lt;/author&gt;&lt;author&gt;Davis, F.W.&lt;/author&gt;&lt;/authors&gt;&lt;/contributors&gt;&lt;titles&gt;&lt;title&gt;An introduction to biodiversity concepts for environmental economists&lt;/title&gt;&lt;secondary-title&gt;Resource and energy economics&lt;/secondary-title&gt;&lt;/titles&gt;&lt;periodical&gt;&lt;full-title&gt;Resource and energy economics&lt;/full-title&gt;&lt;/periodical&gt;&lt;pages&gt;115-136&lt;/pages&gt;&lt;volume&gt;26&lt;/volume&gt;&lt;dates&gt;&lt;year&gt;2004&lt;/year&gt;&lt;/dates&gt;&lt;urls&gt;&lt;/urls&gt;&lt;/record&gt;&lt;/Cite&gt;&lt;/EndNote&gt;</w:instrText>
      </w:r>
      <w:r w:rsidR="00E97FB1">
        <w:rPr>
          <w:rFonts w:cs="Calibri"/>
        </w:rPr>
        <w:fldChar w:fldCharType="separate"/>
      </w:r>
      <w:r w:rsidR="00A87D07">
        <w:rPr>
          <w:rFonts w:cs="Calibri"/>
          <w:noProof/>
        </w:rPr>
        <w:t>(</w:t>
      </w:r>
      <w:hyperlink w:anchor="_ENREF_20" w:tooltip="Armsworth, 2004 #228" w:history="1">
        <w:r w:rsidR="001E4C88">
          <w:rPr>
            <w:rFonts w:cs="Calibri"/>
            <w:noProof/>
          </w:rPr>
          <w:t>Armsworth et al. 2004</w:t>
        </w:r>
      </w:hyperlink>
      <w:r w:rsidR="00A87D07">
        <w:rPr>
          <w:rFonts w:cs="Calibri"/>
          <w:noProof/>
        </w:rPr>
        <w:t>)</w:t>
      </w:r>
      <w:r w:rsidR="00E97FB1">
        <w:rPr>
          <w:rFonts w:cs="Calibri"/>
        </w:rPr>
        <w:fldChar w:fldCharType="end"/>
      </w:r>
      <w:r w:rsidR="00E97FB1">
        <w:rPr>
          <w:rFonts w:cs="Calibri"/>
        </w:rPr>
        <w:t>.</w:t>
      </w:r>
      <w:r w:rsidR="00E71296">
        <w:rPr>
          <w:rFonts w:cs="Calibri"/>
        </w:rPr>
        <w:t xml:space="preserve"> </w:t>
      </w:r>
      <w:r w:rsidR="00E97FB1">
        <w:rPr>
          <w:rFonts w:cs="Calibri"/>
        </w:rPr>
        <w:t xml:space="preserve"> </w:t>
      </w:r>
      <w:r w:rsidR="0094275D">
        <w:rPr>
          <w:bCs/>
        </w:rPr>
        <w:t>Thus</w:t>
      </w:r>
      <w:r w:rsidR="00E856F1">
        <w:rPr>
          <w:bCs/>
        </w:rPr>
        <w:t>, i</w:t>
      </w:r>
      <w:r w:rsidR="007D1AC6">
        <w:rPr>
          <w:bCs/>
        </w:rPr>
        <w:t>n addition to facilitating the adoption of more sustainable forestry practices</w:t>
      </w:r>
      <w:r w:rsidR="00685FF7">
        <w:rPr>
          <w:bCs/>
        </w:rPr>
        <w:t>,</w:t>
      </w:r>
      <w:r w:rsidR="001A793D">
        <w:rPr>
          <w:bCs/>
        </w:rPr>
        <w:t xml:space="preserve"> </w:t>
      </w:r>
      <w:r w:rsidR="00D81F53">
        <w:rPr>
          <w:bCs/>
        </w:rPr>
        <w:t xml:space="preserve">successful IFM </w:t>
      </w:r>
      <w:r w:rsidR="0094275D">
        <w:rPr>
          <w:bCs/>
        </w:rPr>
        <w:t>deployment</w:t>
      </w:r>
      <w:r w:rsidR="00D81F53">
        <w:rPr>
          <w:bCs/>
        </w:rPr>
        <w:t xml:space="preserve"> in </w:t>
      </w:r>
      <w:r w:rsidR="00364D33" w:rsidRPr="00EC71D3">
        <w:rPr>
          <w:bCs/>
        </w:rPr>
        <w:t>such high conservation value forests</w:t>
      </w:r>
      <w:r w:rsidR="00D81F53">
        <w:rPr>
          <w:bCs/>
        </w:rPr>
        <w:t xml:space="preserve"> </w:t>
      </w:r>
      <w:r w:rsidR="00C963FE">
        <w:rPr>
          <w:bCs/>
        </w:rPr>
        <w:t>w</w:t>
      </w:r>
      <w:r w:rsidR="00D81F53">
        <w:rPr>
          <w:bCs/>
        </w:rPr>
        <w:t xml:space="preserve">ould </w:t>
      </w:r>
      <w:r w:rsidR="00617BC0">
        <w:rPr>
          <w:bCs/>
        </w:rPr>
        <w:t xml:space="preserve">not only </w:t>
      </w:r>
      <w:r w:rsidR="007169D1">
        <w:rPr>
          <w:bCs/>
        </w:rPr>
        <w:t xml:space="preserve">help </w:t>
      </w:r>
      <w:r w:rsidR="00473750">
        <w:rPr>
          <w:bCs/>
        </w:rPr>
        <w:t>maintain</w:t>
      </w:r>
      <w:r w:rsidR="007169D1">
        <w:rPr>
          <w:bCs/>
        </w:rPr>
        <w:t xml:space="preserve"> forest </w:t>
      </w:r>
      <w:r w:rsidR="00EE0AFE">
        <w:rPr>
          <w:bCs/>
        </w:rPr>
        <w:t xml:space="preserve">continuity and </w:t>
      </w:r>
      <w:r w:rsidR="007169D1">
        <w:rPr>
          <w:bCs/>
        </w:rPr>
        <w:t xml:space="preserve">management </w:t>
      </w:r>
      <w:r w:rsidR="002A4F2C">
        <w:rPr>
          <w:bCs/>
        </w:rPr>
        <w:t xml:space="preserve">efficacy </w:t>
      </w:r>
      <w:r w:rsidR="00617BC0">
        <w:rPr>
          <w:bCs/>
        </w:rPr>
        <w:t xml:space="preserve">but would also </w:t>
      </w:r>
      <w:r w:rsidR="00D81F53">
        <w:rPr>
          <w:bCs/>
        </w:rPr>
        <w:t>render</w:t>
      </w:r>
      <w:r w:rsidR="00C04EA0">
        <w:rPr>
          <w:bCs/>
        </w:rPr>
        <w:t xml:space="preserve"> </w:t>
      </w:r>
      <w:r w:rsidR="0094275D">
        <w:rPr>
          <w:bCs/>
        </w:rPr>
        <w:t>large</w:t>
      </w:r>
      <w:r w:rsidR="00C04EA0">
        <w:rPr>
          <w:bCs/>
        </w:rPr>
        <w:t xml:space="preserve"> and distinctive non-carbon </w:t>
      </w:r>
      <w:r w:rsidR="00D81F53">
        <w:rPr>
          <w:bCs/>
        </w:rPr>
        <w:t>benefits.</w:t>
      </w:r>
    </w:p>
    <w:p w:rsidR="00DD3A60" w:rsidRPr="002B58DD" w:rsidRDefault="00DD3A60" w:rsidP="00591524">
      <w:pPr>
        <w:pStyle w:val="Heading6"/>
        <w:numPr>
          <w:ilvl w:val="1"/>
          <w:numId w:val="16"/>
        </w:numPr>
        <w:spacing w:line="480" w:lineRule="auto"/>
        <w:ind w:left="450"/>
        <w:rPr>
          <w:i/>
        </w:rPr>
      </w:pPr>
      <w:r w:rsidRPr="002B58DD">
        <w:rPr>
          <w:i/>
        </w:rPr>
        <w:t xml:space="preserve">Ownership and </w:t>
      </w:r>
      <w:r w:rsidR="00552280" w:rsidRPr="002B58DD">
        <w:rPr>
          <w:i/>
        </w:rPr>
        <w:t>Anticipated Behaviors/Opportunities</w:t>
      </w:r>
    </w:p>
    <w:p w:rsidR="00A95F6D" w:rsidRDefault="00A95F6D" w:rsidP="009F685A">
      <w:pPr>
        <w:autoSpaceDE w:val="0"/>
        <w:autoSpaceDN w:val="0"/>
        <w:adjustRightInd w:val="0"/>
        <w:spacing w:line="480" w:lineRule="auto"/>
        <w:ind w:firstLine="720"/>
        <w:rPr>
          <w:rFonts w:cs="Calibri"/>
        </w:rPr>
      </w:pPr>
      <w:r w:rsidRPr="00596CB5">
        <w:rPr>
          <w:rFonts w:cs="Calibri"/>
        </w:rPr>
        <w:t xml:space="preserve">Further insight into the practical </w:t>
      </w:r>
      <w:r>
        <w:rPr>
          <w:rFonts w:cs="Calibri"/>
        </w:rPr>
        <w:t xml:space="preserve">and meaningful </w:t>
      </w:r>
      <w:r w:rsidRPr="00596CB5">
        <w:rPr>
          <w:rFonts w:cs="Calibri"/>
        </w:rPr>
        <w:t xml:space="preserve">deployment of IFM activities in the South requires </w:t>
      </w:r>
      <w:r>
        <w:rPr>
          <w:rFonts w:cs="Calibri"/>
        </w:rPr>
        <w:t>considera</w:t>
      </w:r>
      <w:r w:rsidR="005E3CA9">
        <w:rPr>
          <w:rFonts w:cs="Calibri"/>
        </w:rPr>
        <w:t xml:space="preserve">tion of </w:t>
      </w:r>
      <w:r w:rsidR="00960C22">
        <w:rPr>
          <w:rFonts w:cs="Calibri"/>
        </w:rPr>
        <w:t>the makeup of timberland</w:t>
      </w:r>
      <w:r w:rsidR="00960C22" w:rsidRPr="00596CB5">
        <w:rPr>
          <w:rFonts w:cs="Calibri"/>
        </w:rPr>
        <w:t xml:space="preserve"> ownerships</w:t>
      </w:r>
      <w:r w:rsidR="00960C22">
        <w:rPr>
          <w:rFonts w:cs="Calibri"/>
        </w:rPr>
        <w:t xml:space="preserve"> and </w:t>
      </w:r>
      <w:r w:rsidR="007169D1">
        <w:rPr>
          <w:rFonts w:cs="Calibri"/>
        </w:rPr>
        <w:t>recent economic impacts</w:t>
      </w:r>
      <w:r w:rsidR="005E3CA9">
        <w:rPr>
          <w:rFonts w:cs="Calibri"/>
        </w:rPr>
        <w:t xml:space="preserve">. </w:t>
      </w:r>
      <w:r w:rsidR="00960C22">
        <w:rPr>
          <w:rFonts w:cs="Calibri"/>
        </w:rPr>
        <w:t xml:space="preserve"> </w:t>
      </w:r>
      <w:r w:rsidR="008C74A5">
        <w:rPr>
          <w:rFonts w:cs="Calibri"/>
        </w:rPr>
        <w:t>First, i</w:t>
      </w:r>
      <w:r>
        <w:rPr>
          <w:rFonts w:cs="Calibri"/>
        </w:rPr>
        <w:t xml:space="preserve">t </w:t>
      </w:r>
      <w:r w:rsidR="008C74A5">
        <w:rPr>
          <w:rFonts w:cs="Calibri"/>
        </w:rPr>
        <w:t>should be noted</w:t>
      </w:r>
      <w:r w:rsidRPr="00596CB5">
        <w:rPr>
          <w:rFonts w:cs="Calibri"/>
        </w:rPr>
        <w:t xml:space="preserve"> that the vast majority of southern </w:t>
      </w:r>
      <w:r>
        <w:rPr>
          <w:rFonts w:cs="Calibri"/>
        </w:rPr>
        <w:t>timberland</w:t>
      </w:r>
      <w:r w:rsidRPr="00596CB5">
        <w:rPr>
          <w:rFonts w:cs="Calibri"/>
        </w:rPr>
        <w:t xml:space="preserve"> </w:t>
      </w:r>
      <w:r>
        <w:rPr>
          <w:rFonts w:cs="Calibri"/>
        </w:rPr>
        <w:t>is privately held</w:t>
      </w:r>
      <w:r w:rsidRPr="00596CB5">
        <w:rPr>
          <w:rFonts w:cs="Calibri"/>
        </w:rPr>
        <w:t xml:space="preserve"> and </w:t>
      </w:r>
      <w:r>
        <w:rPr>
          <w:rFonts w:cs="Calibri"/>
        </w:rPr>
        <w:t>60</w:t>
      </w:r>
      <w:r w:rsidRPr="00596CB5">
        <w:rPr>
          <w:rFonts w:cs="Calibri"/>
        </w:rPr>
        <w:t xml:space="preserve"> percent is held by </w:t>
      </w:r>
      <w:r w:rsidR="00D45046">
        <w:rPr>
          <w:rFonts w:cs="Calibri"/>
        </w:rPr>
        <w:t>non</w:t>
      </w:r>
      <w:r w:rsidR="00A66D8F">
        <w:rPr>
          <w:rFonts w:cs="Calibri"/>
        </w:rPr>
        <w:t>-</w:t>
      </w:r>
      <w:r w:rsidR="00D45046">
        <w:rPr>
          <w:rFonts w:cs="Calibri"/>
        </w:rPr>
        <w:t xml:space="preserve">corporate </w:t>
      </w:r>
      <w:r w:rsidR="00D45046" w:rsidRPr="00596CB5">
        <w:rPr>
          <w:rFonts w:cs="Calibri"/>
        </w:rPr>
        <w:t>ownership</w:t>
      </w:r>
      <w:r w:rsidR="00D45046">
        <w:rPr>
          <w:rFonts w:cs="Calibri"/>
        </w:rPr>
        <w:t xml:space="preserve">s </w:t>
      </w:r>
      <w:r w:rsidR="00D45046">
        <w:rPr>
          <w:rFonts w:cs="Calibri"/>
        </w:rPr>
        <w:fldChar w:fldCharType="begin"/>
      </w:r>
      <w:r w:rsidR="00CE2DF2">
        <w:rPr>
          <w:rFonts w:cs="Calibri"/>
        </w:rPr>
        <w:instrText xml:space="preserve"> ADDIN EN.CITE &lt;EndNote&gt;&lt;Cite&gt;&lt;Author&gt;Smith&lt;/Author&gt;&lt;Year&gt;2009&lt;/Year&gt;&lt;RecNum&gt;186&lt;/RecNum&gt;&lt;DisplayText&gt;(Smith 2009)&lt;/DisplayText&gt;&lt;record&gt;&lt;rec-number&gt;186&lt;/rec-number&gt;&lt;foreign-keys&gt;&lt;key app="EN" db-id="a90s5zadewrawxeer07v2f90xr5vxv022sat"&gt;186&lt;/key&gt;&lt;/foreign-keys&gt;&lt;ref-type name="Report"&gt;27&lt;/ref-type&gt;&lt;contributors&gt;&lt;authors&gt;&lt;author&gt;Smith, W. Brad, tech. coord.; Miles, Patrick D., data coord.; Perry, Charles H., map coord.; Pugh, Scott A., Data CD coord.&lt;/author&gt;&lt;/authors&gt;&lt;/contributors&gt;&lt;titles&gt;&lt;title&gt;Forest Resources of the United States, 2007. Gen. Tech. Rep. WO-78. Washington, DC: U.S. Department of Agriculture, Forest Service, Washington Office. 336 p&lt;/title&gt;&lt;/titles&gt;&lt;dates&gt;&lt;year&gt;2009&lt;/year&gt;&lt;/dates&gt;&lt;urls&gt;&lt;/urls&gt;&lt;/record&gt;&lt;/Cite&gt;&lt;/EndNote&gt;</w:instrText>
      </w:r>
      <w:r w:rsidR="00D45046">
        <w:rPr>
          <w:rFonts w:cs="Calibri"/>
        </w:rPr>
        <w:fldChar w:fldCharType="separate"/>
      </w:r>
      <w:r w:rsidR="00CE2DF2">
        <w:rPr>
          <w:rFonts w:cs="Calibri"/>
          <w:noProof/>
        </w:rPr>
        <w:t>(</w:t>
      </w:r>
      <w:hyperlink w:anchor="_ENREF_130" w:tooltip="Smith, 2009 #186" w:history="1">
        <w:r w:rsidR="001E4C88">
          <w:rPr>
            <w:rFonts w:cs="Calibri"/>
            <w:noProof/>
          </w:rPr>
          <w:t>Smith 2009</w:t>
        </w:r>
      </w:hyperlink>
      <w:r w:rsidR="00CE2DF2">
        <w:rPr>
          <w:rFonts w:cs="Calibri"/>
          <w:noProof/>
        </w:rPr>
        <w:t>)</w:t>
      </w:r>
      <w:r w:rsidR="00D45046">
        <w:rPr>
          <w:rFonts w:cs="Calibri"/>
        </w:rPr>
        <w:fldChar w:fldCharType="end"/>
      </w:r>
      <w:r w:rsidR="00D45046">
        <w:rPr>
          <w:rFonts w:cs="Calibri"/>
        </w:rPr>
        <w:t xml:space="preserve">, or </w:t>
      </w:r>
      <w:r w:rsidRPr="00596CB5">
        <w:rPr>
          <w:rFonts w:cs="Calibri"/>
        </w:rPr>
        <w:t>family forest owner</w:t>
      </w:r>
      <w:r w:rsidR="00617BC0">
        <w:rPr>
          <w:rFonts w:cs="Calibri"/>
        </w:rPr>
        <w:t>ships</w:t>
      </w:r>
      <w:r>
        <w:rPr>
          <w:rFonts w:cs="Calibri"/>
        </w:rPr>
        <w:t xml:space="preserve"> </w:t>
      </w:r>
      <w:r w:rsidR="00D45046">
        <w:rPr>
          <w:rFonts w:cs="Calibri"/>
        </w:rPr>
        <w:t>(</w:t>
      </w:r>
      <w:r>
        <w:rPr>
          <w:rFonts w:cs="Calibri"/>
        </w:rPr>
        <w:t>FFOs</w:t>
      </w:r>
      <w:r w:rsidR="00D45046">
        <w:rPr>
          <w:rFonts w:cs="Calibri"/>
        </w:rPr>
        <w:t>),</w:t>
      </w:r>
      <w:r>
        <w:rPr>
          <w:rFonts w:cs="Calibri"/>
        </w:rPr>
        <w:t xml:space="preserve"> </w:t>
      </w:r>
      <w:r w:rsidR="00E856F1">
        <w:rPr>
          <w:rFonts w:cs="Calibri"/>
        </w:rPr>
        <w:t>which</w:t>
      </w:r>
      <w:r w:rsidRPr="00596CB5">
        <w:rPr>
          <w:rFonts w:cs="Calibri"/>
        </w:rPr>
        <w:t xml:space="preserve"> m</w:t>
      </w:r>
      <w:r w:rsidR="007169D1">
        <w:rPr>
          <w:rFonts w:cs="Calibri"/>
        </w:rPr>
        <w:t>ost</w:t>
      </w:r>
      <w:r w:rsidRPr="00596CB5">
        <w:rPr>
          <w:rFonts w:cs="Calibri"/>
        </w:rPr>
        <w:t xml:space="preserve"> </w:t>
      </w:r>
      <w:r>
        <w:rPr>
          <w:rFonts w:cs="Calibri"/>
        </w:rPr>
        <w:t>applied forestry</w:t>
      </w:r>
      <w:r w:rsidRPr="00596CB5">
        <w:rPr>
          <w:rFonts w:cs="Calibri"/>
        </w:rPr>
        <w:t xml:space="preserve"> research is at least implicitly focused on informing or studying (including this </w:t>
      </w:r>
      <w:r>
        <w:rPr>
          <w:rFonts w:cs="Calibri"/>
        </w:rPr>
        <w:t>paper</w:t>
      </w:r>
      <w:r w:rsidRPr="00596CB5">
        <w:rPr>
          <w:rFonts w:cs="Calibri"/>
        </w:rPr>
        <w:t xml:space="preserve">). </w:t>
      </w:r>
      <w:r w:rsidR="005C67C1">
        <w:rPr>
          <w:rFonts w:cs="Calibri"/>
        </w:rPr>
        <w:t xml:space="preserve"> Second, n</w:t>
      </w:r>
      <w:r>
        <w:rPr>
          <w:rFonts w:cs="Calibri"/>
        </w:rPr>
        <w:t>early half of</w:t>
      </w:r>
      <w:r w:rsidRPr="00DA021F">
        <w:rPr>
          <w:rFonts w:cs="Calibri"/>
        </w:rPr>
        <w:t xml:space="preserve"> FFO land is comprised of </w:t>
      </w:r>
      <w:r>
        <w:rPr>
          <w:rFonts w:cs="Calibri"/>
        </w:rPr>
        <w:t>5</w:t>
      </w:r>
      <w:r w:rsidR="009F685A">
        <w:rPr>
          <w:rFonts w:cs="Calibri"/>
        </w:rPr>
        <w:t>0-499</w:t>
      </w:r>
      <w:r w:rsidRPr="00DA021F">
        <w:rPr>
          <w:rFonts w:cs="Calibri"/>
        </w:rPr>
        <w:t xml:space="preserve">ac </w:t>
      </w:r>
      <w:r w:rsidR="009F685A">
        <w:rPr>
          <w:rFonts w:cs="Calibri"/>
        </w:rPr>
        <w:t>(</w:t>
      </w:r>
      <w:r w:rsidR="001F02FF">
        <w:rPr>
          <w:rFonts w:cs="Calibri"/>
        </w:rPr>
        <w:t xml:space="preserve">small to </w:t>
      </w:r>
      <w:r w:rsidR="009F685A">
        <w:rPr>
          <w:rFonts w:cs="Calibri"/>
        </w:rPr>
        <w:t>medium)</w:t>
      </w:r>
      <w:r w:rsidRPr="00DA021F">
        <w:rPr>
          <w:rFonts w:cs="Calibri"/>
        </w:rPr>
        <w:t xml:space="preserve"> </w:t>
      </w:r>
      <w:r w:rsidR="001F02FF" w:rsidRPr="00DA021F">
        <w:rPr>
          <w:rFonts w:cs="Calibri"/>
        </w:rPr>
        <w:t xml:space="preserve">tract </w:t>
      </w:r>
      <w:r w:rsidRPr="00DA021F">
        <w:rPr>
          <w:rFonts w:cs="Calibri"/>
        </w:rPr>
        <w:t xml:space="preserve">sizes and </w:t>
      </w:r>
      <w:r>
        <w:rPr>
          <w:rFonts w:cs="Calibri"/>
        </w:rPr>
        <w:t>another quarter</w:t>
      </w:r>
      <w:r w:rsidRPr="00DA021F">
        <w:rPr>
          <w:rFonts w:cs="Calibri"/>
        </w:rPr>
        <w:t xml:space="preserve"> is comprised of larger tracts, held by </w:t>
      </w:r>
      <w:r>
        <w:rPr>
          <w:rFonts w:cs="Calibri"/>
        </w:rPr>
        <w:t>12.1</w:t>
      </w:r>
      <w:r w:rsidRPr="00DA021F">
        <w:rPr>
          <w:rFonts w:cs="Calibri"/>
        </w:rPr>
        <w:t xml:space="preserve"> percent and 0.7 percent of FFOs respectively</w:t>
      </w:r>
      <w:r w:rsidRPr="00DA021F">
        <w:rPr>
          <w:rStyle w:val="FootnoteReference"/>
          <w:rFonts w:cs="Calibri"/>
        </w:rPr>
        <w:footnoteReference w:id="6"/>
      </w:r>
      <w:r w:rsidRPr="00DA021F">
        <w:rPr>
          <w:rFonts w:cs="Calibri"/>
        </w:rPr>
        <w:t xml:space="preserve"> </w:t>
      </w:r>
      <w:r w:rsidRPr="00DA021F">
        <w:rPr>
          <w:rFonts w:cs="Calibri"/>
        </w:rPr>
        <w:fldChar w:fldCharType="begin"/>
      </w:r>
      <w:r w:rsidR="00737C5E">
        <w:rPr>
          <w:rFonts w:cs="Calibri"/>
        </w:rPr>
        <w:instrText xml:space="preserve"> ADDIN EN.CITE &lt;EndNote&gt;&lt;Cite&gt;&lt;Author&gt;Butler&lt;/Author&gt;&lt;Year&gt;2008&lt;/Year&gt;&lt;RecNum&gt;52&lt;/RecNum&gt;&lt;DisplayText&gt;(Butler 2008a)&lt;/DisplayText&gt;&lt;record&gt;&lt;rec-number&gt;52&lt;/rec-number&gt;&lt;foreign-keys&gt;&lt;key app="EN" db-id="a90s5zadewrawxeer07v2f90xr5vxv022sat"&gt;52&lt;/key&gt;&lt;key app="ENWeb" db-id="S3c-7ArtqgcAACfG-zs"&gt;54&lt;/key&gt;&lt;/foreign-keys&gt;&lt;ref-type name="Aggregated Database"&gt;55&lt;/ref-type&gt;&lt;contributors&gt;&lt;authors&gt;&lt;author&gt;Butler, Brett J.&lt;/author&gt;&lt;/authors&gt;&lt;/contributors&gt;&lt;titles&gt;&lt;title&gt;National Woodland Owner Survey Table Maker Version 1.01&lt;/title&gt;&lt;/titles&gt;&lt;dates&gt;&lt;year&gt;2008a&lt;/year&gt;&lt;pub-dates&gt;&lt;date&gt;August18, 2009&lt;/date&gt;&lt;/pub-dates&gt;&lt;/dates&gt;&lt;publisher&gt;Amherst, MA: USDA Forest Service, Forest Inventory and Analysis Program&lt;/publisher&gt;&lt;urls&gt;&lt;related-urls&gt;&lt;url&gt;http://fiatools.fs.fed.us/NWOS/tablemaker.jsp&lt;/url&gt;&lt;/related-urls&gt;&lt;/urls&gt;&lt;/record&gt;&lt;/Cite&gt;&lt;/EndNote&gt;</w:instrText>
      </w:r>
      <w:r w:rsidRPr="00DA021F">
        <w:rPr>
          <w:rFonts w:cs="Calibri"/>
        </w:rPr>
        <w:fldChar w:fldCharType="separate"/>
      </w:r>
      <w:r w:rsidR="00737C5E">
        <w:rPr>
          <w:rFonts w:cs="Calibri"/>
          <w:noProof/>
        </w:rPr>
        <w:t>(</w:t>
      </w:r>
      <w:hyperlink w:anchor="_ENREF_31" w:tooltip="Butler, 2008a #52" w:history="1">
        <w:r w:rsidR="001E4C88">
          <w:rPr>
            <w:rFonts w:cs="Calibri"/>
            <w:noProof/>
          </w:rPr>
          <w:t>Butler 2008a</w:t>
        </w:r>
      </w:hyperlink>
      <w:r w:rsidR="00737C5E">
        <w:rPr>
          <w:rFonts w:cs="Calibri"/>
          <w:noProof/>
        </w:rPr>
        <w:t>)</w:t>
      </w:r>
      <w:r w:rsidRPr="00DA021F">
        <w:rPr>
          <w:rFonts w:cs="Calibri"/>
        </w:rPr>
        <w:fldChar w:fldCharType="end"/>
      </w:r>
      <w:r w:rsidRPr="00DA021F">
        <w:rPr>
          <w:rFonts w:cs="Calibri"/>
        </w:rPr>
        <w:t>.</w:t>
      </w:r>
      <w:r w:rsidRPr="00B8433F">
        <w:rPr>
          <w:rFonts w:cs="Calibri"/>
          <w:b/>
        </w:rPr>
        <w:t xml:space="preserve"> </w:t>
      </w:r>
      <w:r w:rsidRPr="00596CB5">
        <w:rPr>
          <w:rFonts w:cs="Calibri"/>
        </w:rPr>
        <w:t xml:space="preserve">The fact that this small </w:t>
      </w:r>
      <w:r>
        <w:rPr>
          <w:rFonts w:cs="Calibri"/>
        </w:rPr>
        <w:t>fraction</w:t>
      </w:r>
      <w:r w:rsidRPr="00596CB5">
        <w:rPr>
          <w:rFonts w:cs="Calibri"/>
        </w:rPr>
        <w:t xml:space="preserve"> of </w:t>
      </w:r>
      <w:r>
        <w:rPr>
          <w:rFonts w:cs="Calibri"/>
        </w:rPr>
        <w:t>FFOs</w:t>
      </w:r>
      <w:r w:rsidRPr="00596CB5">
        <w:rPr>
          <w:rFonts w:cs="Calibri"/>
        </w:rPr>
        <w:t xml:space="preserve"> controls </w:t>
      </w:r>
      <w:r>
        <w:rPr>
          <w:rFonts w:cs="Calibri"/>
        </w:rPr>
        <w:t>three-fourths</w:t>
      </w:r>
      <w:r w:rsidRPr="00596CB5">
        <w:rPr>
          <w:rFonts w:cs="Calibri"/>
        </w:rPr>
        <w:t xml:space="preserve"> of family forest acreage </w:t>
      </w:r>
      <w:r w:rsidR="008C74A5">
        <w:rPr>
          <w:rFonts w:cs="Calibri"/>
        </w:rPr>
        <w:t xml:space="preserve">and roughly half of all southern forestland </w:t>
      </w:r>
      <w:r w:rsidRPr="00596CB5">
        <w:rPr>
          <w:rFonts w:cs="Calibri"/>
        </w:rPr>
        <w:t xml:space="preserve">seems to lend itself to a rapid </w:t>
      </w:r>
      <w:r w:rsidRPr="00596CB5">
        <w:rPr>
          <w:rFonts w:cs="Calibri"/>
        </w:rPr>
        <w:lastRenderedPageBreak/>
        <w:t>deployment of IFM activities</w:t>
      </w:r>
      <w:r>
        <w:rPr>
          <w:rFonts w:cs="Calibri"/>
        </w:rPr>
        <w:t>.  In contrast to tract size-classes under 50 ac, the majority of land in</w:t>
      </w:r>
      <w:r w:rsidR="007169D1">
        <w:rPr>
          <w:rFonts w:cs="Calibri"/>
        </w:rPr>
        <w:t xml:space="preserve"> these</w:t>
      </w:r>
      <w:r>
        <w:rPr>
          <w:rFonts w:cs="Calibri"/>
        </w:rPr>
        <w:t xml:space="preserve"> size-classes has undergone commercial treatments indicative of management for timber products </w:t>
      </w:r>
      <w:r>
        <w:rPr>
          <w:rFonts w:cs="Calibri"/>
        </w:rPr>
        <w:fldChar w:fldCharType="begin"/>
      </w:r>
      <w:r w:rsidR="00737C5E">
        <w:rPr>
          <w:rFonts w:cs="Calibri"/>
        </w:rPr>
        <w:instrText xml:space="preserve"> ADDIN EN.CITE &lt;EndNote&gt;&lt;Cite&gt;&lt;Author&gt;Butler&lt;/Author&gt;&lt;Year&gt;2008&lt;/Year&gt;&lt;RecNum&gt;52&lt;/RecNum&gt;&lt;DisplayText&gt;(Butler 2008a)&lt;/DisplayText&gt;&lt;record&gt;&lt;rec-number&gt;52&lt;/rec-number&gt;&lt;foreign-keys&gt;&lt;key app="EN" db-id="a90s5zadewrawxeer07v2f90xr5vxv022sat"&gt;52&lt;/key&gt;&lt;key app="ENWeb" db-id="S3c-7ArtqgcAACfG-zs"&gt;54&lt;/key&gt;&lt;/foreign-keys&gt;&lt;ref-type name="Aggregated Database"&gt;55&lt;/ref-type&gt;&lt;contributors&gt;&lt;authors&gt;&lt;author&gt;Butler, Brett J.&lt;/author&gt;&lt;/authors&gt;&lt;/contributors&gt;&lt;titles&gt;&lt;title&gt;National Woodland Owner Survey Table Maker Version 1.01&lt;/title&gt;&lt;/titles&gt;&lt;dates&gt;&lt;year&gt;2008a&lt;/year&gt;&lt;pub-dates&gt;&lt;date&gt;August18, 2009&lt;/date&gt;&lt;/pub-dates&gt;&lt;/dates&gt;&lt;publisher&gt;Amherst, MA: USDA Forest Service, Forest Inventory and Analysis Program&lt;/publisher&gt;&lt;urls&gt;&lt;related-urls&gt;&lt;url&gt;http://fiatools.fs.fed.us/NWOS/tablemaker.jsp&lt;/url&gt;&lt;/related-urls&gt;&lt;/urls&gt;&lt;/record&gt;&lt;/Cite&gt;&lt;/EndNote&gt;</w:instrText>
      </w:r>
      <w:r>
        <w:rPr>
          <w:rFonts w:cs="Calibri"/>
        </w:rPr>
        <w:fldChar w:fldCharType="separate"/>
      </w:r>
      <w:r w:rsidR="00737C5E">
        <w:rPr>
          <w:rFonts w:cs="Calibri"/>
          <w:noProof/>
        </w:rPr>
        <w:t>(</w:t>
      </w:r>
      <w:hyperlink w:anchor="_ENREF_31" w:tooltip="Butler, 2008a #52" w:history="1">
        <w:r w:rsidR="001E4C88">
          <w:rPr>
            <w:rFonts w:cs="Calibri"/>
            <w:noProof/>
          </w:rPr>
          <w:t>Butler 2008a</w:t>
        </w:r>
      </w:hyperlink>
      <w:r w:rsidR="00737C5E">
        <w:rPr>
          <w:rFonts w:cs="Calibri"/>
          <w:noProof/>
        </w:rPr>
        <w:t>)</w:t>
      </w:r>
      <w:r>
        <w:rPr>
          <w:rFonts w:cs="Calibri"/>
        </w:rPr>
        <w:fldChar w:fldCharType="end"/>
      </w:r>
      <w:r w:rsidR="00E856F1">
        <w:rPr>
          <w:rFonts w:cs="Calibri"/>
        </w:rPr>
        <w:t>; hence,</w:t>
      </w:r>
      <w:r>
        <w:rPr>
          <w:rFonts w:cs="Calibri"/>
        </w:rPr>
        <w:t xml:space="preserve"> </w:t>
      </w:r>
      <w:r w:rsidR="00600DE6">
        <w:rPr>
          <w:rFonts w:cs="Calibri"/>
        </w:rPr>
        <w:t xml:space="preserve">they </w:t>
      </w:r>
      <w:r>
        <w:rPr>
          <w:rFonts w:cs="Calibri"/>
        </w:rPr>
        <w:t>generally define the floor of tract sizes relevant to IFM activities</w:t>
      </w:r>
      <w:r w:rsidRPr="00596CB5">
        <w:rPr>
          <w:rFonts w:cs="Calibri"/>
        </w:rPr>
        <w:t xml:space="preserve">.  </w:t>
      </w:r>
      <w:r>
        <w:rPr>
          <w:rFonts w:cs="Calibri"/>
        </w:rPr>
        <w:t>While s</w:t>
      </w:r>
      <w:r w:rsidRPr="00596CB5">
        <w:rPr>
          <w:rFonts w:cs="Calibri"/>
        </w:rPr>
        <w:t xml:space="preserve">ome find that only the latter </w:t>
      </w:r>
      <w:r>
        <w:rPr>
          <w:rFonts w:cs="Calibri"/>
        </w:rPr>
        <w:t xml:space="preserve">size-class comprising under 1 percent of owners </w:t>
      </w:r>
      <w:r w:rsidRPr="00596CB5">
        <w:rPr>
          <w:rFonts w:cs="Calibri"/>
        </w:rPr>
        <w:t>can plausibly benefit from existing voluntary IFM frameworks as individual project</w:t>
      </w:r>
      <w:r>
        <w:rPr>
          <w:rFonts w:cs="Calibri"/>
        </w:rPr>
        <w:t>s</w:t>
      </w:r>
      <w:r w:rsidR="00A66D8F">
        <w:rPr>
          <w:rFonts w:cs="Calibri"/>
        </w:rPr>
        <w:t xml:space="preserve"> </w:t>
      </w:r>
      <w:r w:rsidR="00A66D8F">
        <w:fldChar w:fldCharType="begin"/>
      </w:r>
      <w:r w:rsidR="00737C5E">
        <w:instrText xml:space="preserve"> ADDIN EN.CITE &lt;EndNote&gt;&lt;Cite ExcludeAuth="1"&gt;&lt;Year&gt;Finite Carbon&lt;/Year&gt;&lt;RecNum&gt;311&lt;/RecNum&gt;&lt;DisplayText&gt;(Finite Carbon)&lt;/DisplayText&gt;&lt;record&gt;&lt;rec-number&gt;311&lt;/rec-number&gt;&lt;foreign-keys&gt;&lt;key app="EN" db-id="a90s5zadewrawxeer07v2f90xr5vxv022sat"&gt;311&lt;/key&gt;&lt;/foreign-keys&gt;&lt;ref-type name="Web Page"&gt;12&lt;/ref-type&gt;&lt;contributors&gt;&lt;/contributors&gt;&lt;titles&gt;&lt;title&gt;Forestry and Finance Experts Establish Finite Carbon to Facilitate U.S. Landowners’ Participation in Carbon Offset Markets&lt;/title&gt;&lt;/titles&gt;&lt;volume&gt;2009&lt;/volume&gt;&lt;number&gt;July 29&lt;/number&gt;&lt;dates&gt;&lt;year&gt;Finite Carbon&lt;/year&gt;&lt;pub-dates&gt;&lt;date&gt;July 13, 2009&lt;/date&gt;&lt;/pub-dates&gt;&lt;/dates&gt;&lt;pub-location&gt;Wayne, PA&lt;/pub-location&gt;&lt;urls&gt;&lt;related-urls&gt;&lt;url&gt;http://www.finitecarbon.com/news/7_13_2009.html&lt;/url&gt;&lt;/related-urls&gt;&lt;/urls&gt;&lt;/record&gt;&lt;/Cite&gt;&lt;/EndNote&gt;</w:instrText>
      </w:r>
      <w:r w:rsidR="00A66D8F">
        <w:fldChar w:fldCharType="separate"/>
      </w:r>
      <w:r w:rsidR="00737C5E">
        <w:rPr>
          <w:noProof/>
        </w:rPr>
        <w:t>(</w:t>
      </w:r>
      <w:hyperlink w:anchor="_ENREF_4" w:tooltip=", Finite Carbon #311" w:history="1">
        <w:r w:rsidR="001E4C88">
          <w:rPr>
            <w:noProof/>
          </w:rPr>
          <w:t>Finite Carbon</w:t>
        </w:r>
      </w:hyperlink>
      <w:r w:rsidR="001E4C88">
        <w:rPr>
          <w:noProof/>
        </w:rPr>
        <w:t xml:space="preserve"> 2009</w:t>
      </w:r>
      <w:r w:rsidR="00737C5E">
        <w:rPr>
          <w:noProof/>
        </w:rPr>
        <w:t>)</w:t>
      </w:r>
      <w:r w:rsidR="00A66D8F">
        <w:fldChar w:fldCharType="end"/>
      </w:r>
      <w:r>
        <w:rPr>
          <w:rFonts w:cs="Calibri"/>
        </w:rPr>
        <w:t xml:space="preserve">, the likelihood of participation by those in the </w:t>
      </w:r>
      <w:r w:rsidR="00617BC0">
        <w:rPr>
          <w:rFonts w:cs="Calibri"/>
        </w:rPr>
        <w:t>medium</w:t>
      </w:r>
      <w:r w:rsidR="007169D1">
        <w:rPr>
          <w:rFonts w:cs="Calibri"/>
        </w:rPr>
        <w:t xml:space="preserve"> </w:t>
      </w:r>
      <w:r w:rsidR="00BD42AC">
        <w:rPr>
          <w:rFonts w:cs="Calibri"/>
        </w:rPr>
        <w:t>and</w:t>
      </w:r>
      <w:r w:rsidR="007169D1">
        <w:rPr>
          <w:rFonts w:cs="Calibri"/>
        </w:rPr>
        <w:t xml:space="preserve"> smaller</w:t>
      </w:r>
      <w:r>
        <w:rPr>
          <w:rFonts w:cs="Calibri"/>
        </w:rPr>
        <w:t xml:space="preserve"> size-classes ha</w:t>
      </w:r>
      <w:r w:rsidR="00D067F8">
        <w:rPr>
          <w:rFonts w:cs="Calibri"/>
        </w:rPr>
        <w:t>s</w:t>
      </w:r>
      <w:r>
        <w:rPr>
          <w:rFonts w:cs="Calibri"/>
        </w:rPr>
        <w:t xml:space="preserve"> improved greatly with the enabling of project aggregation by most </w:t>
      </w:r>
      <w:r w:rsidR="00C10B8D">
        <w:rPr>
          <w:rFonts w:cs="Calibri"/>
        </w:rPr>
        <w:t xml:space="preserve">IFM </w:t>
      </w:r>
      <w:r>
        <w:rPr>
          <w:rFonts w:cs="Calibri"/>
        </w:rPr>
        <w:t>programs</w:t>
      </w:r>
      <w:r w:rsidRPr="00596CB5">
        <w:rPr>
          <w:rFonts w:cs="Calibri"/>
        </w:rPr>
        <w:t xml:space="preserve">.  </w:t>
      </w:r>
      <w:r w:rsidR="00BD42AC">
        <w:t>T</w:t>
      </w:r>
      <w:r w:rsidR="00BD42AC" w:rsidRPr="00BE4500">
        <w:t>ransaction costs are one of the key challenges that FFOs face in their ability to participate in emerging carbon markets due to the relatively high develo</w:t>
      </w:r>
      <w:r w:rsidR="00BD42AC">
        <w:t xml:space="preserve">pment and implementation costs, which are dampened by larger sized operations facilitated by aggregation </w:t>
      </w:r>
      <w:r w:rsidR="00BD42AC">
        <w:rPr>
          <w:rFonts w:asciiTheme="minorHAnsi" w:hAnsiTheme="minorHAnsi" w:cstheme="minorHAnsi"/>
        </w:rPr>
        <w:fldChar w:fldCharType="begin"/>
      </w:r>
      <w:r w:rsidR="00737C5E">
        <w:rPr>
          <w:rFonts w:asciiTheme="minorHAnsi" w:hAnsiTheme="minorHAnsi" w:cstheme="minorHAnsi"/>
        </w:rPr>
        <w:instrText xml:space="preserve"> ADDIN EN.CITE &lt;EndNote&gt;&lt;Cite&gt;&lt;Author&gt;Gunn&lt;/Author&gt;&lt;Year&gt;2008&lt;/Year&gt;&lt;RecNum&gt;24&lt;/RecNum&gt;&lt;Prefix&gt;e.g. &lt;/Prefix&gt;&lt;DisplayText&gt;(e.g. Gunn et al. 2008)&lt;/DisplayText&gt;&lt;record&gt;&lt;rec-number&gt;24&lt;/rec-number&gt;&lt;foreign-keys&gt;&lt;key app="EN" db-id="a90s5zadewrawxeer07v2f90xr5vxv022sat"&gt;24&lt;/key&gt;&lt;key app="ENWeb" db-id="S3c-7ArtqgcAACfG-zs"&gt;26&lt;/key&gt;&lt;/foreign-keys&gt;&lt;ref-type name="Unpublished Work"&gt;34&lt;/ref-type&gt;&lt;contributors&gt;&lt;authors&gt;&lt;author&gt;J. Gunn&lt;/author&gt;&lt;author&gt;W. Price&lt;/author&gt;&lt;author&gt;J. Battles&lt;/author&gt;&lt;author&gt;D. Saah&lt;/author&gt;&lt;author&gt;K. Siegel&lt;/author&gt;&lt;/authors&gt;&lt;/contributors&gt;&lt;titles&gt;&lt;title&gt;The Development of an Ecosystem Services Trading Program for Family Forest Landowners to Promote the Protection of Atmospheric, Water, and Soil Resources in Maine&lt;/title&gt;&lt;/titles&gt;&lt;volume&gt;Final Report Submitted to the USDA Natural Resources Conservation Service Conservation Innovation Grants Program. 61p.&lt;/volume&gt;&lt;dates&gt;&lt;year&gt;2008&lt;/year&gt;&lt;/dates&gt;&lt;publisher&gt;New Gloucester, ME: Trust to Conserve Northeast Forestlands&lt;/publisher&gt;&lt;urls&gt;&lt;/urls&gt;&lt;/record&gt;&lt;/Cite&gt;&lt;/EndNote&gt;</w:instrText>
      </w:r>
      <w:r w:rsidR="00BD42AC">
        <w:rPr>
          <w:rFonts w:asciiTheme="minorHAnsi" w:hAnsiTheme="minorHAnsi" w:cstheme="minorHAnsi"/>
        </w:rPr>
        <w:fldChar w:fldCharType="separate"/>
      </w:r>
      <w:r w:rsidR="00737C5E">
        <w:rPr>
          <w:rFonts w:asciiTheme="minorHAnsi" w:hAnsiTheme="minorHAnsi" w:cstheme="minorHAnsi"/>
          <w:noProof/>
        </w:rPr>
        <w:t>(</w:t>
      </w:r>
      <w:hyperlink w:anchor="_ENREF_63" w:tooltip="Gunn, 2008 #24" w:history="1">
        <w:r w:rsidR="001E4C88">
          <w:rPr>
            <w:rFonts w:asciiTheme="minorHAnsi" w:hAnsiTheme="minorHAnsi" w:cstheme="minorHAnsi"/>
            <w:noProof/>
          </w:rPr>
          <w:t>e.g. Gunn et al. 2008</w:t>
        </w:r>
      </w:hyperlink>
      <w:r w:rsidR="00737C5E">
        <w:rPr>
          <w:rFonts w:asciiTheme="minorHAnsi" w:hAnsiTheme="minorHAnsi" w:cstheme="minorHAnsi"/>
          <w:noProof/>
        </w:rPr>
        <w:t>)</w:t>
      </w:r>
      <w:r w:rsidR="00BD42AC">
        <w:rPr>
          <w:rFonts w:asciiTheme="minorHAnsi" w:hAnsiTheme="minorHAnsi" w:cstheme="minorHAnsi"/>
        </w:rPr>
        <w:fldChar w:fldCharType="end"/>
      </w:r>
      <w:r w:rsidR="00BD42AC" w:rsidRPr="00BE4500">
        <w:t>.</w:t>
      </w:r>
      <w:r w:rsidR="00BD42AC">
        <w:t xml:space="preserve">  </w:t>
      </w:r>
      <w:r w:rsidR="0089088F" w:rsidRPr="0089088F">
        <w:rPr>
          <w:rFonts w:cs="Calibri"/>
        </w:rPr>
        <w:t xml:space="preserve">Recent analyses </w:t>
      </w:r>
      <w:r w:rsidR="00F85A14">
        <w:rPr>
          <w:rFonts w:cs="Calibri"/>
        </w:rPr>
        <w:t>find</w:t>
      </w:r>
      <w:r w:rsidR="0089088F" w:rsidRPr="0089088F">
        <w:rPr>
          <w:rFonts w:cs="Calibri"/>
        </w:rPr>
        <w:t xml:space="preserve"> that “cross-boundary coordination” </w:t>
      </w:r>
      <w:r w:rsidR="001F02FF">
        <w:rPr>
          <w:rFonts w:cs="Calibri"/>
        </w:rPr>
        <w:t xml:space="preserve">further </w:t>
      </w:r>
      <w:r w:rsidR="0089088F" w:rsidRPr="0089088F">
        <w:rPr>
          <w:rFonts w:cs="Calibri"/>
        </w:rPr>
        <w:t xml:space="preserve">presents an opportunity to marginally improve both economic </w:t>
      </w:r>
      <w:r w:rsidR="00F85A14" w:rsidRPr="0089088F">
        <w:rPr>
          <w:rFonts w:cs="Calibri"/>
        </w:rPr>
        <w:t xml:space="preserve">and ecological </w:t>
      </w:r>
      <w:r w:rsidR="0089088F" w:rsidRPr="0089088F">
        <w:rPr>
          <w:rFonts w:cs="Calibri"/>
        </w:rPr>
        <w:t xml:space="preserve">outcomes in privately owned landscapes </w:t>
      </w:r>
      <w:r w:rsidR="0089088F" w:rsidRPr="0089088F">
        <w:rPr>
          <w:rFonts w:cs="Calibri"/>
        </w:rPr>
        <w:fldChar w:fldCharType="begin">
          <w:fldData xml:space="preserve">PEVuZE5vdGU+PENpdGU+PEF1dGhvcj5HYXNzPC9BdXRob3I+PFllYXI+MjAwOTwvWWVhcj48UmVj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</w:fldData>
        </w:fldChar>
      </w:r>
      <w:r w:rsidR="00F85A14">
        <w:rPr>
          <w:rFonts w:cs="Calibri"/>
        </w:rPr>
        <w:instrText xml:space="preserve"> ADDIN EN.CITE </w:instrText>
      </w:r>
      <w:r w:rsidR="00F85A14">
        <w:rPr>
          <w:rFonts w:cs="Calibri"/>
        </w:rPr>
        <w:fldChar w:fldCharType="begin">
          <w:fldData xml:space="preserve">PEVuZE5vdGU+PENpdGU+PEF1dGhvcj5HYXNzPC9BdXRob3I+PFllYXI+MjAwOTwvWWVhcj48UmVj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</w:fldData>
        </w:fldChar>
      </w:r>
      <w:r w:rsidR="00F85A14">
        <w:rPr>
          <w:rFonts w:cs="Calibri"/>
        </w:rPr>
        <w:instrText xml:space="preserve"> ADDIN EN.CITE.DATA </w:instrText>
      </w:r>
      <w:r w:rsidR="00F85A14">
        <w:rPr>
          <w:rFonts w:cs="Calibri"/>
        </w:rPr>
      </w:r>
      <w:r w:rsidR="00F85A14">
        <w:rPr>
          <w:rFonts w:cs="Calibri"/>
        </w:rPr>
        <w:fldChar w:fldCharType="end"/>
      </w:r>
      <w:r w:rsidR="0089088F" w:rsidRPr="0089088F">
        <w:rPr>
          <w:rFonts w:cs="Calibri"/>
        </w:rPr>
      </w:r>
      <w:r w:rsidR="0089088F" w:rsidRPr="0089088F">
        <w:rPr>
          <w:rFonts w:cs="Calibri"/>
        </w:rPr>
        <w:fldChar w:fldCharType="separate"/>
      </w:r>
      <w:r w:rsidR="00F85A14">
        <w:rPr>
          <w:rFonts w:cs="Calibri"/>
          <w:noProof/>
        </w:rPr>
        <w:t>(</w:t>
      </w:r>
      <w:hyperlink w:anchor="_ENREF_58" w:tooltip="Gass, 2009 #61" w:history="1">
        <w:r w:rsidR="001E4C88">
          <w:rPr>
            <w:rFonts w:cs="Calibri"/>
            <w:noProof/>
          </w:rPr>
          <w:t>Gass et al. 2009</w:t>
        </w:r>
      </w:hyperlink>
      <w:r w:rsidR="00F85A14">
        <w:rPr>
          <w:rFonts w:cs="Calibri"/>
          <w:noProof/>
        </w:rPr>
        <w:t xml:space="preserve">; </w:t>
      </w:r>
      <w:hyperlink w:anchor="_ENREF_119" w:tooltip="Schulte, 2008 #62" w:history="1">
        <w:r w:rsidR="001E4C88">
          <w:rPr>
            <w:rFonts w:cs="Calibri"/>
            <w:noProof/>
          </w:rPr>
          <w:t>Schulte et al. 2008</w:t>
        </w:r>
      </w:hyperlink>
      <w:r w:rsidR="00F85A14">
        <w:rPr>
          <w:rFonts w:cs="Calibri"/>
          <w:noProof/>
        </w:rPr>
        <w:t>)</w:t>
      </w:r>
      <w:r w:rsidR="0089088F" w:rsidRPr="0089088F">
        <w:rPr>
          <w:rFonts w:cs="Calibri"/>
        </w:rPr>
        <w:fldChar w:fldCharType="end"/>
      </w:r>
      <w:r w:rsidR="0089088F" w:rsidRPr="0089088F">
        <w:rPr>
          <w:rFonts w:cs="Calibri"/>
        </w:rPr>
        <w:t xml:space="preserve">.  </w:t>
      </w:r>
      <w:r w:rsidR="00BD42AC">
        <w:rPr>
          <w:rFonts w:cs="Calibri"/>
        </w:rPr>
        <w:t>F</w:t>
      </w:r>
      <w:r w:rsidR="0089088F" w:rsidRPr="0089088F">
        <w:rPr>
          <w:rFonts w:cs="Calibri"/>
        </w:rPr>
        <w:t xml:space="preserve">orest carbon </w:t>
      </w:r>
      <w:r w:rsidR="00BD42AC">
        <w:rPr>
          <w:rFonts w:cs="Calibri"/>
        </w:rPr>
        <w:t xml:space="preserve">project </w:t>
      </w:r>
      <w:r w:rsidR="0089088F" w:rsidRPr="0089088F">
        <w:rPr>
          <w:rFonts w:cs="Calibri"/>
        </w:rPr>
        <w:t>aggregator</w:t>
      </w:r>
      <w:r w:rsidR="0089088F">
        <w:rPr>
          <w:rFonts w:cs="Calibri"/>
        </w:rPr>
        <w:t xml:space="preserve">s </w:t>
      </w:r>
      <w:r w:rsidR="00BD42AC">
        <w:rPr>
          <w:rFonts w:cs="Calibri"/>
        </w:rPr>
        <w:t>may be able to</w:t>
      </w:r>
      <w:r w:rsidR="0089088F">
        <w:rPr>
          <w:rFonts w:cs="Calibri"/>
        </w:rPr>
        <w:t xml:space="preserve"> play this role </w:t>
      </w:r>
      <w:r w:rsidR="00BD42AC">
        <w:rPr>
          <w:rFonts w:cs="Calibri"/>
        </w:rPr>
        <w:t xml:space="preserve">and improve </w:t>
      </w:r>
      <w:r w:rsidR="00776AEE">
        <w:rPr>
          <w:rFonts w:cs="Calibri"/>
        </w:rPr>
        <w:t xml:space="preserve">forestry practices and </w:t>
      </w:r>
      <w:r w:rsidR="00BD42AC">
        <w:rPr>
          <w:rFonts w:cs="Calibri"/>
        </w:rPr>
        <w:t xml:space="preserve">conservation at a landscape level </w:t>
      </w:r>
      <w:r w:rsidR="00F85A14">
        <w:rPr>
          <w:rFonts w:cs="Calibri"/>
        </w:rPr>
        <w:t>while</w:t>
      </w:r>
      <w:r w:rsidR="0089088F">
        <w:rPr>
          <w:rFonts w:cs="Calibri"/>
        </w:rPr>
        <w:t xml:space="preserve"> combat</w:t>
      </w:r>
      <w:r w:rsidR="00F85A14">
        <w:rPr>
          <w:rFonts w:cs="Calibri"/>
        </w:rPr>
        <w:t>ting</w:t>
      </w:r>
      <w:r w:rsidR="0089088F" w:rsidRPr="0089088F">
        <w:rPr>
          <w:rFonts w:cs="Calibri"/>
        </w:rPr>
        <w:t xml:space="preserve"> forest fragmentation </w:t>
      </w:r>
      <w:r w:rsidR="0089088F">
        <w:rPr>
          <w:rFonts w:cs="Calibri"/>
        </w:rPr>
        <w:t xml:space="preserve">and the hurdles to sustainable forestry. </w:t>
      </w:r>
    </w:p>
    <w:p w:rsidR="001A427B" w:rsidRDefault="00D45046" w:rsidP="00591524">
      <w:pPr>
        <w:autoSpaceDE w:val="0"/>
        <w:autoSpaceDN w:val="0"/>
        <w:adjustRightInd w:val="0"/>
        <w:spacing w:line="480" w:lineRule="auto"/>
        <w:ind w:firstLine="720"/>
      </w:pPr>
      <w:r>
        <w:rPr>
          <w:rFonts w:cs="Calibri"/>
        </w:rPr>
        <w:t xml:space="preserve">Perhaps the most important </w:t>
      </w:r>
      <w:r w:rsidR="005F7845">
        <w:rPr>
          <w:rFonts w:cs="Calibri"/>
        </w:rPr>
        <w:t>statistics</w:t>
      </w:r>
      <w:r>
        <w:rPr>
          <w:rFonts w:cs="Calibri"/>
        </w:rPr>
        <w:t xml:space="preserve"> deserving attention </w:t>
      </w:r>
      <w:r w:rsidR="005F7845">
        <w:rPr>
          <w:rFonts w:cs="Calibri"/>
        </w:rPr>
        <w:t>are</w:t>
      </w:r>
      <w:r>
        <w:rPr>
          <w:rFonts w:cs="Calibri"/>
        </w:rPr>
        <w:t xml:space="preserve"> </w:t>
      </w:r>
      <w:r w:rsidR="004C533F">
        <w:rPr>
          <w:rFonts w:cs="Calibri"/>
        </w:rPr>
        <w:t xml:space="preserve">those describing the demographics of FFOs, </w:t>
      </w:r>
      <w:r w:rsidR="00685FF7">
        <w:rPr>
          <w:rFonts w:cs="Calibri"/>
        </w:rPr>
        <w:t xml:space="preserve">market </w:t>
      </w:r>
      <w:r w:rsidR="004C533F">
        <w:rPr>
          <w:rFonts w:cs="Calibri"/>
        </w:rPr>
        <w:t xml:space="preserve">circumstances pointing to elevated timber harvests, and </w:t>
      </w:r>
      <w:r>
        <w:rPr>
          <w:rFonts w:cs="Calibri"/>
        </w:rPr>
        <w:t>the effect</w:t>
      </w:r>
      <w:r w:rsidR="005F7845">
        <w:rPr>
          <w:rFonts w:cs="Calibri"/>
        </w:rPr>
        <w:t>s</w:t>
      </w:r>
      <w:r>
        <w:rPr>
          <w:rFonts w:cs="Calibri"/>
        </w:rPr>
        <w:t xml:space="preserve"> on rural areas</w:t>
      </w:r>
      <w:r w:rsidRPr="00207502">
        <w:rPr>
          <w:rFonts w:cs="Calibri"/>
        </w:rPr>
        <w:t xml:space="preserve"> </w:t>
      </w:r>
      <w:r>
        <w:rPr>
          <w:rFonts w:cs="Calibri"/>
        </w:rPr>
        <w:t xml:space="preserve">of the recent economic implosion.  </w:t>
      </w:r>
      <w:r w:rsidR="00E45E4D">
        <w:t xml:space="preserve">FFOs with maturing hardwood stands have undoubtedly experienced financial stress or setbacks recently for which timber revenues would compensate.  </w:t>
      </w:r>
      <w:r w:rsidR="002A6A57">
        <w:rPr>
          <w:rFonts w:cs="Calibri"/>
        </w:rPr>
        <w:t>These conditions appear likely to predicate an ensuing rise in harvest activity as timber prices recover with the economy</w:t>
      </w:r>
      <w:r w:rsidR="0020671C">
        <w:rPr>
          <w:rFonts w:cs="Calibri"/>
        </w:rPr>
        <w:t xml:space="preserve">, </w:t>
      </w:r>
      <w:r w:rsidR="005E4CB3">
        <w:rPr>
          <w:rFonts w:cs="Calibri"/>
        </w:rPr>
        <w:t xml:space="preserve">causing </w:t>
      </w:r>
      <w:r w:rsidR="0020671C">
        <w:rPr>
          <w:rFonts w:cs="Calibri"/>
        </w:rPr>
        <w:t xml:space="preserve">many forests </w:t>
      </w:r>
      <w:r w:rsidR="005E4CB3">
        <w:rPr>
          <w:rFonts w:cs="Calibri"/>
        </w:rPr>
        <w:t xml:space="preserve">to emit more carbon than </w:t>
      </w:r>
      <w:r w:rsidR="00E45E4D">
        <w:rPr>
          <w:rFonts w:cs="Calibri"/>
        </w:rPr>
        <w:t>they remove from the atmosphere</w:t>
      </w:r>
      <w:r w:rsidR="002A6A57">
        <w:rPr>
          <w:rFonts w:cs="Calibri"/>
        </w:rPr>
        <w:t xml:space="preserve">. </w:t>
      </w:r>
      <w:r w:rsidR="00EF5C4E">
        <w:rPr>
          <w:rFonts w:cs="Calibri"/>
        </w:rPr>
        <w:t xml:space="preserve"> </w:t>
      </w:r>
      <w:r w:rsidR="007169D1" w:rsidRPr="00B46527">
        <w:t xml:space="preserve">While it is impossible to precisely determine the prevalence of </w:t>
      </w:r>
      <w:r w:rsidR="007169D1">
        <w:t>silviculturally</w:t>
      </w:r>
      <w:r w:rsidR="007169D1" w:rsidRPr="00B46527">
        <w:t xml:space="preserve"> </w:t>
      </w:r>
      <w:r w:rsidR="00552280">
        <w:t>informed</w:t>
      </w:r>
      <w:r w:rsidR="007169D1" w:rsidRPr="00B46527">
        <w:t xml:space="preserve"> managemen</w:t>
      </w:r>
      <w:r w:rsidR="007169D1">
        <w:t>t, r</w:t>
      </w:r>
      <w:r w:rsidR="007169D1" w:rsidRPr="00B46527">
        <w:t>ecent survey data c</w:t>
      </w:r>
      <w:r w:rsidR="00D067F8">
        <w:t>ollected from 2002 to 2006 show</w:t>
      </w:r>
      <w:r w:rsidR="007169D1" w:rsidRPr="00B46527">
        <w:t xml:space="preserve"> that only 8.4 percent of </w:t>
      </w:r>
      <w:r w:rsidR="0069379D">
        <w:t xml:space="preserve">southern </w:t>
      </w:r>
      <w:r w:rsidR="007169D1" w:rsidRPr="00B46527">
        <w:t xml:space="preserve">10+ acre </w:t>
      </w:r>
      <w:r w:rsidR="007169D1">
        <w:t>FFO</w:t>
      </w:r>
      <w:r w:rsidR="007169D1" w:rsidRPr="00B46527">
        <w:t xml:space="preserve"> holding</w:t>
      </w:r>
      <w:r w:rsidR="007169D1">
        <w:t>s controlling</w:t>
      </w:r>
      <w:r w:rsidR="0069379D">
        <w:t xml:space="preserve"> 25 percent of FFO</w:t>
      </w:r>
      <w:r w:rsidR="007169D1" w:rsidRPr="00B46527">
        <w:t xml:space="preserve"> forestland claimed past harvesting was part of a management </w:t>
      </w:r>
      <w:r w:rsidR="007A027D" w:rsidRPr="007A027D">
        <w:t xml:space="preserve">or stewardship </w:t>
      </w:r>
      <w:r w:rsidR="007169D1" w:rsidRPr="00B46527">
        <w:t xml:space="preserve">plan </w:t>
      </w:r>
      <w:r w:rsidR="007169D1" w:rsidRPr="00B46527">
        <w:fldChar w:fldCharType="begin"/>
      </w:r>
      <w:r w:rsidR="00737C5E">
        <w:instrText xml:space="preserve"> ADDIN EN.CITE &lt;EndNote&gt;&lt;Cite&gt;&lt;Author&gt;Butler&lt;/Author&gt;&lt;Year&gt;2008&lt;/Year&gt;&lt;RecNum&gt;47&lt;/RecNum&gt;&lt;DisplayText&gt;(Butler 2008b)&lt;/DisplayText&gt;&lt;record&gt;&lt;rec-number&gt;47&lt;/rec-number&gt;&lt;foreign-keys&gt;&lt;key app="EN" db-id="a90s5zadewrawxeer07v2f90xr5vxv022sat"&gt;47&lt;/key&gt;&lt;key app="ENWeb" db-id="S3c-7ArtqgcAACfG-zs"&gt;49&lt;/key&gt;&lt;/foreign-keys&gt;&lt;ref-type name="Report"&gt;27&lt;/ref-type&gt;&lt;contributors&gt;&lt;authors&gt;&lt;author&gt;Butler, Brett J.&lt;/author&gt;&lt;/authors&gt;&lt;/contributors&gt;&lt;titles&gt;&lt;title&gt;Family Forest Owners of the United States, 2006&lt;/title&gt;&lt;/titles&gt;&lt;dates&gt;&lt;year&gt;2008b&lt;/year&gt;&lt;/dates&gt;&lt;publisher&gt;Gen. Tech. Rep. NRS-27. Newtown Square, PA: U.S. Department of Agriculture, Forest Service, Northern Research Station.72p&lt;/publisher&gt;&lt;urls&gt;&lt;related-urls&gt;&lt;url&gt;http://www.treesearch.fs.fed.us/pubs/15758&lt;/url&gt;&lt;/related-urls&gt;&lt;/urls&gt;&lt;/record&gt;&lt;/Cite&gt;&lt;/EndNote&gt;</w:instrText>
      </w:r>
      <w:r w:rsidR="007169D1" w:rsidRPr="00B46527">
        <w:fldChar w:fldCharType="separate"/>
      </w:r>
      <w:r w:rsidR="00737C5E">
        <w:rPr>
          <w:noProof/>
        </w:rPr>
        <w:t>(</w:t>
      </w:r>
      <w:hyperlink w:anchor="_ENREF_32" w:tooltip="Butler, 2008b #47" w:history="1">
        <w:r w:rsidR="001E4C88">
          <w:rPr>
            <w:noProof/>
          </w:rPr>
          <w:t>Butler 2008b</w:t>
        </w:r>
      </w:hyperlink>
      <w:r w:rsidR="00737C5E">
        <w:rPr>
          <w:noProof/>
        </w:rPr>
        <w:t>)</w:t>
      </w:r>
      <w:r w:rsidR="007169D1" w:rsidRPr="00B46527">
        <w:fldChar w:fldCharType="end"/>
      </w:r>
      <w:r w:rsidR="007169D1" w:rsidRPr="00B46527">
        <w:t>.  Th</w:t>
      </w:r>
      <w:r w:rsidR="007169D1">
        <w:t>us</w:t>
      </w:r>
      <w:r w:rsidR="007169D1" w:rsidRPr="00B46527">
        <w:t xml:space="preserve">, the influence of harvest strategy </w:t>
      </w:r>
      <w:r w:rsidR="007169D1">
        <w:t xml:space="preserve">and execution </w:t>
      </w:r>
      <w:r w:rsidR="007169D1" w:rsidRPr="00B46527">
        <w:t xml:space="preserve">on the </w:t>
      </w:r>
      <w:r w:rsidR="007169D1" w:rsidRPr="00B46527">
        <w:lastRenderedPageBreak/>
        <w:t>future value of a forest tract and the consequent effect on long-term biodiversity</w:t>
      </w:r>
      <w:r w:rsidR="00617BC0">
        <w:t>,</w:t>
      </w:r>
      <w:r w:rsidR="007169D1">
        <w:t xml:space="preserve"> wild</w:t>
      </w:r>
      <w:r w:rsidR="001A427B">
        <w:t>life</w:t>
      </w:r>
      <w:r w:rsidR="007169D1">
        <w:t xml:space="preserve"> habitat</w:t>
      </w:r>
      <w:r w:rsidR="00617BC0">
        <w:t>, and water quality</w:t>
      </w:r>
      <w:r w:rsidR="007169D1" w:rsidRPr="00B46527">
        <w:t xml:space="preserve"> </w:t>
      </w:r>
      <w:r w:rsidR="007169D1">
        <w:t>is probably not</w:t>
      </w:r>
      <w:r w:rsidR="007169D1" w:rsidRPr="00B46527">
        <w:t xml:space="preserve"> understood by most </w:t>
      </w:r>
      <w:r w:rsidR="008C74A5">
        <w:t>FFOs</w:t>
      </w:r>
      <w:r w:rsidR="00617BC0">
        <w:t>.</w:t>
      </w:r>
    </w:p>
    <w:p w:rsidR="00280FD5" w:rsidRDefault="007169D1" w:rsidP="00280FD5">
      <w:pPr>
        <w:autoSpaceDE w:val="0"/>
        <w:autoSpaceDN w:val="0"/>
        <w:adjustRightInd w:val="0"/>
        <w:spacing w:line="480" w:lineRule="auto"/>
        <w:ind w:firstLine="720"/>
      </w:pPr>
      <w:r w:rsidRPr="00B46527">
        <w:t xml:space="preserve">This </w:t>
      </w:r>
      <w:r>
        <w:t xml:space="preserve">widespread </w:t>
      </w:r>
      <w:r w:rsidRPr="00B46527">
        <w:t xml:space="preserve">misunderstanding of </w:t>
      </w:r>
      <w:r w:rsidR="00617BC0">
        <w:t>forestry</w:t>
      </w:r>
      <w:r w:rsidRPr="00B46527">
        <w:t>’s role in the continued supply of desired forest products and services</w:t>
      </w:r>
      <w:r w:rsidR="00617BC0">
        <w:t>,</w:t>
      </w:r>
      <w:r w:rsidRPr="00B46527">
        <w:t xml:space="preserve"> </w:t>
      </w:r>
      <w:r>
        <w:t xml:space="preserve">coupled with </w:t>
      </w:r>
      <w:r w:rsidR="0020179E">
        <w:t xml:space="preserve">the </w:t>
      </w:r>
      <w:r w:rsidR="001F5B46">
        <w:t xml:space="preserve">fact that </w:t>
      </w:r>
      <w:r w:rsidR="0020179E" w:rsidRPr="0020179E">
        <w:t xml:space="preserve">57 percent of </w:t>
      </w:r>
      <w:r w:rsidR="0020179E">
        <w:t>FFOs</w:t>
      </w:r>
      <w:r w:rsidR="0020179E" w:rsidRPr="0020179E">
        <w:t xml:space="preserve"> </w:t>
      </w:r>
      <w:r w:rsidR="0020179E">
        <w:t>(</w:t>
      </w:r>
      <w:r w:rsidR="0020179E" w:rsidRPr="0020179E">
        <w:t>at least 64 percent of southern forestland</w:t>
      </w:r>
      <w:r w:rsidR="0020179E">
        <w:t>)</w:t>
      </w:r>
      <w:r w:rsidR="0020179E" w:rsidRPr="0020179E">
        <w:t xml:space="preserve"> </w:t>
      </w:r>
      <w:r w:rsidR="002A0907">
        <w:t xml:space="preserve">are </w:t>
      </w:r>
      <w:r w:rsidR="00C10B8D">
        <w:t>at or nearin</w:t>
      </w:r>
      <w:r>
        <w:t>g retirement</w:t>
      </w:r>
      <w:r w:rsidR="00C10B8D">
        <w:t xml:space="preserve"> age</w:t>
      </w:r>
      <w:r>
        <w:t xml:space="preserve"> </w:t>
      </w:r>
      <w:r w:rsidR="007B3E7B">
        <w:fldChar w:fldCharType="begin"/>
      </w:r>
      <w:r w:rsidR="00737C5E">
        <w:instrText xml:space="preserve"> ADDIN EN.CITE &lt;EndNote&gt;&lt;Cite&gt;&lt;Author&gt;Butler&lt;/Author&gt;&lt;Year&gt;2008b&lt;/Year&gt;&lt;RecNum&gt;52&lt;/RecNum&gt;&lt;DisplayText&gt;(Butler 2008a)&lt;/DisplayText&gt;&lt;record&gt;&lt;rec-number&gt;52&lt;/rec-number&gt;&lt;foreign-keys&gt;&lt;key app="EN" db-id="a90s5zadewrawxeer07v2f90xr5vxv022sat"&gt;52&lt;/key&gt;&lt;key app="ENWeb" db-id="S3c-7ArtqgcAACfG-zs"&gt;54&lt;/key&gt;&lt;/foreign-keys&gt;&lt;ref-type name="Aggregated Database"&gt;55&lt;/ref-type&gt;&lt;contributors&gt;&lt;authors&gt;&lt;author&gt;Butler, Brett J.&lt;/author&gt;&lt;/authors&gt;&lt;/contributors&gt;&lt;titles&gt;&lt;title&gt;National Woodland Owner Survey Table Maker Version 1.01&lt;/title&gt;&lt;/titles&gt;&lt;dates&gt;&lt;year&gt;2008a&lt;/year&gt;&lt;pub-dates&gt;&lt;date&gt;August18, 2009&lt;/date&gt;&lt;/pub-dates&gt;&lt;/dates&gt;&lt;publisher&gt;Amherst, MA: USDA Forest Service, Forest Inventory and Analysis Program&lt;/publisher&gt;&lt;urls&gt;&lt;related-urls&gt;&lt;url&gt;http://fiatools.fs.fed.us/NWOS/tablemaker.jsp&lt;/url&gt;&lt;/related-urls&gt;&lt;/urls&gt;&lt;/record&gt;&lt;/Cite&gt;&lt;/EndNote&gt;</w:instrText>
      </w:r>
      <w:r w:rsidR="007B3E7B">
        <w:fldChar w:fldCharType="separate"/>
      </w:r>
      <w:r w:rsidR="00737C5E">
        <w:rPr>
          <w:noProof/>
        </w:rPr>
        <w:t>(</w:t>
      </w:r>
      <w:hyperlink w:anchor="_ENREF_31" w:tooltip="Butler, 2008a #52" w:history="1">
        <w:r w:rsidR="001E4C88">
          <w:rPr>
            <w:noProof/>
          </w:rPr>
          <w:t>Butler 2008a</w:t>
        </w:r>
      </w:hyperlink>
      <w:r w:rsidR="00737C5E">
        <w:rPr>
          <w:noProof/>
        </w:rPr>
        <w:t>)</w:t>
      </w:r>
      <w:r w:rsidR="007B3E7B">
        <w:fldChar w:fldCharType="end"/>
      </w:r>
      <w:r w:rsidR="00617BC0">
        <w:t>,</w:t>
      </w:r>
      <w:r w:rsidR="007B3E7B">
        <w:t xml:space="preserve"> </w:t>
      </w:r>
      <w:r w:rsidRPr="00B46527">
        <w:t xml:space="preserve">could perpetuate short-sighted management practices such as </w:t>
      </w:r>
      <w:r>
        <w:t>DL</w:t>
      </w:r>
      <w:r w:rsidRPr="00B46527">
        <w:t xml:space="preserve"> cutting</w:t>
      </w:r>
      <w:r>
        <w:t>.</w:t>
      </w:r>
      <w:r w:rsidRPr="00B46527">
        <w:t xml:space="preserve"> </w:t>
      </w:r>
      <w:r>
        <w:t xml:space="preserve"> </w:t>
      </w:r>
      <w:r w:rsidR="003B1692">
        <w:t xml:space="preserve">At the same time, </w:t>
      </w:r>
      <w:r w:rsidR="004330B6">
        <w:t>FIA data suggest</w:t>
      </w:r>
      <w:r w:rsidR="003B1692">
        <w:t>s</w:t>
      </w:r>
      <w:r w:rsidR="004330B6">
        <w:t xml:space="preserve"> that over 60 percent of even-aged timberlands in the region are mature enough to undergo partial harvesting</w:t>
      </w:r>
      <w:r w:rsidR="008C13A7">
        <w:t xml:space="preserve"> </w:t>
      </w:r>
      <w:r w:rsidR="008C13A7">
        <w:fldChar w:fldCharType="begin"/>
      </w:r>
      <w:r w:rsidR="00E11FF6">
        <w:instrText xml:space="preserve"> ADDIN EN.CITE &lt;EndNote&gt;&lt;Cite ExcludeAuth="1"&gt;&lt;Year&gt;USDA Forest Service 2010a&lt;/Year&gt;&lt;RecNum&gt;292&lt;/RecNum&gt;&lt;DisplayText&gt;(USDA Forest Service 2010a)&lt;/DisplayText&gt;&lt;record&gt;&lt;rec-number&gt;292&lt;/rec-number&gt;&lt;foreign-keys&gt;&lt;key app="EN" db-id="a90s5zadewrawxeer07v2f90xr5vxv022sat"&gt;292&lt;/key&gt;&lt;/foreign-keys&gt;&lt;ref-type name="Online Database"&gt;45&lt;/ref-type&gt;&lt;contributors&gt;&lt;/contributors&gt;&lt;titles&gt;&lt;title&gt;National Forest Inventory and Analysis, FIA Database version 4.0. Washington, DC: U.S. Department of Agriculture, Forest Service. Available at http://199.128.173.17/fiadb4-downloads/datamart.html Retrieved January 4, 2010&lt;/title&gt;&lt;/titles&gt;&lt;dates&gt;&lt;year&gt;USDA Forest Service 2010a&lt;/year&gt;&lt;/dates&gt;&lt;urls&gt;&lt;/urls&gt;&lt;/record&gt;&lt;/Cite&gt;&lt;/EndNote&gt;</w:instrText>
      </w:r>
      <w:r w:rsidR="008C13A7">
        <w:fldChar w:fldCharType="separate"/>
      </w:r>
      <w:r w:rsidR="00E11FF6">
        <w:rPr>
          <w:noProof/>
        </w:rPr>
        <w:t>(</w:t>
      </w:r>
      <w:hyperlink w:anchor="_ENREF_15" w:tooltip=", USDA Forest Service 2010a #292" w:history="1">
        <w:r w:rsidR="001E4C88">
          <w:rPr>
            <w:noProof/>
          </w:rPr>
          <w:t>USDA Forest Service 2010a</w:t>
        </w:r>
      </w:hyperlink>
      <w:r w:rsidR="00E11FF6">
        <w:rPr>
          <w:noProof/>
        </w:rPr>
        <w:t>)</w:t>
      </w:r>
      <w:r w:rsidR="008C13A7">
        <w:fldChar w:fldCharType="end"/>
      </w:r>
      <w:r w:rsidR="004330B6">
        <w:t xml:space="preserve">.  </w:t>
      </w:r>
      <w:r w:rsidR="00280FD5">
        <w:t>Smaller FFOs are by far the most prevalent timberland owners</w:t>
      </w:r>
      <w:r w:rsidR="00617BC0">
        <w:t xml:space="preserve">.  They </w:t>
      </w:r>
      <w:r w:rsidR="00280FD5">
        <w:t>are</w:t>
      </w:r>
      <w:r w:rsidR="00617BC0">
        <w:t xml:space="preserve"> also</w:t>
      </w:r>
      <w:r w:rsidR="00280FD5">
        <w:t xml:space="preserve"> more likely to be dependent on the natural capital in their forest</w:t>
      </w:r>
      <w:r w:rsidR="00280FD5" w:rsidRPr="001C7677">
        <w:t xml:space="preserve"> </w:t>
      </w:r>
      <w:r w:rsidR="00280FD5">
        <w:t xml:space="preserve">and to not have a written management plan </w:t>
      </w:r>
      <w:r w:rsidR="00280FD5">
        <w:fldChar w:fldCharType="begin"/>
      </w:r>
      <w:r w:rsidR="00737C5E">
        <w:instrText xml:space="preserve"> ADDIN EN.CITE &lt;EndNote&gt;&lt;Cite&gt;&lt;Author&gt;Butler&lt;/Author&gt;&lt;Year&gt;2008&lt;/Year&gt;&lt;RecNum&gt;47&lt;/RecNum&gt;&lt;DisplayText&gt;(Butler 2008b)&lt;/DisplayText&gt;&lt;record&gt;&lt;rec-number&gt;47&lt;/rec-number&gt;&lt;foreign-keys&gt;&lt;key app="EN" db-id="a90s5zadewrawxeer07v2f90xr5vxv022sat"&gt;47&lt;/key&gt;&lt;key app="ENWeb" db-id="S3c-7ArtqgcAACfG-zs"&gt;49&lt;/key&gt;&lt;/foreign-keys&gt;&lt;ref-type name="Report"&gt;27&lt;/ref-type&gt;&lt;contributors&gt;&lt;authors&gt;&lt;author&gt;Butler, Brett J.&lt;/author&gt;&lt;/authors&gt;&lt;/contributors&gt;&lt;titles&gt;&lt;title&gt;Family Forest Owners of the United States, 2006&lt;/title&gt;&lt;/titles&gt;&lt;dates&gt;&lt;year&gt;2008b&lt;/year&gt;&lt;/dates&gt;&lt;publisher&gt;Gen. Tech. Rep. NRS-27. Newtown Square, PA: U.S. Department of Agriculture, Forest Service, Northern Research Station.72p&lt;/publisher&gt;&lt;urls&gt;&lt;related-urls&gt;&lt;url&gt;http://www.treesearch.fs.fed.us/pubs/15758&lt;/url&gt;&lt;/related-urls&gt;&lt;/urls&gt;&lt;/record&gt;&lt;/Cite&gt;&lt;/EndNote&gt;</w:instrText>
      </w:r>
      <w:r w:rsidR="00280FD5">
        <w:fldChar w:fldCharType="separate"/>
      </w:r>
      <w:r w:rsidR="00737C5E">
        <w:rPr>
          <w:noProof/>
        </w:rPr>
        <w:t>(</w:t>
      </w:r>
      <w:hyperlink w:anchor="_ENREF_32" w:tooltip="Butler, 2008b #47" w:history="1">
        <w:r w:rsidR="001E4C88">
          <w:rPr>
            <w:noProof/>
          </w:rPr>
          <w:t>Butler 2008b</w:t>
        </w:r>
      </w:hyperlink>
      <w:r w:rsidR="00737C5E">
        <w:rPr>
          <w:noProof/>
        </w:rPr>
        <w:t>)</w:t>
      </w:r>
      <w:r w:rsidR="00280FD5">
        <w:fldChar w:fldCharType="end"/>
      </w:r>
      <w:r w:rsidR="00280FD5">
        <w:t xml:space="preserve">.   Many </w:t>
      </w:r>
      <w:r w:rsidR="00617BC0">
        <w:t>of these smaller owners,</w:t>
      </w:r>
      <w:r w:rsidR="003B1692">
        <w:t xml:space="preserve"> especially those at or nearing retirement,</w:t>
      </w:r>
      <w:r w:rsidR="00280FD5">
        <w:t xml:space="preserve"> with relatively mature and accessible timberland can therefore be expected to engage in DL cutting in the near future if timber prices continue to rebound from recent lows.  </w:t>
      </w:r>
    </w:p>
    <w:p w:rsidR="002539CB" w:rsidRDefault="002A2104" w:rsidP="00365533">
      <w:pPr>
        <w:autoSpaceDE w:val="0"/>
        <w:autoSpaceDN w:val="0"/>
        <w:adjustRightInd w:val="0"/>
        <w:spacing w:line="480" w:lineRule="auto"/>
        <w:ind w:firstLine="720"/>
      </w:pPr>
      <w:r>
        <w:rPr>
          <w:bCs/>
        </w:rPr>
        <w:t>T</w:t>
      </w:r>
      <w:r w:rsidR="001A427B">
        <w:rPr>
          <w:bCs/>
        </w:rPr>
        <w:t xml:space="preserve">he overall ecological and economic </w:t>
      </w:r>
      <w:r w:rsidR="001A427B" w:rsidRPr="00EC71D3">
        <w:rPr>
          <w:bCs/>
        </w:rPr>
        <w:t xml:space="preserve">situation </w:t>
      </w:r>
      <w:r w:rsidR="001A427B">
        <w:rPr>
          <w:bCs/>
        </w:rPr>
        <w:t xml:space="preserve">of the Cumberland Mountains </w:t>
      </w:r>
      <w:r w:rsidR="00365533">
        <w:rPr>
          <w:bCs/>
        </w:rPr>
        <w:t>certainly appears t</w:t>
      </w:r>
      <w:r w:rsidR="001A427B" w:rsidRPr="00EC71D3">
        <w:rPr>
          <w:bCs/>
        </w:rPr>
        <w:t xml:space="preserve">o lend itself to the relevancy of “proof of concept” research </w:t>
      </w:r>
      <w:r w:rsidR="00280FD5">
        <w:rPr>
          <w:bCs/>
        </w:rPr>
        <w:t xml:space="preserve">undertaken </w:t>
      </w:r>
      <w:r w:rsidR="002B5030">
        <w:rPr>
          <w:bCs/>
        </w:rPr>
        <w:t xml:space="preserve">in </w:t>
      </w:r>
      <w:r w:rsidR="001A427B">
        <w:rPr>
          <w:bCs/>
        </w:rPr>
        <w:t xml:space="preserve">this </w:t>
      </w:r>
      <w:r w:rsidR="00280FD5">
        <w:rPr>
          <w:bCs/>
        </w:rPr>
        <w:t>study</w:t>
      </w:r>
      <w:r w:rsidR="001A427B" w:rsidRPr="00EC71D3">
        <w:rPr>
          <w:bCs/>
        </w:rPr>
        <w:t>.</w:t>
      </w:r>
      <w:r w:rsidR="001A427B">
        <w:rPr>
          <w:bCs/>
        </w:rPr>
        <w:t xml:space="preserve">  </w:t>
      </w:r>
      <w:r w:rsidR="00280FD5">
        <w:rPr>
          <w:bCs/>
        </w:rPr>
        <w:t>I</w:t>
      </w:r>
      <w:r>
        <w:rPr>
          <w:bCs/>
        </w:rPr>
        <w:t>ndeed</w:t>
      </w:r>
      <w:r w:rsidR="00280FD5">
        <w:rPr>
          <w:bCs/>
        </w:rPr>
        <w:t>, a</w:t>
      </w:r>
      <w:r w:rsidR="00365533" w:rsidRPr="00EC71D3">
        <w:t>ll counties in the Cumberland Mountains of Tennessee</w:t>
      </w:r>
      <w:r w:rsidR="00365533">
        <w:t xml:space="preserve"> </w:t>
      </w:r>
      <w:r w:rsidR="00365533" w:rsidRPr="00EC71D3">
        <w:t>are among the most distressed in the nation as they and many others in Southern Appalachia rank in the top 20</w:t>
      </w:r>
      <w:r w:rsidR="00365533">
        <w:t xml:space="preserve"> percent</w:t>
      </w:r>
      <w:r w:rsidR="00365533" w:rsidRPr="00EC71D3">
        <w:t xml:space="preserve"> of counties that had experienced relative unemployment increases in the 2007-2009 </w:t>
      </w:r>
      <w:proofErr w:type="gramStart"/>
      <w:r w:rsidR="00365533" w:rsidRPr="00EC71D3">
        <w:t>recession</w:t>
      </w:r>
      <w:proofErr w:type="gramEnd"/>
      <w:r w:rsidR="00365533" w:rsidRPr="00EC71D3">
        <w:t xml:space="preserve">.  </w:t>
      </w:r>
      <w:r w:rsidR="00280FD5">
        <w:t>As a consequence</w:t>
      </w:r>
      <w:r w:rsidR="00365533">
        <w:t xml:space="preserve">, </w:t>
      </w:r>
      <w:r w:rsidR="00535261">
        <w:t xml:space="preserve">the level of employment in </w:t>
      </w:r>
      <w:r w:rsidR="00365533">
        <w:t>t</w:t>
      </w:r>
      <w:r w:rsidR="00365533" w:rsidRPr="00EC71D3">
        <w:t xml:space="preserve">hese counties </w:t>
      </w:r>
      <w:r w:rsidR="00535261">
        <w:t>is</w:t>
      </w:r>
      <w:r w:rsidR="00535261" w:rsidRPr="00EC71D3">
        <w:t xml:space="preserve"> </w:t>
      </w:r>
      <w:r w:rsidR="00365533" w:rsidRPr="00EC71D3">
        <w:t xml:space="preserve">not expected to </w:t>
      </w:r>
      <w:r w:rsidR="00535261">
        <w:t>recover</w:t>
      </w:r>
      <w:r w:rsidR="00365533" w:rsidRPr="00EC71D3">
        <w:t xml:space="preserve"> for some time </w:t>
      </w:r>
      <w:r w:rsidR="00365533" w:rsidRPr="00EC71D3">
        <w:fldChar w:fldCharType="begin"/>
      </w:r>
      <w:r w:rsidR="00A87D07">
        <w:instrText xml:space="preserve"> ADDIN EN.CITE &lt;EndNote&gt;&lt;Cite&gt;&lt;Author&gt;Greenstone&lt;/Author&gt;&lt;Year&gt;2010&lt;/Year&gt;&lt;RecNum&gt;210&lt;/RecNum&gt;&lt;DisplayText&gt;(Greenstone and Looney 2010)&lt;/DisplayText&gt;&lt;record&gt;&lt;rec-number&gt;210&lt;/rec-number&gt;&lt;foreign-keys&gt;&lt;key app="EN" db-id="a90s5zadewrawxeer07v2f90xr5vxv022sat"&gt;210&lt;/key&gt;&lt;/foreign-keys&gt;&lt;ref-type name="Report"&gt;27&lt;/ref-type&gt;&lt;contributors&gt;&lt;authors&gt;&lt;author&gt;Michael Greenstone&lt;/author&gt;&lt;author&gt;Adam Looney&lt;/author&gt;&lt;/authors&gt;&lt;/contributors&gt;&lt;titles&gt;&lt;title&gt;An Economic Strategy to Renew American Communities, Strategy Paper&lt;/title&gt;&lt;secondary-title&gt;The Hamilton Project&lt;/secondary-title&gt;&lt;/titles&gt;&lt;pages&gt;22&lt;/pages&gt;&lt;dates&gt;&lt;year&gt;2010&lt;/year&gt;&lt;/dates&gt;&lt;pub-location&gt;Washington D.C.&lt;/pub-location&gt;&lt;publisher&gt;The Brookings Institute&lt;/publisher&gt;&lt;urls&gt;&lt;/urls&gt;&lt;/record&gt;&lt;/Cite&gt;&lt;/EndNote&gt;</w:instrText>
      </w:r>
      <w:r w:rsidR="00365533" w:rsidRPr="00EC71D3">
        <w:fldChar w:fldCharType="separate"/>
      </w:r>
      <w:r w:rsidR="00A87D07">
        <w:rPr>
          <w:noProof/>
        </w:rPr>
        <w:t>(</w:t>
      </w:r>
      <w:hyperlink w:anchor="_ENREF_61" w:tooltip="Greenstone, 2010 #210" w:history="1">
        <w:r w:rsidR="001E4C88">
          <w:rPr>
            <w:noProof/>
          </w:rPr>
          <w:t>Greenstone and Looney 2010</w:t>
        </w:r>
      </w:hyperlink>
      <w:r w:rsidR="00A87D07">
        <w:rPr>
          <w:noProof/>
        </w:rPr>
        <w:t>)</w:t>
      </w:r>
      <w:r w:rsidR="00365533" w:rsidRPr="00EC71D3">
        <w:fldChar w:fldCharType="end"/>
      </w:r>
      <w:r w:rsidR="00365533">
        <w:t xml:space="preserve">. </w:t>
      </w:r>
      <w:r w:rsidR="00280FD5">
        <w:t xml:space="preserve"> Fortunately, </w:t>
      </w:r>
      <w:r w:rsidR="001A427B" w:rsidRPr="00EC71D3">
        <w:t>IFM investments are already being made in th</w:t>
      </w:r>
      <w:r w:rsidR="001A427B">
        <w:t>e</w:t>
      </w:r>
      <w:r w:rsidR="001A427B" w:rsidRPr="00EC71D3">
        <w:t xml:space="preserve"> area and their continuation throughout the region </w:t>
      </w:r>
      <w:r w:rsidR="001A427B">
        <w:t>may</w:t>
      </w:r>
      <w:r w:rsidR="001A427B" w:rsidRPr="00EC71D3">
        <w:t xml:space="preserve"> help the local forest</w:t>
      </w:r>
      <w:r w:rsidR="00340382">
        <w:t>ry</w:t>
      </w:r>
      <w:r w:rsidR="001A427B" w:rsidRPr="00EC71D3">
        <w:t xml:space="preserve"> sector and related communities recover </w:t>
      </w:r>
      <w:r w:rsidR="001A427B">
        <w:t>to some degree</w:t>
      </w:r>
      <w:r w:rsidR="00340382">
        <w:t>.  Yet</w:t>
      </w:r>
      <w:r w:rsidR="00280FD5">
        <w:t xml:space="preserve"> the potential for </w:t>
      </w:r>
      <w:r w:rsidR="00340382">
        <w:t>IFM projects to appreciably increase FFO income remains an open question.</w:t>
      </w:r>
      <w:r w:rsidR="001A427B" w:rsidRPr="00EC71D3">
        <w:t xml:space="preserve"> </w:t>
      </w:r>
      <w:r w:rsidR="00280FD5">
        <w:t xml:space="preserve"> </w:t>
      </w:r>
    </w:p>
    <w:p w:rsidR="00EC71D3" w:rsidRPr="00EC71D3" w:rsidRDefault="00BD1178" w:rsidP="00591524">
      <w:pPr>
        <w:autoSpaceDE w:val="0"/>
        <w:autoSpaceDN w:val="0"/>
        <w:adjustRightInd w:val="0"/>
        <w:spacing w:line="480" w:lineRule="auto"/>
        <w:ind w:left="18" w:firstLine="702"/>
      </w:pPr>
      <w:r>
        <w:t xml:space="preserve">Considering that </w:t>
      </w:r>
      <w:r w:rsidRPr="00922A67">
        <w:t>a mere 5 percent</w:t>
      </w:r>
      <w:r>
        <w:t xml:space="preserve"> of FFOs possess</w:t>
      </w:r>
      <w:r w:rsidRPr="00922A67">
        <w:t xml:space="preserve"> written management plans</w:t>
      </w:r>
      <w:r>
        <w:t xml:space="preserve"> </w:t>
      </w:r>
      <w:r>
        <w:fldChar w:fldCharType="begin"/>
      </w:r>
      <w:r w:rsidR="00737C5E">
        <w:instrText xml:space="preserve"> ADDIN EN.CITE &lt;EndNote&gt;&lt;Cite&gt;&lt;Author&gt;Butler&lt;/Author&gt;&lt;Year&gt;2008&lt;/Year&gt;&lt;RecNum&gt;47&lt;/RecNum&gt;&lt;DisplayText&gt;(Butler 2008b)&lt;/DisplayText&gt;&lt;record&gt;&lt;rec-number&gt;47&lt;/rec-number&gt;&lt;foreign-keys&gt;&lt;key app="EN" db-id="a90s5zadewrawxeer07v2f90xr5vxv022sat"&gt;47&lt;/key&gt;&lt;key app="ENWeb" db-id="S3c-7ArtqgcAACfG-zs"&gt;49&lt;/key&gt;&lt;/foreign-keys&gt;&lt;ref-type name="Report"&gt;27&lt;/ref-type&gt;&lt;contributors&gt;&lt;authors&gt;&lt;author&gt;Butler, Brett J.&lt;/author&gt;&lt;/authors&gt;&lt;/contributors&gt;&lt;titles&gt;&lt;title&gt;Family Forest Owners of the United States, 2006&lt;/title&gt;&lt;/titles&gt;&lt;dates&gt;&lt;year&gt;2008b&lt;/year&gt;&lt;/dates&gt;&lt;publisher&gt;Gen. Tech. Rep. NRS-27. Newtown Square, PA: U.S. Department of Agriculture, Forest Service, Northern Research Station.72p&lt;/publisher&gt;&lt;urls&gt;&lt;related-urls&gt;&lt;url&gt;http://www.treesearch.fs.fed.us/pubs/15758&lt;/url&gt;&lt;/related-urls&gt;&lt;/urls&gt;&lt;/record&gt;&lt;/Cite&gt;&lt;/EndNote&gt;</w:instrText>
      </w:r>
      <w:r>
        <w:fldChar w:fldCharType="separate"/>
      </w:r>
      <w:r w:rsidR="00737C5E">
        <w:rPr>
          <w:noProof/>
        </w:rPr>
        <w:t>(</w:t>
      </w:r>
      <w:hyperlink w:anchor="_ENREF_32" w:tooltip="Butler, 2008b #47" w:history="1">
        <w:r w:rsidR="001E4C88">
          <w:rPr>
            <w:noProof/>
          </w:rPr>
          <w:t>Butler 2008b</w:t>
        </w:r>
      </w:hyperlink>
      <w:r w:rsidR="00737C5E">
        <w:rPr>
          <w:noProof/>
        </w:rPr>
        <w:t>)</w:t>
      </w:r>
      <w:r>
        <w:fldChar w:fldCharType="end"/>
      </w:r>
      <w:r w:rsidR="000B7F26">
        <w:t>,</w:t>
      </w:r>
      <w:r>
        <w:t xml:space="preserve"> there seems to be potential for IFM programs to combat the widespread unsustainable management practices in the </w:t>
      </w:r>
      <w:r>
        <w:lastRenderedPageBreak/>
        <w:t xml:space="preserve">region that hasten the decline of oak.  </w:t>
      </w:r>
      <w:r w:rsidR="002A2104" w:rsidRPr="001C43E4">
        <w:t>Even with a management plan, upland hardwood</w:t>
      </w:r>
      <w:r w:rsidR="002A2104">
        <w:t xml:space="preserve"> </w:t>
      </w:r>
      <w:r w:rsidR="002A2104" w:rsidRPr="001C43E4">
        <w:t xml:space="preserve">harvests are </w:t>
      </w:r>
      <w:r w:rsidR="00157633">
        <w:t>not likely to be</w:t>
      </w:r>
      <w:r w:rsidR="002A2104" w:rsidRPr="001C43E4">
        <w:t xml:space="preserve"> spelled out in them, as </w:t>
      </w:r>
      <w:r w:rsidR="002A2104">
        <w:t>most treatments</w:t>
      </w:r>
      <w:r w:rsidR="002A2104" w:rsidRPr="001C43E4">
        <w:t xml:space="preserve"> are contingent on a </w:t>
      </w:r>
      <w:r w:rsidR="002A2104">
        <w:t>complicated suite</w:t>
      </w:r>
      <w:r w:rsidR="002A2104" w:rsidRPr="001C43E4">
        <w:t xml:space="preserve"> of factors.  </w:t>
      </w:r>
      <w:r w:rsidR="00365533">
        <w:t>On the other hand</w:t>
      </w:r>
      <w:r w:rsidRPr="00072E19">
        <w:t xml:space="preserve">, IFM programs are unlikely to shrink the profitability gap between </w:t>
      </w:r>
      <w:r w:rsidR="002A2104">
        <w:t xml:space="preserve">imminent </w:t>
      </w:r>
      <w:r w:rsidRPr="00072E19">
        <w:t>DL cuts and sustainable forestry</w:t>
      </w:r>
      <w:r w:rsidR="00365533" w:rsidRPr="00365533">
        <w:t xml:space="preserve"> </w:t>
      </w:r>
      <w:r w:rsidR="000F6497">
        <w:t>given</w:t>
      </w:r>
      <w:r w:rsidR="00365533" w:rsidRPr="00072E19">
        <w:t xml:space="preserve"> the value of grade sawtimber</w:t>
      </w:r>
      <w:r w:rsidRPr="00072E19">
        <w:t>.  The prospects for ending timberland degrading practices</w:t>
      </w:r>
      <w:r w:rsidR="002A2104">
        <w:t xml:space="preserve"> may</w:t>
      </w:r>
      <w:r w:rsidRPr="00072E19">
        <w:t xml:space="preserve"> ultimately depend on </w:t>
      </w:r>
      <w:r w:rsidR="000B7F26" w:rsidRPr="00072E19">
        <w:t xml:space="preserve">greater market demand for domestic low-grade wood products and </w:t>
      </w:r>
      <w:r w:rsidRPr="00072E19">
        <w:t>outreach efforts that inf</w:t>
      </w:r>
      <w:r w:rsidR="000B7F26" w:rsidRPr="00072E19">
        <w:t>orm FFOs of the implications from conventional harvesting practices</w:t>
      </w:r>
      <w:r w:rsidR="00365533">
        <w:t xml:space="preserve"> </w:t>
      </w:r>
      <w:r w:rsidR="00365533">
        <w:fldChar w:fldCharType="begin"/>
      </w:r>
      <w:r w:rsidR="00083723">
        <w:instrText xml:space="preserve"> ADDIN EN.CITE &lt;EndNote&gt;&lt;Cite&gt;&lt;Author&gt;McShea&lt;/Author&gt;&lt;Year&gt;2007&lt;/Year&gt;&lt;RecNum&gt;299&lt;/RecNum&gt;&lt;DisplayText&gt;(Mcshea et al. 2007)&lt;/DisplayText&gt;&lt;record&gt;&lt;rec-number&gt;299&lt;/rec-number&gt;&lt;foreign-keys&gt;&lt;key app="EN" db-id="a90s5zadewrawxeer07v2f90xr5vxv022sat"&gt;299&lt;/key&gt;&lt;/foreign-keys&gt;&lt;ref-type name="Journal Article"&gt;17&lt;/ref-type&gt;&lt;contributors&gt;&lt;authors&gt;&lt;author&gt;McShea, William&lt;/author&gt;&lt;author&gt;Healy, W. M.&lt;/author&gt;&lt;author&gt;Devers, P.&lt;/author&gt;&lt;author&gt;Fearer, T.&lt;/author&gt;&lt;author&gt;Koch, F. H.&lt;/author&gt;&lt;author&gt;Stauffer, D.&lt;/author&gt;&lt;author&gt;Waldon, J.&lt;/author&gt;&lt;/authors&gt;&lt;/contributors&gt;&lt;titles&gt;&lt;title&gt;Forestry matters: decline of oaks will impact wildlife in hardwood forests&lt;/title&gt;&lt;secondary-title&gt;Journal of Wildlife Management&lt;/secondary-title&gt;&lt;/titles&gt;&lt;periodical&gt;&lt;full-title&gt;Journal of Wildlife Management&lt;/full-title&gt;&lt;abbr-1&gt;J. Wildl. Manage.&lt;/abbr-1&gt;&lt;/periodical&gt;&lt;pages&gt;1717-1728&lt;/pages&gt;&lt;volume&gt;71&lt;/volume&gt;&lt;number&gt;5&lt;/number&gt;&lt;dates&gt;&lt;year&gt;2007&lt;/year&gt;&lt;/dates&gt;&lt;urls&gt;&lt;related-urls&gt;&lt;url&gt;http://si-pddr.si.edu/jspui/bitstream/10088/6029/1/2F31FAD1-5D7E-49B8-8624-575FF5E4D61C.pdf&lt;/url&gt;&lt;/related-urls&gt;&lt;/urls&gt;&lt;/record&gt;&lt;/Cite&gt;&lt;/EndNote&gt;</w:instrText>
      </w:r>
      <w:r w:rsidR="00365533">
        <w:fldChar w:fldCharType="separate"/>
      </w:r>
      <w:r w:rsidR="00083723">
        <w:rPr>
          <w:noProof/>
        </w:rPr>
        <w:t>(</w:t>
      </w:r>
      <w:hyperlink w:anchor="_ENREF_91" w:tooltip="McShea, 2007 #299" w:history="1">
        <w:r w:rsidR="001E4C88">
          <w:rPr>
            <w:noProof/>
          </w:rPr>
          <w:t>Mcshea et al. 2007</w:t>
        </w:r>
      </w:hyperlink>
      <w:r w:rsidR="00083723">
        <w:rPr>
          <w:noProof/>
        </w:rPr>
        <w:t>)</w:t>
      </w:r>
      <w:r w:rsidR="00365533">
        <w:fldChar w:fldCharType="end"/>
      </w:r>
      <w:r w:rsidRPr="00072E19">
        <w:t>.  Nevertheless</w:t>
      </w:r>
      <w:r>
        <w:t xml:space="preserve">, </w:t>
      </w:r>
      <w:r w:rsidR="000F6497">
        <w:t xml:space="preserve">considering that FFOs in the South consistently find property taxes to be a highly concerning limitation of land use </w:t>
      </w:r>
      <w:r w:rsidR="000F6497">
        <w:fldChar w:fldCharType="begin"/>
      </w:r>
      <w:r w:rsidR="00737C5E">
        <w:instrText xml:space="preserve"> ADDIN EN.CITE &lt;EndNote&gt;&lt;Cite&gt;&lt;Author&gt;Butler&lt;/Author&gt;&lt;Year&gt;2008&lt;/Year&gt;&lt;RecNum&gt;47&lt;/RecNum&gt;&lt;DisplayText&gt;(Butler 2008b)&lt;/DisplayText&gt;&lt;record&gt;&lt;rec-number&gt;47&lt;/rec-number&gt;&lt;foreign-keys&gt;&lt;key app="EN" db-id="a90s5zadewrawxeer07v2f90xr5vxv022sat"&gt;47&lt;/key&gt;&lt;key app="ENWeb" db-id="S3c-7ArtqgcAACfG-zs"&gt;49&lt;/key&gt;&lt;/foreign-keys&gt;&lt;ref-type name="Report"&gt;27&lt;/ref-type&gt;&lt;contributors&gt;&lt;authors&gt;&lt;author&gt;Butler, Brett J.&lt;/author&gt;&lt;/authors&gt;&lt;/contributors&gt;&lt;titles&gt;&lt;title&gt;Family Forest Owners of the United States, 2006&lt;/title&gt;&lt;/titles&gt;&lt;dates&gt;&lt;year&gt;2008b&lt;/year&gt;&lt;/dates&gt;&lt;publisher&gt;Gen. Tech. Rep. NRS-27. Newtown Square, PA: U.S. Department of Agriculture, Forest Service, Northern Research Station.72p&lt;/publisher&gt;&lt;urls&gt;&lt;related-urls&gt;&lt;url&gt;http://www.treesearch.fs.fed.us/pubs/15758&lt;/url&gt;&lt;/related-urls&gt;&lt;/urls&gt;&lt;/record&gt;&lt;/Cite&gt;&lt;/EndNote&gt;</w:instrText>
      </w:r>
      <w:r w:rsidR="000F6497">
        <w:fldChar w:fldCharType="separate"/>
      </w:r>
      <w:r w:rsidR="00737C5E">
        <w:rPr>
          <w:noProof/>
        </w:rPr>
        <w:t>(</w:t>
      </w:r>
      <w:hyperlink w:anchor="_ENREF_32" w:tooltip="Butler, 2008b #47" w:history="1">
        <w:r w:rsidR="001E4C88">
          <w:rPr>
            <w:noProof/>
          </w:rPr>
          <w:t>Butler 2008b</w:t>
        </w:r>
      </w:hyperlink>
      <w:r w:rsidR="00737C5E">
        <w:rPr>
          <w:noProof/>
        </w:rPr>
        <w:t>)</w:t>
      </w:r>
      <w:r w:rsidR="000F6497">
        <w:fldChar w:fldCharType="end"/>
      </w:r>
      <w:r w:rsidR="000F6497">
        <w:t xml:space="preserve">, </w:t>
      </w:r>
      <w:r>
        <w:t>IFM activities that c</w:t>
      </w:r>
      <w:r w:rsidR="000F6497">
        <w:t>ould</w:t>
      </w:r>
      <w:r>
        <w:t xml:space="preserve"> demonstrate net revenues in excess of property taxes </w:t>
      </w:r>
      <w:r w:rsidR="000F6497">
        <w:t xml:space="preserve">would likely </w:t>
      </w:r>
      <w:r>
        <w:t xml:space="preserve">be </w:t>
      </w:r>
      <w:r w:rsidR="000F6497">
        <w:t>quite attractive to most FFOs</w:t>
      </w:r>
      <w:r>
        <w:t xml:space="preserve">, especially if developers can cover the costs of project development and implementation or provide loans for them as some already do. </w:t>
      </w:r>
      <w:r w:rsidRPr="00C10B8D">
        <w:t xml:space="preserve"> </w:t>
      </w:r>
      <w:r w:rsidRPr="007B6C9A">
        <w:t xml:space="preserve">Thus, </w:t>
      </w:r>
      <w:r>
        <w:t>an</w:t>
      </w:r>
      <w:r w:rsidRPr="007B6C9A">
        <w:t xml:space="preserve"> analysis of IFM’s marginal value in key southern forests </w:t>
      </w:r>
      <w:r>
        <w:t>is needed to</w:t>
      </w:r>
      <w:r w:rsidRPr="007B6C9A">
        <w:t xml:space="preserve"> determine if this win-win scenario is a likely outcome or just wishful thinking.</w:t>
      </w:r>
    </w:p>
    <w:p w:rsidR="00BD1178" w:rsidRPr="002B58DD" w:rsidRDefault="00BD1178" w:rsidP="00591524">
      <w:pPr>
        <w:pStyle w:val="Heading6"/>
        <w:numPr>
          <w:ilvl w:val="1"/>
          <w:numId w:val="16"/>
        </w:numPr>
        <w:spacing w:line="480" w:lineRule="auto"/>
        <w:ind w:left="450"/>
        <w:rPr>
          <w:i/>
        </w:rPr>
      </w:pPr>
      <w:r w:rsidRPr="002B58DD">
        <w:rPr>
          <w:i/>
        </w:rPr>
        <w:t>IFM Research History and Relevance</w:t>
      </w:r>
    </w:p>
    <w:p w:rsidR="005827F2" w:rsidRDefault="00BD1178" w:rsidP="00591524">
      <w:pPr>
        <w:autoSpaceDE w:val="0"/>
        <w:autoSpaceDN w:val="0"/>
        <w:adjustRightInd w:val="0"/>
        <w:spacing w:line="480" w:lineRule="auto"/>
        <w:ind w:firstLine="720"/>
        <w:rPr>
          <w:rFonts w:cs="Calibri"/>
          <w:color w:val="FF0000"/>
        </w:rPr>
      </w:pPr>
      <w:r w:rsidRPr="00206C62">
        <w:rPr>
          <w:rFonts w:cs="Calibri"/>
        </w:rPr>
        <w:t xml:space="preserve">Approximations of forest carbon stocks corresponding to broadly defined geographical areas, forest types and site quality by </w:t>
      </w:r>
      <w:proofErr w:type="spellStart"/>
      <w:r w:rsidRPr="00206C62">
        <w:rPr>
          <w:rFonts w:cs="Calibri"/>
        </w:rPr>
        <w:t>Birdsey</w:t>
      </w:r>
      <w:proofErr w:type="spellEnd"/>
      <w:r w:rsidRPr="00206C62">
        <w:rPr>
          <w:rFonts w:cs="Calibri"/>
        </w:rPr>
        <w:t xml:space="preserve"> </w:t>
      </w:r>
      <w:r w:rsidRPr="00206C62">
        <w:rPr>
          <w:rFonts w:cs="Calibri"/>
        </w:rPr>
        <w:fldChar w:fldCharType="begin"/>
      </w:r>
      <w:r w:rsidR="00A87D07">
        <w:rPr>
          <w:rFonts w:cs="Calibri"/>
        </w:rPr>
        <w:instrText xml:space="preserve"> ADDIN EN.CITE &lt;EndNote&gt;&lt;Cite ExcludeAuth="1"&gt;&lt;Author&gt;Birdsey&lt;/Author&gt;&lt;Year&gt;1996&lt;/Year&gt;&lt;RecNum&gt;50&lt;/RecNum&gt;&lt;DisplayText&gt;(1996)&lt;/DisplayText&gt;&lt;record&gt;&lt;rec-number&gt;50&lt;/rec-number&gt;&lt;foreign-keys&gt;&lt;key app="EN" db-id="a90s5zadewrawxeer07v2f90xr5vxv022sat"&gt;50&lt;/key&gt;&lt;key app="ENWeb" db-id="S3c-7ArtqgcAACfG-zs"&gt;52&lt;/key&gt;&lt;/foreign-keys&gt;&lt;ref-type name="Book Section"&gt;5&lt;/ref-type&gt;&lt;contributors&gt;&lt;authors&gt;&lt;author&gt;Birdsey, R.A.&lt;/author&gt;&lt;/authors&gt;&lt;secondary-authors&gt;&lt;author&gt;R. Neil Sampson&lt;/author&gt;&lt;author&gt;Dwight Hair&lt;/author&gt;&lt;/secondary-authors&gt;&lt;/contributors&gt;&lt;titles&gt;&lt;title&gt;Carbon storage for major forest types and regions in the conterminous United States&lt;/title&gt;&lt;secondary-title&gt;Forests and Global Change, Vol 2: Forest Management Opportunities for Mitigating Carbon Emissions&lt;/secondary-title&gt;&lt;/titles&gt;&lt;dates&gt;&lt;year&gt;1996&lt;/year&gt;&lt;/dates&gt;&lt;publisher&gt;eds. Washington, DC: American Forests, Chapter 1&lt;/publisher&gt;&lt;urls&gt;&lt;/urls&gt;&lt;/record&gt;&lt;/Cite&gt;&lt;/EndNote&gt;</w:instrText>
      </w:r>
      <w:r w:rsidRPr="00206C62">
        <w:rPr>
          <w:rFonts w:cs="Calibri"/>
        </w:rPr>
        <w:fldChar w:fldCharType="separate"/>
      </w:r>
      <w:r w:rsidR="00A87D07">
        <w:rPr>
          <w:rFonts w:cs="Calibri"/>
          <w:noProof/>
        </w:rPr>
        <w:t>(</w:t>
      </w:r>
      <w:hyperlink w:anchor="_ENREF_26" w:tooltip="Birdsey, 1996 #50" w:history="1">
        <w:r w:rsidR="001E4C88">
          <w:rPr>
            <w:rFonts w:cs="Calibri"/>
            <w:noProof/>
          </w:rPr>
          <w:t>1996</w:t>
        </w:r>
      </w:hyperlink>
      <w:r w:rsidR="00A87D07">
        <w:rPr>
          <w:rFonts w:cs="Calibri"/>
          <w:noProof/>
        </w:rPr>
        <w:t>)</w:t>
      </w:r>
      <w:r w:rsidRPr="00206C62">
        <w:rPr>
          <w:rFonts w:cs="Calibri"/>
        </w:rPr>
        <w:fldChar w:fldCharType="end"/>
      </w:r>
      <w:r w:rsidRPr="00206C62">
        <w:rPr>
          <w:rFonts w:cs="Calibri"/>
        </w:rPr>
        <w:t xml:space="preserve"> provided the first clear demonstration of C sequestration resulting from even-age management.  These tables and methods described for their use became the cornerstone of subsequ</w:t>
      </w:r>
      <w:r w:rsidR="00087221">
        <w:rPr>
          <w:rFonts w:cs="Calibri"/>
        </w:rPr>
        <w:t xml:space="preserve">ent analyses, technical guides </w:t>
      </w:r>
      <w:r w:rsidR="00D14CE6">
        <w:rPr>
          <w:rFonts w:cs="Calibri"/>
        </w:rPr>
        <w:fldChar w:fldCharType="begin"/>
      </w:r>
      <w:r w:rsidR="001E4C88">
        <w:rPr>
          <w:rFonts w:cs="Calibri"/>
        </w:rPr>
        <w:instrText xml:space="preserve"> ADDIN EN.CITE &lt;EndNote&gt;&lt;Cite&gt;&lt;Author&gt;Smith&lt;/Author&gt;&lt;Year&gt;2006&lt;/Year&gt;&lt;RecNum&gt;287&lt;/RecNum&gt;&lt;Prefix&gt;J.E. &lt;/Prefix&gt;&lt;DisplayText&gt;(J.E. Smith et al. 2006)&lt;/DisplayText&gt;&lt;record&gt;&lt;rec-number&gt;287&lt;/rec-number&gt;&lt;foreign-keys&gt;&lt;key app="EN" db-id="a90s5zadewrawxeer07v2f90xr5vxv022sat"&gt;287&lt;/key&gt;&lt;/foreign-keys&gt;&lt;ref-type name="Report"&gt;27&lt;/ref-type&gt;&lt;contributors&gt;&lt;authors&gt;&lt;author&gt;Smith, J.E.&lt;/author&gt;&lt;author&gt;L.S. Heath&lt;/author&gt;&lt;author&gt;K.E. Skog&lt;/author&gt;&lt;author&gt;R.A. Birdsey&lt;/author&gt;&lt;/authors&gt;&lt;/contributors&gt;&lt;titles&gt;&lt;title&gt;Methods for calculating forest ecosystem and harvested carbon with standard estimates for forest types of the United States. Gen. Tech. Rep. NE-343. USDA, Forest Service, Northeastern Research Station, Newtown Square, PA. 216 p&lt;/title&gt;&lt;/titles&gt;&lt;dates&gt;&lt;year&gt;2006&lt;/year&gt;&lt;/dates&gt;&lt;urls&gt;&lt;/urls&gt;&lt;/record&gt;&lt;/Cite&gt;&lt;/EndNote&gt;</w:instrText>
      </w:r>
      <w:r w:rsidR="00D14CE6">
        <w:rPr>
          <w:rFonts w:cs="Calibri"/>
        </w:rPr>
        <w:fldChar w:fldCharType="separate"/>
      </w:r>
      <w:r w:rsidR="001E4C88">
        <w:rPr>
          <w:rFonts w:cs="Calibri"/>
          <w:noProof/>
        </w:rPr>
        <w:t>(</w:t>
      </w:r>
      <w:hyperlink w:anchor="_ENREF_129" w:tooltip="Smith, 2006 #287" w:history="1">
        <w:r w:rsidR="001E4C88">
          <w:rPr>
            <w:rFonts w:cs="Calibri"/>
            <w:noProof/>
          </w:rPr>
          <w:t>J.E. Smith et al. 2006</w:t>
        </w:r>
      </w:hyperlink>
      <w:r w:rsidR="001E4C88">
        <w:rPr>
          <w:rFonts w:cs="Calibri"/>
          <w:noProof/>
        </w:rPr>
        <w:t>)</w:t>
      </w:r>
      <w:r w:rsidR="00D14CE6">
        <w:rPr>
          <w:rFonts w:cs="Calibri"/>
        </w:rPr>
        <w:fldChar w:fldCharType="end"/>
      </w:r>
      <w:r w:rsidRPr="00206C62">
        <w:rPr>
          <w:rFonts w:cs="Calibri"/>
        </w:rPr>
        <w:t xml:space="preserve">, accounting protocols, and online tools </w:t>
      </w:r>
      <w:r w:rsidR="0085780D">
        <w:rPr>
          <w:rFonts w:cs="Calibri"/>
        </w:rPr>
        <w:fldChar w:fldCharType="begin"/>
      </w:r>
      <w:r w:rsidR="0085780D">
        <w:rPr>
          <w:rFonts w:cs="Calibri"/>
        </w:rPr>
        <w:instrText xml:space="preserve"> ADDIN EN.CITE &lt;EndNote&gt;&lt;Cite&gt;&lt;Author&gt;Van Deusen&lt;/Author&gt;&lt;Year&gt;2007&lt;/Year&gt;&lt;RecNum&gt;312&lt;/RecNum&gt;&lt;DisplayText&gt;(Van Deusen and Heath. 2007)&lt;/DisplayText&gt;&lt;record&gt;&lt;rec-number&gt;312&lt;/rec-number&gt;&lt;foreign-keys&gt;&lt;key app="EN" db-id="a90s5zadewrawxeer07v2f90xr5vxv022sat"&gt;312&lt;/key&gt;&lt;/foreign-keys&gt;&lt;ref-type name="Online Database"&gt;45&lt;/ref-type&gt;&lt;contributors&gt;&lt;authors&gt;&lt;author&gt;Van Deusen, P.&lt;/author&gt;&lt;author&gt;L.S. Heath. &lt;/author&gt;&lt;/authors&gt;&lt;/contributors&gt;&lt;titles&gt;&lt;title&gt;COLE web applications suite. NCASI and USDA Forest Service, Northern Research Station. Available only on internet: http://www.ncasi2.org/COLE/ &lt;/title&gt;&lt;/titles&gt;&lt;dates&gt;&lt;year&gt;2007&lt;/year&gt;&lt;/dates&gt;&lt;urls&gt;&lt;/urls&gt;&lt;/record&gt;&lt;/Cite&gt;&lt;/EndNote&gt;</w:instrText>
      </w:r>
      <w:r w:rsidR="0085780D">
        <w:rPr>
          <w:rFonts w:cs="Calibri"/>
        </w:rPr>
        <w:fldChar w:fldCharType="separate"/>
      </w:r>
      <w:r w:rsidR="0085780D">
        <w:rPr>
          <w:rFonts w:cs="Calibri"/>
          <w:noProof/>
        </w:rPr>
        <w:t>(</w:t>
      </w:r>
      <w:hyperlink w:anchor="_ENREF_141" w:tooltip="Van Deusen, 2007 #312" w:history="1">
        <w:r w:rsidR="001E4C88">
          <w:rPr>
            <w:rFonts w:cs="Calibri"/>
            <w:noProof/>
          </w:rPr>
          <w:t>Van Deusen and Heath. 2007</w:t>
        </w:r>
      </w:hyperlink>
      <w:r w:rsidR="0085780D">
        <w:rPr>
          <w:rFonts w:cs="Calibri"/>
          <w:noProof/>
        </w:rPr>
        <w:t>)</w:t>
      </w:r>
      <w:r w:rsidR="0085780D">
        <w:rPr>
          <w:rFonts w:cs="Calibri"/>
        </w:rPr>
        <w:fldChar w:fldCharType="end"/>
      </w:r>
      <w:r w:rsidRPr="00206C62">
        <w:rPr>
          <w:rFonts w:cs="Calibri"/>
        </w:rPr>
        <w:t xml:space="preserve"> that inform the ballpark quantification of carbon sequestration for a given forest type (or type group), age and locale.  Th</w:t>
      </w:r>
      <w:r w:rsidR="00D067F8">
        <w:rPr>
          <w:rFonts w:cs="Calibri"/>
        </w:rPr>
        <w:t xml:space="preserve">ese </w:t>
      </w:r>
      <w:r w:rsidRPr="00206C62">
        <w:rPr>
          <w:rFonts w:cs="Calibri"/>
        </w:rPr>
        <w:t>updated and digestible data and guidance ha</w:t>
      </w:r>
      <w:r w:rsidR="00D067F8">
        <w:rPr>
          <w:rFonts w:cs="Calibri"/>
        </w:rPr>
        <w:t>ve</w:t>
      </w:r>
      <w:r w:rsidRPr="00206C62">
        <w:rPr>
          <w:rFonts w:cs="Calibri"/>
        </w:rPr>
        <w:t xml:space="preserve"> fostered numerous assessments of seques</w:t>
      </w:r>
      <w:r>
        <w:rPr>
          <w:rFonts w:cs="Calibri"/>
        </w:rPr>
        <w:t>tration opportunity in forestry</w:t>
      </w:r>
      <w:r w:rsidR="00365533">
        <w:rPr>
          <w:rFonts w:cs="Calibri"/>
        </w:rPr>
        <w:t xml:space="preserve"> </w:t>
      </w:r>
      <w:r w:rsidR="00365533">
        <w:rPr>
          <w:rFonts w:cs="Calibri"/>
        </w:rPr>
        <w:fldChar w:fldCharType="begin"/>
      </w:r>
      <w:r w:rsidR="00A87D07">
        <w:rPr>
          <w:rFonts w:cs="Calibri"/>
        </w:rPr>
        <w:instrText xml:space="preserve"> ADDIN EN.CITE &lt;EndNote&gt;&lt;Cite&gt;&lt;Author&gt;Foley&lt;/Author&gt;&lt;Year&gt;2009&lt;/Year&gt;&lt;RecNum&gt;95&lt;/RecNum&gt;&lt;Prefix&gt;e.g. &lt;/Prefix&gt;&lt;DisplayText&gt;(e.g. Foley et al. 2009)&lt;/DisplayText&gt;&lt;record&gt;&lt;rec-number&gt;95&lt;/rec-number&gt;&lt;foreign-keys&gt;&lt;key app="EN" db-id="a90s5zadewrawxeer07v2f90xr5vxv022sat"&gt;95&lt;/key&gt;&lt;/foreign-keys&gt;&lt;ref-type name="Journal Article"&gt;17&lt;/ref-type&gt;&lt;contributors&gt;&lt;authors&gt;&lt;author&gt;Foley, Timothy G.&lt;/author&gt;&lt;author&gt;Richter, Daniel deB&lt;/author&gt;&lt;author&gt;Galik, Christopher S.&lt;/author&gt;&lt;/authors&gt;&lt;/contributors&gt;&lt;titles&gt;&lt;title&gt;Extending rotation age for carbon sequestration: A cross-protocol comparison of North American forest offsets&lt;/title&gt;&lt;secondary-title&gt;Forest Ecology and Management&lt;/secondary-title&gt;&lt;/titles&gt;&lt;periodical&gt;&lt;full-title&gt;Forest Ecology and Management&lt;/full-title&gt;&lt;abbr-1&gt;For. Ecol. Manage.&lt;/abbr-1&gt;&lt;/periodical&gt;&lt;pages&gt;201-209&lt;/pages&gt;&lt;volume&gt;259&lt;/volume&gt;&lt;number&gt;2&lt;/number&gt;&lt;keywords&gt;&lt;keyword&gt;Carbon sequestration&lt;/keyword&gt;&lt;keyword&gt;Carbon market&lt;/keyword&gt;&lt;keyword&gt;Forest carbon&lt;/keyword&gt;&lt;keyword&gt;Forest management&lt;/keyword&gt;&lt;keyword&gt;Offset&lt;/keyword&gt;&lt;/keywords&gt;&lt;dates&gt;&lt;year&gt;2009&lt;/year&gt;&lt;/dates&gt;&lt;isbn&gt;0378-1127&lt;/isbn&gt;&lt;urls&gt;&lt;related-urls&gt;&lt;url&gt;http://www.sciencedirect.com/science/article/B6T6X-4XMK1YF-1/2/53343f6d1f34329d1fd972bb3055889a&lt;/url&gt;&lt;/related-urls&gt;&lt;/urls&gt;&lt;/record&gt;&lt;/Cite&gt;&lt;/EndNote&gt;</w:instrText>
      </w:r>
      <w:r w:rsidR="00365533">
        <w:rPr>
          <w:rFonts w:cs="Calibri"/>
        </w:rPr>
        <w:fldChar w:fldCharType="separate"/>
      </w:r>
      <w:r w:rsidR="00A87D07">
        <w:rPr>
          <w:rFonts w:cs="Calibri"/>
          <w:noProof/>
        </w:rPr>
        <w:t>(</w:t>
      </w:r>
      <w:hyperlink w:anchor="_ENREF_54" w:tooltip="Foley, 2009 #95" w:history="1">
        <w:r w:rsidR="001E4C88">
          <w:rPr>
            <w:rFonts w:cs="Calibri"/>
            <w:noProof/>
          </w:rPr>
          <w:t>e.g. Foley et al. 2009</w:t>
        </w:r>
      </w:hyperlink>
      <w:r w:rsidR="00A87D07">
        <w:rPr>
          <w:rFonts w:cs="Calibri"/>
          <w:noProof/>
        </w:rPr>
        <w:t>)</w:t>
      </w:r>
      <w:r w:rsidR="00365533">
        <w:rPr>
          <w:rFonts w:cs="Calibri"/>
        </w:rPr>
        <w:fldChar w:fldCharType="end"/>
      </w:r>
      <w:r>
        <w:rPr>
          <w:rFonts w:cs="Calibri"/>
        </w:rPr>
        <w:t>.  Y</w:t>
      </w:r>
      <w:r w:rsidRPr="00206C62">
        <w:rPr>
          <w:rFonts w:cs="Calibri"/>
        </w:rPr>
        <w:t xml:space="preserve">et </w:t>
      </w:r>
      <w:r w:rsidR="00365533">
        <w:rPr>
          <w:rFonts w:cs="Calibri"/>
        </w:rPr>
        <w:t>most</w:t>
      </w:r>
      <w:r>
        <w:rPr>
          <w:rFonts w:cs="Calibri"/>
        </w:rPr>
        <w:t xml:space="preserve"> </w:t>
      </w:r>
      <w:r w:rsidRPr="00206C62">
        <w:rPr>
          <w:rFonts w:cs="Calibri"/>
        </w:rPr>
        <w:t>studies are rarely executed at scales or within tangible frameworks and circumstances meaningful to typical forest owners and managers that may be knowledgeable or curious about the opportunities presented by carbon offset markets</w:t>
      </w:r>
      <w:r w:rsidR="005827F2">
        <w:rPr>
          <w:rFonts w:cs="Calibri"/>
        </w:rPr>
        <w:t>.</w:t>
      </w:r>
      <w:r>
        <w:rPr>
          <w:rFonts w:cs="Calibri"/>
        </w:rPr>
        <w:t xml:space="preserve"> </w:t>
      </w:r>
    </w:p>
    <w:p w:rsidR="00BD1178" w:rsidRDefault="00BD1178" w:rsidP="00591524">
      <w:pPr>
        <w:autoSpaceDE w:val="0"/>
        <w:autoSpaceDN w:val="0"/>
        <w:adjustRightInd w:val="0"/>
        <w:spacing w:line="480" w:lineRule="auto"/>
        <w:ind w:firstLine="720"/>
        <w:rPr>
          <w:rFonts w:cs="Calibri"/>
        </w:rPr>
      </w:pPr>
      <w:r>
        <w:rPr>
          <w:rFonts w:cs="Calibri"/>
        </w:rPr>
        <w:t>D</w:t>
      </w:r>
      <w:r w:rsidRPr="00206C62">
        <w:rPr>
          <w:rFonts w:cs="Calibri"/>
        </w:rPr>
        <w:t xml:space="preserve">espite the fact that planted </w:t>
      </w:r>
      <w:r>
        <w:rPr>
          <w:rFonts w:cs="Calibri"/>
        </w:rPr>
        <w:t xml:space="preserve">yellow </w:t>
      </w:r>
      <w:r w:rsidRPr="00206C62">
        <w:rPr>
          <w:rFonts w:cs="Calibri"/>
        </w:rPr>
        <w:t xml:space="preserve">pine area comprises </w:t>
      </w:r>
      <w:r>
        <w:rPr>
          <w:rFonts w:cs="Calibri"/>
        </w:rPr>
        <w:t>about one-fifth</w:t>
      </w:r>
      <w:r w:rsidRPr="00206C62">
        <w:rPr>
          <w:rFonts w:cs="Calibri"/>
        </w:rPr>
        <w:t xml:space="preserve"> of southern </w:t>
      </w:r>
      <w:r>
        <w:rPr>
          <w:rFonts w:cs="Calibri"/>
        </w:rPr>
        <w:t>private timber</w:t>
      </w:r>
      <w:r w:rsidRPr="00206C62">
        <w:rPr>
          <w:rFonts w:cs="Calibri"/>
        </w:rPr>
        <w:t>land</w:t>
      </w:r>
      <w:r>
        <w:rPr>
          <w:rFonts w:cs="Calibri"/>
        </w:rPr>
        <w:t xml:space="preserve"> and only about 12 percent of non</w:t>
      </w:r>
      <w:r w:rsidR="00072E19">
        <w:rPr>
          <w:rFonts w:cs="Calibri"/>
        </w:rPr>
        <w:t>-</w:t>
      </w:r>
      <w:r>
        <w:rPr>
          <w:rFonts w:cs="Calibri"/>
        </w:rPr>
        <w:t xml:space="preserve">corporate private timberland </w:t>
      </w:r>
      <w:r>
        <w:rPr>
          <w:rFonts w:cs="Calibri"/>
        </w:rPr>
        <w:fldChar w:fldCharType="begin"/>
      </w:r>
      <w:r w:rsidR="00CE2DF2">
        <w:rPr>
          <w:rFonts w:cs="Calibri"/>
        </w:rPr>
        <w:instrText xml:space="preserve"> ADDIN EN.CITE &lt;EndNote&gt;&lt;Cite&gt;&lt;Author&gt;Smith&lt;/Author&gt;&lt;Year&gt;2009&lt;/Year&gt;&lt;RecNum&gt;186&lt;/RecNum&gt;&lt;DisplayText&gt;(Smith 2009)&lt;/DisplayText&gt;&lt;record&gt;&lt;rec-number&gt;186&lt;/rec-number&gt;&lt;foreign-keys&gt;&lt;key app="EN" db-id="a90s5zadewrawxeer07v2f90xr5vxv022sat"&gt;186&lt;/key&gt;&lt;/foreign-keys&gt;&lt;ref-type name="Report"&gt;27&lt;/ref-type&gt;&lt;contributors&gt;&lt;authors&gt;&lt;author&gt;Smith, W. Brad, tech. coord.; Miles, Patrick D., data coord.; Perry, Charles H., map coord.; Pugh, Scott A., Data CD coord.&lt;/author&gt;&lt;/authors&gt;&lt;/contributors&gt;&lt;titles&gt;&lt;title&gt;Forest Resources of the United States, 2007. Gen. Tech. Rep. WO-78. Washington, DC: U.S. Department of Agriculture, Forest Service, Washington Office. 336 p&lt;/title&gt;&lt;/titles&gt;&lt;dates&gt;&lt;year&gt;2009&lt;/year&gt;&lt;/dates&gt;&lt;urls&gt;&lt;/urls&gt;&lt;/record&gt;&lt;/Cite&gt;&lt;/EndNote&gt;</w:instrText>
      </w:r>
      <w:r>
        <w:rPr>
          <w:rFonts w:cs="Calibri"/>
        </w:rPr>
        <w:fldChar w:fldCharType="separate"/>
      </w:r>
      <w:r w:rsidR="00CE2DF2">
        <w:rPr>
          <w:rFonts w:cs="Calibri"/>
          <w:noProof/>
        </w:rPr>
        <w:t>(</w:t>
      </w:r>
      <w:hyperlink w:anchor="_ENREF_130" w:tooltip="Smith, 2009 #186" w:history="1">
        <w:r w:rsidR="001E4C88">
          <w:rPr>
            <w:rFonts w:cs="Calibri"/>
            <w:noProof/>
          </w:rPr>
          <w:t>Smith 2009</w:t>
        </w:r>
      </w:hyperlink>
      <w:r w:rsidR="00CE2DF2">
        <w:rPr>
          <w:rFonts w:cs="Calibri"/>
          <w:noProof/>
        </w:rPr>
        <w:t>)</w:t>
      </w:r>
      <w:r>
        <w:rPr>
          <w:rFonts w:cs="Calibri"/>
        </w:rPr>
        <w:fldChar w:fldCharType="end"/>
      </w:r>
      <w:r>
        <w:rPr>
          <w:rFonts w:cs="Calibri"/>
        </w:rPr>
        <w:t>, m</w:t>
      </w:r>
      <w:r w:rsidRPr="00206C62">
        <w:rPr>
          <w:rFonts w:cs="Calibri"/>
        </w:rPr>
        <w:t xml:space="preserve">ost IFM studies are narrowly </w:t>
      </w:r>
      <w:r w:rsidRPr="00206C62">
        <w:rPr>
          <w:rFonts w:cs="Calibri"/>
        </w:rPr>
        <w:lastRenderedPageBreak/>
        <w:t xml:space="preserve">focused on industrial plantation management (i.e. intensively managed southern </w:t>
      </w:r>
      <w:r>
        <w:rPr>
          <w:rFonts w:cs="Calibri"/>
        </w:rPr>
        <w:t xml:space="preserve">yellow </w:t>
      </w:r>
      <w:r w:rsidRPr="00206C62">
        <w:rPr>
          <w:rFonts w:cs="Calibri"/>
        </w:rPr>
        <w:t xml:space="preserve">pine) and/or simplistic scenarios </w:t>
      </w:r>
      <w:r w:rsidRPr="00206C62">
        <w:rPr>
          <w:rFonts w:cs="Calibri"/>
        </w:rPr>
        <w:fldChar w:fldCharType="begin"/>
      </w:r>
      <w:r w:rsidR="003F4F3D">
        <w:rPr>
          <w:rFonts w:cs="Calibri"/>
        </w:rPr>
        <w:instrText xml:space="preserve"> ADDIN EN.CITE </w:instrText>
      </w:r>
      <w:r w:rsidR="003F4F3D">
        <w:rPr>
          <w:rFonts w:cs="Calibri"/>
        </w:rPr>
        <w:fldChar w:fldCharType="begin"/>
      </w:r>
      <w:r w:rsidR="003F4F3D">
        <w:rPr>
          <w:rFonts w:cs="Calibri"/>
        </w:rPr>
        <w:instrText xml:space="preserve"> ADDIN EN.CITE.DATA </w:instrText>
      </w:r>
      <w:r w:rsidR="003F4F3D">
        <w:rPr>
          <w:rFonts w:cs="Calibri"/>
        </w:rPr>
        <w:fldChar w:fldCharType="end"/>
      </w:r>
      <w:r w:rsidRPr="00206C62">
        <w:rPr>
          <w:rFonts w:cs="Calibri"/>
        </w:rPr>
        <w:fldChar w:fldCharType="separate"/>
      </w:r>
      <w:r w:rsidR="003F4F3D">
        <w:rPr>
          <w:rFonts w:cs="Calibri"/>
          <w:noProof/>
        </w:rPr>
        <w:t xml:space="preserve">(e.g. </w:t>
      </w:r>
      <w:hyperlink w:anchor="_ENREF_66" w:tooltip="Walker, 2005 #93" w:history="1">
        <w:r w:rsidR="00BF1E15">
          <w:rPr>
            <w:rFonts w:cs="Calibri"/>
            <w:noProof/>
          </w:rPr>
          <w:t>Walker et al. 2005</w:t>
        </w:r>
      </w:hyperlink>
      <w:r w:rsidR="003F4F3D">
        <w:rPr>
          <w:rFonts w:cs="Calibri"/>
          <w:noProof/>
        </w:rPr>
        <w:t xml:space="preserve">; </w:t>
      </w:r>
      <w:hyperlink w:anchor="_ENREF_14" w:tooltip="Cason, 2006 #203" w:history="1">
        <w:r w:rsidR="00BF1E15">
          <w:rPr>
            <w:rFonts w:cs="Calibri"/>
            <w:noProof/>
          </w:rPr>
          <w:t>Cason et al. 2006</w:t>
        </w:r>
      </w:hyperlink>
      <w:r w:rsidR="003F4F3D">
        <w:rPr>
          <w:rFonts w:cs="Calibri"/>
          <w:noProof/>
        </w:rPr>
        <w:t xml:space="preserve">; </w:t>
      </w:r>
      <w:hyperlink w:anchor="_ENREF_61" w:tooltip="Sohngen, 2008 #43" w:history="1">
        <w:r w:rsidR="00BF1E15">
          <w:rPr>
            <w:rFonts w:cs="Calibri"/>
            <w:noProof/>
          </w:rPr>
          <w:t>Sohngen and Brown 2008</w:t>
        </w:r>
      </w:hyperlink>
      <w:r w:rsidR="003F4F3D">
        <w:rPr>
          <w:rFonts w:cs="Calibri"/>
          <w:noProof/>
        </w:rPr>
        <w:t xml:space="preserve">; </w:t>
      </w:r>
      <w:hyperlink w:anchor="_ENREF_22" w:tooltip="Dwivedi, 2009 #108" w:history="1">
        <w:r w:rsidR="00BF1E15">
          <w:rPr>
            <w:rFonts w:cs="Calibri"/>
            <w:noProof/>
          </w:rPr>
          <w:t>Dwivedi et al. 2009</w:t>
        </w:r>
      </w:hyperlink>
      <w:r w:rsidR="003F4F3D">
        <w:rPr>
          <w:rFonts w:cs="Calibri"/>
          <w:noProof/>
        </w:rPr>
        <w:t xml:space="preserve">; </w:t>
      </w:r>
      <w:hyperlink w:anchor="_ENREF_26" w:tooltip="Galik, 2009 #94" w:history="1">
        <w:r w:rsidR="00BF1E15">
          <w:rPr>
            <w:rFonts w:cs="Calibri"/>
            <w:noProof/>
          </w:rPr>
          <w:t>Galik et al. 2009</w:t>
        </w:r>
      </w:hyperlink>
      <w:r w:rsidR="00737C5E">
        <w:rPr>
          <w:rFonts w:cs="Calibri"/>
          <w:noProof/>
        </w:rPr>
        <w:t>a</w:t>
      </w:r>
      <w:r w:rsidR="003F4F3D">
        <w:rPr>
          <w:rFonts w:cs="Calibri"/>
          <w:noProof/>
        </w:rPr>
        <w:t xml:space="preserve">; </w:t>
      </w:r>
      <w:hyperlink w:anchor="_ENREF_45" w:tooltip="Nepal, 2009 #98" w:history="1">
        <w:r w:rsidR="00BF1E15">
          <w:rPr>
            <w:rFonts w:cs="Calibri"/>
            <w:noProof/>
          </w:rPr>
          <w:t>Nepal et al. 2009</w:t>
        </w:r>
      </w:hyperlink>
      <w:r w:rsidR="003F4F3D">
        <w:rPr>
          <w:rFonts w:cs="Calibri"/>
          <w:noProof/>
        </w:rPr>
        <w:t>)</w:t>
      </w:r>
      <w:r w:rsidRPr="00206C62">
        <w:rPr>
          <w:rFonts w:cs="Calibri"/>
        </w:rPr>
        <w:fldChar w:fldCharType="end"/>
      </w:r>
      <w:r w:rsidRPr="00206C62">
        <w:rPr>
          <w:rFonts w:cs="Calibri"/>
        </w:rPr>
        <w:t xml:space="preserve">.  Applied IFM research has indeed addressed important questions pertaining to the magnitude of potential carbon removals, costs, and returns that can be expected from lengthened pine rotations induced by current or anticipated IFM programs.  Nevertheless, research addressing similar questions or other IFM tactics for hardwood forests is exceptionally lacking.  </w:t>
      </w:r>
      <w:r w:rsidR="00D14CE6">
        <w:rPr>
          <w:rFonts w:cs="Calibri"/>
        </w:rPr>
        <w:t xml:space="preserve">Case studies </w:t>
      </w:r>
      <w:r w:rsidR="00D14CE6" w:rsidRPr="00206C62">
        <w:rPr>
          <w:rFonts w:cs="Calibri"/>
        </w:rPr>
        <w:t xml:space="preserve">of key forestry offset protocols that evaluate IFM practices for </w:t>
      </w:r>
      <w:r w:rsidR="00D14CE6">
        <w:rPr>
          <w:rFonts w:cs="Calibri"/>
        </w:rPr>
        <w:t>important</w:t>
      </w:r>
      <w:r w:rsidR="00D14CE6" w:rsidRPr="00206C62">
        <w:rPr>
          <w:rFonts w:cs="Calibri"/>
        </w:rPr>
        <w:t xml:space="preserve"> forest conditions in the South are critical to filling this void.  </w:t>
      </w:r>
      <w:r w:rsidR="00D06CC9" w:rsidRPr="00206C62">
        <w:rPr>
          <w:rFonts w:cs="Calibri"/>
        </w:rPr>
        <w:t xml:space="preserve">While protocols remain in a state of considerable flux causing this important subset of the literature to perhaps lose relevance, </w:t>
      </w:r>
      <w:r w:rsidR="00D06CC9">
        <w:rPr>
          <w:rFonts w:cs="Calibri"/>
        </w:rPr>
        <w:t xml:space="preserve">it should be noted that </w:t>
      </w:r>
      <w:r w:rsidR="00D06CC9" w:rsidRPr="00206C62">
        <w:rPr>
          <w:rFonts w:cs="Calibri"/>
        </w:rPr>
        <w:t xml:space="preserve">plantation </w:t>
      </w:r>
      <w:r w:rsidR="00D06CC9">
        <w:rPr>
          <w:rFonts w:cs="Calibri"/>
        </w:rPr>
        <w:t>forestry</w:t>
      </w:r>
      <w:r w:rsidR="00D06CC9" w:rsidRPr="00206C62">
        <w:rPr>
          <w:rFonts w:cs="Calibri"/>
        </w:rPr>
        <w:t xml:space="preserve"> </w:t>
      </w:r>
      <w:r w:rsidR="00D06CC9">
        <w:rPr>
          <w:rFonts w:cs="Calibri"/>
        </w:rPr>
        <w:t xml:space="preserve">particularly </w:t>
      </w:r>
      <w:r w:rsidR="00D06CC9" w:rsidRPr="00206C62">
        <w:rPr>
          <w:rFonts w:cs="Calibri"/>
        </w:rPr>
        <w:t>appear</w:t>
      </w:r>
      <w:r w:rsidR="00D06CC9">
        <w:rPr>
          <w:rFonts w:cs="Calibri"/>
        </w:rPr>
        <w:t>s</w:t>
      </w:r>
      <w:r w:rsidR="00D06CC9" w:rsidRPr="00206C62">
        <w:rPr>
          <w:rFonts w:cs="Calibri"/>
        </w:rPr>
        <w:t xml:space="preserve"> to be </w:t>
      </w:r>
      <w:r w:rsidR="00D06CC9" w:rsidRPr="005F2166">
        <w:rPr>
          <w:rFonts w:cs="Calibri"/>
        </w:rPr>
        <w:t xml:space="preserve">on the losing end of IFM rulemaking </w:t>
      </w:r>
      <w:r w:rsidR="00D06CC9" w:rsidRPr="00206C62">
        <w:rPr>
          <w:rFonts w:cs="Calibri"/>
        </w:rPr>
        <w:t>as the dust settles</w:t>
      </w:r>
      <w:r w:rsidR="00D06CC9">
        <w:rPr>
          <w:rFonts w:cs="Calibri"/>
        </w:rPr>
        <w:t xml:space="preserve"> </w:t>
      </w:r>
      <w:r w:rsidR="00D06CC9">
        <w:rPr>
          <w:rFonts w:cs="Calibri"/>
        </w:rPr>
        <w:fldChar w:fldCharType="begin"/>
      </w:r>
      <w:r w:rsidR="00D06CC9">
        <w:rPr>
          <w:rFonts w:cs="Calibri"/>
        </w:rPr>
        <w:instrText xml:space="preserve"> ADDIN EN.CITE &lt;EndNote&gt;&lt;Cite ExcludeAuth="1"&gt;&lt;Year&gt;CAR 2010&lt;/Year&gt;&lt;RecNum&gt;293&lt;/RecNum&gt;&lt;Prefix&gt;e.g. &lt;/Prefix&gt;&lt;DisplayText&gt;(e.g. CAR 2010)&lt;/DisplayText&gt;&lt;record&gt;&lt;rec-number&gt;293&lt;/rec-number&gt;&lt;foreign-keys&gt;&lt;key app="EN" db-id="a90s5zadewrawxeer07v2f90xr5vxv022sat"&gt;293&lt;/key&gt;&lt;/foreign-keys&gt;&lt;ref-type name="Standard"&gt;58&lt;/ref-type&gt;&lt;contributors&gt;&lt;/contributors&gt;&lt;titles&gt;&lt;title&gt;Forest Project Protocol Version 3.2. Climate Action Reserve. Los Angelas, CA&lt;/title&gt;&lt;/titles&gt;&lt;pages&gt;134&lt;/pages&gt;&lt;dates&gt;&lt;year&gt;CAR 2010&lt;/year&gt;&lt;/dates&gt;&lt;urls&gt;&lt;/urls&gt;&lt;/record&gt;&lt;/Cite&gt;&lt;/EndNote&gt;</w:instrText>
      </w:r>
      <w:r w:rsidR="00D06CC9">
        <w:rPr>
          <w:rFonts w:cs="Calibri"/>
        </w:rPr>
        <w:fldChar w:fldCharType="separate"/>
      </w:r>
      <w:r w:rsidR="00D06CC9">
        <w:rPr>
          <w:rFonts w:cs="Calibri"/>
          <w:noProof/>
        </w:rPr>
        <w:t>(</w:t>
      </w:r>
      <w:hyperlink w:anchor="_ENREF_2" w:tooltip=", CAR 2010 #293" w:history="1">
        <w:r w:rsidR="001E4C88">
          <w:rPr>
            <w:rFonts w:cs="Calibri"/>
            <w:noProof/>
          </w:rPr>
          <w:t>e.g. CAR 2010</w:t>
        </w:r>
      </w:hyperlink>
      <w:r w:rsidR="00D06CC9">
        <w:rPr>
          <w:rFonts w:cs="Calibri"/>
          <w:noProof/>
        </w:rPr>
        <w:t>)</w:t>
      </w:r>
      <w:r w:rsidR="00D06CC9">
        <w:rPr>
          <w:rFonts w:cs="Calibri"/>
        </w:rPr>
        <w:fldChar w:fldCharType="end"/>
      </w:r>
      <w:r w:rsidR="00D06CC9" w:rsidRPr="00206C62">
        <w:rPr>
          <w:rFonts w:cs="Calibri"/>
        </w:rPr>
        <w:t>.</w:t>
      </w:r>
      <w:r w:rsidR="00D06CC9">
        <w:rPr>
          <w:rFonts w:cs="Calibri"/>
        </w:rPr>
        <w:t xml:space="preserve">  </w:t>
      </w:r>
      <w:r w:rsidR="008B5C58">
        <w:rPr>
          <w:rFonts w:cs="Calibri"/>
        </w:rPr>
        <w:t>Accordingly, t</w:t>
      </w:r>
      <w:r w:rsidR="00D14CE6">
        <w:rPr>
          <w:rFonts w:cs="Calibri"/>
        </w:rPr>
        <w:t xml:space="preserve">his study builds onto recent research by </w:t>
      </w:r>
      <w:proofErr w:type="spellStart"/>
      <w:r w:rsidR="00D14CE6">
        <w:rPr>
          <w:rFonts w:cs="Calibri"/>
        </w:rPr>
        <w:t>Nunery</w:t>
      </w:r>
      <w:proofErr w:type="spellEnd"/>
      <w:r w:rsidR="00D14CE6">
        <w:rPr>
          <w:rFonts w:cs="Calibri"/>
        </w:rPr>
        <w:t xml:space="preserve"> and Keeton </w:t>
      </w:r>
      <w:r w:rsidR="00D14CE6">
        <w:rPr>
          <w:rFonts w:cs="Calibri"/>
        </w:rPr>
        <w:fldChar w:fldCharType="begin"/>
      </w:r>
      <w:r w:rsidR="00A87D07">
        <w:rPr>
          <w:rFonts w:cs="Calibri"/>
        </w:rPr>
        <w:instrText xml:space="preserve"> ADDIN EN.CITE &lt;EndNote&gt;&lt;Cite ExcludeAuth="1"&gt;&lt;Author&gt;Nunery&lt;/Author&gt;&lt;Year&gt;2010&lt;/Year&gt;&lt;RecNum&gt;271&lt;/RecNum&gt;&lt;DisplayText&gt;(2010)&lt;/DisplayText&gt;&lt;record&gt;&lt;rec-number&gt;271&lt;/rec-number&gt;&lt;foreign-keys&gt;&lt;key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sidR="00D14CE6">
        <w:rPr>
          <w:rFonts w:cs="Calibri"/>
        </w:rPr>
        <w:fldChar w:fldCharType="separate"/>
      </w:r>
      <w:r w:rsidR="00A87D07">
        <w:rPr>
          <w:rFonts w:cs="Calibri"/>
          <w:noProof/>
        </w:rPr>
        <w:t>(</w:t>
      </w:r>
      <w:hyperlink w:anchor="_ENREF_107" w:tooltip="Nunery, 2010 #271" w:history="1">
        <w:r w:rsidR="001E4C88">
          <w:rPr>
            <w:rFonts w:cs="Calibri"/>
            <w:noProof/>
          </w:rPr>
          <w:t>2010</w:t>
        </w:r>
      </w:hyperlink>
      <w:r w:rsidR="00A87D07">
        <w:rPr>
          <w:rFonts w:cs="Calibri"/>
          <w:noProof/>
        </w:rPr>
        <w:t>)</w:t>
      </w:r>
      <w:r w:rsidR="00D14CE6">
        <w:rPr>
          <w:rFonts w:cs="Calibri"/>
        </w:rPr>
        <w:fldChar w:fldCharType="end"/>
      </w:r>
      <w:r w:rsidR="00D14CE6">
        <w:rPr>
          <w:rFonts w:cs="Calibri"/>
        </w:rPr>
        <w:t>, which quantified the individual and coupled effects of harvest frequency  and post-harvest retention on carbon sequestration in mature forests in the northern hardwood region using the Forest Vegetation Simulator.  Alternative even-age management practices similar to th</w:t>
      </w:r>
      <w:r w:rsidR="005827F2">
        <w:rPr>
          <w:rFonts w:cs="Calibri"/>
        </w:rPr>
        <w:t>ose</w:t>
      </w:r>
      <w:r w:rsidR="00D14CE6">
        <w:rPr>
          <w:rFonts w:cs="Calibri"/>
        </w:rPr>
        <w:t xml:space="preserve"> evaluated </w:t>
      </w:r>
      <w:r w:rsidR="005827F2">
        <w:rPr>
          <w:rFonts w:cs="Calibri"/>
        </w:rPr>
        <w:t xml:space="preserve">by </w:t>
      </w:r>
      <w:proofErr w:type="spellStart"/>
      <w:r w:rsidR="005827F2">
        <w:rPr>
          <w:rFonts w:cs="Calibri"/>
        </w:rPr>
        <w:t>Nunery</w:t>
      </w:r>
      <w:proofErr w:type="spellEnd"/>
      <w:r w:rsidR="005827F2">
        <w:rPr>
          <w:rFonts w:cs="Calibri"/>
        </w:rPr>
        <w:t xml:space="preserve"> and Keeton </w:t>
      </w:r>
      <w:r w:rsidR="005827F2">
        <w:rPr>
          <w:rFonts w:cs="Calibri"/>
        </w:rPr>
        <w:fldChar w:fldCharType="begin"/>
      </w:r>
      <w:r w:rsidR="005827F2">
        <w:rPr>
          <w:rFonts w:cs="Calibri"/>
        </w:rPr>
        <w:instrText xml:space="preserve"> ADDIN EN.CITE &lt;EndNote&gt;&lt;Cite ExcludeAuth="1"&gt;&lt;Author&gt;Nunery&lt;/Author&gt;&lt;Year&gt;2010&lt;/Year&gt;&lt;RecNum&gt;271&lt;/RecNum&gt;&lt;DisplayText&gt;(2010)&lt;/DisplayText&gt;&lt;record&gt;&lt;rec-number&gt;271&lt;/rec-number&gt;&lt;foreign-keys&gt;&lt;key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sidR="005827F2">
        <w:rPr>
          <w:rFonts w:cs="Calibri"/>
        </w:rPr>
        <w:fldChar w:fldCharType="separate"/>
      </w:r>
      <w:r w:rsidR="005827F2">
        <w:rPr>
          <w:rFonts w:cs="Calibri"/>
          <w:noProof/>
        </w:rPr>
        <w:t>(</w:t>
      </w:r>
      <w:hyperlink w:anchor="_ENREF_107" w:tooltip="Nunery, 2010 #271" w:history="1">
        <w:r w:rsidR="001E4C88">
          <w:rPr>
            <w:rFonts w:cs="Calibri"/>
            <w:noProof/>
          </w:rPr>
          <w:t>2010</w:t>
        </w:r>
      </w:hyperlink>
      <w:r w:rsidR="005827F2">
        <w:rPr>
          <w:rFonts w:cs="Calibri"/>
          <w:noProof/>
        </w:rPr>
        <w:t>)</w:t>
      </w:r>
      <w:r w:rsidR="005827F2">
        <w:rPr>
          <w:rFonts w:cs="Calibri"/>
        </w:rPr>
        <w:fldChar w:fldCharType="end"/>
      </w:r>
      <w:r w:rsidR="005827F2">
        <w:rPr>
          <w:rFonts w:cs="Calibri"/>
        </w:rPr>
        <w:t xml:space="preserve"> </w:t>
      </w:r>
      <w:r w:rsidR="00D14CE6">
        <w:rPr>
          <w:rFonts w:cs="Calibri"/>
        </w:rPr>
        <w:t xml:space="preserve">are simulated herein.  But in addition, </w:t>
      </w:r>
      <w:r w:rsidR="00877054">
        <w:rPr>
          <w:rFonts w:cs="Calibri"/>
        </w:rPr>
        <w:t>an examination of the</w:t>
      </w:r>
      <w:r w:rsidR="00D14CE6">
        <w:rPr>
          <w:rFonts w:cs="Calibri"/>
        </w:rPr>
        <w:t xml:space="preserve"> economic outcomes generated from the pragmatic application of such activity under a widely recognized IFM standard was the </w:t>
      </w:r>
      <w:r w:rsidR="00877054">
        <w:rPr>
          <w:rFonts w:cs="Calibri"/>
        </w:rPr>
        <w:t xml:space="preserve">primary </w:t>
      </w:r>
      <w:r w:rsidR="00D14CE6">
        <w:rPr>
          <w:rFonts w:cs="Calibri"/>
        </w:rPr>
        <w:t>inten</w:t>
      </w:r>
      <w:r w:rsidR="00877054">
        <w:rPr>
          <w:rFonts w:cs="Calibri"/>
        </w:rPr>
        <w:t>tion</w:t>
      </w:r>
      <w:r w:rsidR="00D14CE6">
        <w:rPr>
          <w:rFonts w:cs="Calibri"/>
        </w:rPr>
        <w:t xml:space="preserve"> of this assessment.</w:t>
      </w:r>
    </w:p>
    <w:p w:rsidR="008C2ACB" w:rsidRPr="00ED31CF" w:rsidRDefault="008C2ACB" w:rsidP="00591524">
      <w:pPr>
        <w:pStyle w:val="Heading2"/>
        <w:numPr>
          <w:ilvl w:val="0"/>
          <w:numId w:val="16"/>
        </w:numPr>
        <w:spacing w:line="480" w:lineRule="auto"/>
      </w:pPr>
      <w:bookmarkStart w:id="11" w:name="_Toc277738184"/>
      <w:bookmarkStart w:id="12" w:name="_Toc278294305"/>
      <w:r>
        <w:t>O</w:t>
      </w:r>
      <w:r w:rsidR="00F1330A">
        <w:t>BJECTIVES</w:t>
      </w:r>
      <w:bookmarkEnd w:id="11"/>
      <w:bookmarkEnd w:id="12"/>
    </w:p>
    <w:p w:rsidR="006B462E" w:rsidRDefault="00BD1178" w:rsidP="00591524">
      <w:pPr>
        <w:spacing w:line="480" w:lineRule="auto"/>
        <w:ind w:firstLine="720"/>
      </w:pPr>
      <w:r>
        <w:t>T</w:t>
      </w:r>
      <w:r w:rsidR="00461584">
        <w:rPr>
          <w:rFonts w:cs="Calibri"/>
        </w:rPr>
        <w:t>his</w:t>
      </w:r>
      <w:r w:rsidR="00461584" w:rsidRPr="00206C62">
        <w:rPr>
          <w:rFonts w:cs="Calibri"/>
        </w:rPr>
        <w:t xml:space="preserve"> study sought to </w:t>
      </w:r>
      <w:r w:rsidR="00461584">
        <w:rPr>
          <w:rFonts w:cs="Calibri"/>
        </w:rPr>
        <w:t>undertake</w:t>
      </w:r>
      <w:r w:rsidR="00461584" w:rsidRPr="00206C62">
        <w:rPr>
          <w:rFonts w:cs="Calibri"/>
        </w:rPr>
        <w:t xml:space="preserve"> the first real</w:t>
      </w:r>
      <w:r w:rsidR="00D067F8">
        <w:rPr>
          <w:rFonts w:cs="Calibri"/>
        </w:rPr>
        <w:t>-</w:t>
      </w:r>
      <w:r w:rsidR="00461584" w:rsidRPr="00206C62">
        <w:rPr>
          <w:rFonts w:cs="Calibri"/>
        </w:rPr>
        <w:t xml:space="preserve">world project-scale assessment of sustainable upland hardwood management under the new national </w:t>
      </w:r>
      <w:r w:rsidR="00087221">
        <w:rPr>
          <w:rFonts w:cs="Calibri"/>
        </w:rPr>
        <w:t xml:space="preserve">CAR </w:t>
      </w:r>
      <w:r w:rsidR="00461584">
        <w:rPr>
          <w:rFonts w:cs="Calibri"/>
        </w:rPr>
        <w:t>F</w:t>
      </w:r>
      <w:r w:rsidR="00087221">
        <w:rPr>
          <w:rFonts w:cs="Calibri"/>
        </w:rPr>
        <w:t>orest</w:t>
      </w:r>
      <w:r w:rsidR="00461584" w:rsidRPr="00206C62">
        <w:rPr>
          <w:rFonts w:cs="Calibri"/>
        </w:rPr>
        <w:t xml:space="preserve"> </w:t>
      </w:r>
      <w:r w:rsidR="00461584">
        <w:rPr>
          <w:rFonts w:cs="Calibri"/>
        </w:rPr>
        <w:t>Project P</w:t>
      </w:r>
      <w:r w:rsidR="00461584" w:rsidRPr="00206C62">
        <w:rPr>
          <w:rFonts w:cs="Calibri"/>
        </w:rPr>
        <w:t>rotocol</w:t>
      </w:r>
      <w:r w:rsidR="00461584">
        <w:rPr>
          <w:rFonts w:cs="Calibri"/>
        </w:rPr>
        <w:t xml:space="preserve"> </w:t>
      </w:r>
      <w:r w:rsidR="00087221">
        <w:rPr>
          <w:rFonts w:cs="Calibri"/>
        </w:rPr>
        <w:t xml:space="preserve">(version 3.2) </w:t>
      </w:r>
      <w:r w:rsidR="00461584">
        <w:rPr>
          <w:rFonts w:cs="Calibri"/>
        </w:rPr>
        <w:t xml:space="preserve">for the benefit of </w:t>
      </w:r>
      <w:r w:rsidR="00770637">
        <w:rPr>
          <w:rFonts w:cs="Calibri"/>
        </w:rPr>
        <w:t>managed forest owners</w:t>
      </w:r>
      <w:r w:rsidR="00461584">
        <w:rPr>
          <w:rFonts w:cs="Calibri"/>
        </w:rPr>
        <w:t xml:space="preserve"> that may consider such an investment. </w:t>
      </w:r>
      <w:r w:rsidR="009A766B">
        <w:rPr>
          <w:rFonts w:cs="Calibri"/>
        </w:rPr>
        <w:t xml:space="preserve"> </w:t>
      </w:r>
      <w:r w:rsidR="007B3E7B">
        <w:t xml:space="preserve">It was also intended </w:t>
      </w:r>
      <w:r w:rsidR="00410745">
        <w:t xml:space="preserve">to </w:t>
      </w:r>
      <w:r w:rsidR="00461584" w:rsidRPr="00A95F6D">
        <w:rPr>
          <w:rFonts w:cs="Calibri"/>
        </w:rPr>
        <w:t xml:space="preserve">contribute to the </w:t>
      </w:r>
      <w:r w:rsidR="00461584">
        <w:rPr>
          <w:rFonts w:cs="Calibri"/>
        </w:rPr>
        <w:t>sparse documentation</w:t>
      </w:r>
      <w:r w:rsidR="00461584" w:rsidRPr="00A95F6D">
        <w:rPr>
          <w:rFonts w:cs="Calibri"/>
        </w:rPr>
        <w:t xml:space="preserve"> on</w:t>
      </w:r>
      <w:r w:rsidR="006B462E">
        <w:rPr>
          <w:rFonts w:cs="Calibri"/>
        </w:rPr>
        <w:t xml:space="preserve"> applied IFM offset economics and</w:t>
      </w:r>
      <w:r w:rsidR="00461584" w:rsidRPr="00A95F6D">
        <w:rPr>
          <w:rFonts w:cs="Calibri"/>
        </w:rPr>
        <w:t xml:space="preserve"> </w:t>
      </w:r>
      <w:r w:rsidR="00461584">
        <w:rPr>
          <w:rFonts w:cs="Calibri"/>
        </w:rPr>
        <w:t xml:space="preserve">long-term modeling with the Forest Vegetation Simulator, </w:t>
      </w:r>
      <w:r w:rsidR="00D16B01">
        <w:rPr>
          <w:rFonts w:cs="Calibri"/>
        </w:rPr>
        <w:t xml:space="preserve">the model </w:t>
      </w:r>
      <w:r w:rsidR="00461584">
        <w:rPr>
          <w:rFonts w:cs="Calibri"/>
        </w:rPr>
        <w:t>maintained and suppor</w:t>
      </w:r>
      <w:r w:rsidR="0064252D">
        <w:rPr>
          <w:rFonts w:cs="Calibri"/>
        </w:rPr>
        <w:t xml:space="preserve">ted by the </w:t>
      </w:r>
      <w:r w:rsidR="00D16B01">
        <w:rPr>
          <w:rFonts w:cs="Calibri"/>
        </w:rPr>
        <w:t xml:space="preserve">U.S. Department of Agriculture, </w:t>
      </w:r>
      <w:r w:rsidR="00461584">
        <w:rPr>
          <w:rFonts w:cs="Calibri"/>
        </w:rPr>
        <w:t>F</w:t>
      </w:r>
      <w:r w:rsidR="00D16B01">
        <w:rPr>
          <w:rFonts w:cs="Calibri"/>
        </w:rPr>
        <w:t xml:space="preserve">orest </w:t>
      </w:r>
      <w:r w:rsidR="00461584">
        <w:rPr>
          <w:rFonts w:cs="Calibri"/>
        </w:rPr>
        <w:t>S</w:t>
      </w:r>
      <w:r w:rsidR="00D16B01">
        <w:rPr>
          <w:rFonts w:cs="Calibri"/>
        </w:rPr>
        <w:t>ervice (USFS)</w:t>
      </w:r>
      <w:r w:rsidR="00461584">
        <w:rPr>
          <w:rFonts w:cs="Calibri"/>
        </w:rPr>
        <w:t>.</w:t>
      </w:r>
      <w:r w:rsidR="00461584" w:rsidRPr="00206C62">
        <w:rPr>
          <w:rFonts w:cs="Calibri"/>
        </w:rPr>
        <w:t xml:space="preserve">  </w:t>
      </w:r>
      <w:r w:rsidR="007B3E7B" w:rsidRPr="00B05ACE">
        <w:rPr>
          <w:rFonts w:cs="Calibri"/>
        </w:rPr>
        <w:t xml:space="preserve">The vast majority of landowners and foresters are </w:t>
      </w:r>
      <w:r w:rsidR="005827F2">
        <w:rPr>
          <w:rFonts w:cs="Calibri"/>
        </w:rPr>
        <w:t xml:space="preserve">either </w:t>
      </w:r>
      <w:r w:rsidR="007B3E7B" w:rsidRPr="00B05ACE">
        <w:rPr>
          <w:rFonts w:cs="Calibri"/>
        </w:rPr>
        <w:t xml:space="preserve">not familiar with the processes required to monetize forest </w:t>
      </w:r>
      <w:r w:rsidR="007B3E7B" w:rsidRPr="00B05ACE">
        <w:rPr>
          <w:rFonts w:cs="Calibri"/>
        </w:rPr>
        <w:lastRenderedPageBreak/>
        <w:t>carbon sequestration, let alone other ecosystem services</w:t>
      </w:r>
      <w:r w:rsidR="005827F2">
        <w:rPr>
          <w:rFonts w:cs="Calibri"/>
        </w:rPr>
        <w:t>, or are deterred by low carbon prices</w:t>
      </w:r>
      <w:r w:rsidR="007B3E7B" w:rsidRPr="00B05ACE">
        <w:rPr>
          <w:rFonts w:cs="Calibri"/>
        </w:rPr>
        <w:t xml:space="preserve">. </w:t>
      </w:r>
      <w:r w:rsidR="007B3E7B">
        <w:rPr>
          <w:rFonts w:cs="Calibri"/>
        </w:rPr>
        <w:t xml:space="preserve"> </w:t>
      </w:r>
      <w:r w:rsidR="007B3E7B" w:rsidRPr="00B05ACE">
        <w:rPr>
          <w:rFonts w:cs="Calibri"/>
        </w:rPr>
        <w:t>The significant upfront costs and technical expertise required at project inception coupled with uncertainty in the ultimate outcome are major impediments to landowner engagement in these voluntary markets.</w:t>
      </w:r>
      <w:r w:rsidR="007B3E7B">
        <w:rPr>
          <w:rFonts w:cs="Calibri"/>
        </w:rPr>
        <w:t xml:space="preserve">  Hence, another primary intention was to</w:t>
      </w:r>
      <w:r w:rsidR="00461584">
        <w:t xml:space="preserve"> examine the discernable impacts of key features and costs of </w:t>
      </w:r>
      <w:r w:rsidR="007B5BF5">
        <w:t xml:space="preserve">the given management regime, </w:t>
      </w:r>
      <w:r w:rsidR="00461584">
        <w:t>forest carbon accounting</w:t>
      </w:r>
      <w:r w:rsidR="007B5BF5">
        <w:t>,</w:t>
      </w:r>
      <w:r w:rsidR="00461584">
        <w:t xml:space="preserve"> and certification procedures</w:t>
      </w:r>
      <w:r w:rsidR="00461584" w:rsidRPr="00516BDE">
        <w:t xml:space="preserve"> </w:t>
      </w:r>
      <w:r w:rsidR="00461584">
        <w:t>on IFM project economics to help define the limit</w:t>
      </w:r>
      <w:r w:rsidR="008B5C58">
        <w:t xml:space="preserve">ing factors in implementation. </w:t>
      </w:r>
    </w:p>
    <w:p w:rsidR="001B61C9" w:rsidRPr="002B58DD" w:rsidRDefault="001B61C9" w:rsidP="001B61C9">
      <w:pPr>
        <w:pStyle w:val="Heading6"/>
        <w:numPr>
          <w:ilvl w:val="1"/>
          <w:numId w:val="16"/>
        </w:numPr>
        <w:spacing w:line="480" w:lineRule="auto"/>
        <w:ind w:left="450"/>
        <w:rPr>
          <w:rFonts w:cs="Calibri"/>
          <w:i/>
        </w:rPr>
      </w:pPr>
      <w:r w:rsidRPr="002B58DD">
        <w:rPr>
          <w:rFonts w:cs="Calibri"/>
          <w:i/>
        </w:rPr>
        <w:t xml:space="preserve">Commodity Driven Sustainable Forestry with Carbon Value </w:t>
      </w:r>
    </w:p>
    <w:p w:rsidR="008C2ACB" w:rsidRDefault="001B61C9" w:rsidP="00737C5E">
      <w:pPr>
        <w:spacing w:line="480" w:lineRule="auto"/>
        <w:ind w:firstLine="720"/>
      </w:pPr>
      <w:r>
        <w:t>The</w:t>
      </w:r>
      <w:r w:rsidR="006728E8">
        <w:t xml:space="preserve"> simulated IFM regime was intended to reflect </w:t>
      </w:r>
      <w:r w:rsidR="006728E8" w:rsidRPr="00787EBB">
        <w:t>silviculturally and economically just</w:t>
      </w:r>
      <w:r w:rsidR="006728E8">
        <w:t>ified timber-focused management</w:t>
      </w:r>
      <w:r w:rsidRPr="001B61C9">
        <w:t xml:space="preserve"> </w:t>
      </w:r>
      <w:r>
        <w:t>g</w:t>
      </w:r>
      <w:r w:rsidRPr="00787EBB">
        <w:t xml:space="preserve">iven </w:t>
      </w:r>
      <w:proofErr w:type="gramStart"/>
      <w:r w:rsidRPr="00787EBB">
        <w:t>that</w:t>
      </w:r>
      <w:proofErr w:type="gramEnd"/>
      <w:r w:rsidRPr="00787EBB">
        <w:t xml:space="preserve"> potential earnings from carbon sequestration are not likely to outw</w:t>
      </w:r>
      <w:r>
        <w:t>eigh those of timber harvesting</w:t>
      </w:r>
      <w:r w:rsidRPr="006728E8">
        <w:t xml:space="preserve"> </w:t>
      </w:r>
      <w:r>
        <w:t xml:space="preserve">for relatively mature timberlands </w:t>
      </w:r>
      <w:r w:rsidRPr="00787EBB">
        <w:t xml:space="preserve">as long as carbon prices are </w:t>
      </w:r>
      <w:r>
        <w:t xml:space="preserve">low to </w:t>
      </w:r>
      <w:r w:rsidRPr="00787EBB">
        <w:t>modest</w:t>
      </w:r>
      <w:r w:rsidR="006728E8" w:rsidRPr="00787EBB">
        <w:t>.</w:t>
      </w:r>
      <w:r w:rsidR="006728E8">
        <w:t xml:space="preserve">  </w:t>
      </w:r>
      <w:r w:rsidR="00C30508">
        <w:t>Project management</w:t>
      </w:r>
      <w:r w:rsidR="00CA68A9">
        <w:t xml:space="preserve"> was </w:t>
      </w:r>
      <w:r w:rsidR="006728E8">
        <w:t xml:space="preserve">particularly colored </w:t>
      </w:r>
      <w:r w:rsidR="00CA68A9">
        <w:t>by the rarely sought aim at maintaining oak dominance</w:t>
      </w:r>
      <w:r w:rsidR="00623529">
        <w:t xml:space="preserve"> across the landscape</w:t>
      </w:r>
      <w:r w:rsidR="00C30508">
        <w:t>.</w:t>
      </w:r>
      <w:r w:rsidR="00CA68A9">
        <w:t xml:space="preserve">  Contemporaneously balancing age-classes was an essential element of IFM</w:t>
      </w:r>
      <w:r w:rsidR="00EA5EAE">
        <w:t xml:space="preserve"> simulations in that it kept average per acre carbon stocks </w:t>
      </w:r>
      <w:r w:rsidR="00515606">
        <w:t xml:space="preserve">elevated </w:t>
      </w:r>
      <w:r w:rsidR="00EA5EAE">
        <w:t xml:space="preserve">and because </w:t>
      </w:r>
      <w:r w:rsidR="00CA68A9">
        <w:t>t</w:t>
      </w:r>
      <w:r w:rsidR="00EF2ADF">
        <w:t xml:space="preserve">he forests in this study are </w:t>
      </w:r>
      <w:r w:rsidR="00C30508">
        <w:t>approximately</w:t>
      </w:r>
      <w:r w:rsidR="00EF2ADF">
        <w:t xml:space="preserve"> the same age</w:t>
      </w:r>
      <w:r w:rsidR="00EA5EAE">
        <w:t xml:space="preserve">, owing to the fact that </w:t>
      </w:r>
      <w:r w:rsidR="008A4DD6">
        <w:t xml:space="preserve">a plurality of the region’s </w:t>
      </w:r>
      <w:r w:rsidR="00EF2ADF">
        <w:t xml:space="preserve">forests were </w:t>
      </w:r>
      <w:r w:rsidR="00F81A4D">
        <w:t>cleared</w:t>
      </w:r>
      <w:r w:rsidR="00EF2ADF">
        <w:t xml:space="preserve"> in the </w:t>
      </w:r>
      <w:r w:rsidR="0088793A">
        <w:t xml:space="preserve">1910s and </w:t>
      </w:r>
      <w:r w:rsidR="00EF2ADF">
        <w:t xml:space="preserve">1920s </w:t>
      </w:r>
      <w:r w:rsidR="005E3402">
        <w:fldChar w:fldCharType="begin">
          <w:fldData xml:space="preserve">PEVuZE5vdGU+PENpdGU+PEF1dGhvcj5IYWxsPC9BdXRob3I+PFllYXI+MTkxMDwvWWVhcj48UmVj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</w:fldData>
        </w:fldChar>
      </w:r>
      <w:r w:rsidR="00A87D07">
        <w:instrText xml:space="preserve"> ADDIN EN.CITE </w:instrText>
      </w:r>
      <w:r w:rsidR="00A87D07">
        <w:fldChar w:fldCharType="begin">
          <w:fldData xml:space="preserve">PEVuZE5vdGU+PENpdGU+PEF1dGhvcj5IYWxsPC9BdXRob3I+PFllYXI+MTkxMDwvWWVhcj48UmVj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</w:fldData>
        </w:fldChar>
      </w:r>
      <w:r w:rsidR="00A87D07">
        <w:instrText xml:space="preserve"> ADDIN EN.CITE.DATA </w:instrText>
      </w:r>
      <w:r w:rsidR="00A87D07">
        <w:fldChar w:fldCharType="end"/>
      </w:r>
      <w:r w:rsidR="005E3402">
        <w:fldChar w:fldCharType="separate"/>
      </w:r>
      <w:r w:rsidR="00A87D07">
        <w:rPr>
          <w:noProof/>
        </w:rPr>
        <w:t>(</w:t>
      </w:r>
      <w:hyperlink w:anchor="_ENREF_65" w:tooltip="Hall, 1910 #283" w:history="1">
        <w:r w:rsidR="001E4C88">
          <w:rPr>
            <w:noProof/>
          </w:rPr>
          <w:t>Hall 1910</w:t>
        </w:r>
      </w:hyperlink>
      <w:r w:rsidR="00A87D07">
        <w:rPr>
          <w:noProof/>
        </w:rPr>
        <w:t xml:space="preserve">; </w:t>
      </w:r>
      <w:hyperlink w:anchor="_ENREF_72" w:tooltip="Hinkle, 1993 #275" w:history="1">
        <w:r w:rsidR="001E4C88">
          <w:rPr>
            <w:noProof/>
          </w:rPr>
          <w:t>Hinkle et al. 1993</w:t>
        </w:r>
      </w:hyperlink>
      <w:r w:rsidR="00A87D07">
        <w:rPr>
          <w:noProof/>
        </w:rPr>
        <w:t xml:space="preserve">; </w:t>
      </w:r>
      <w:hyperlink w:anchor="_ENREF_10" w:tooltip=", Southern Appalachian Man and the Biosphere 1996 #296" w:history="1">
        <w:r w:rsidR="001E4C88">
          <w:rPr>
            <w:noProof/>
          </w:rPr>
          <w:t>Southern Appalachian Man and the Biosphere 1996</w:t>
        </w:r>
      </w:hyperlink>
      <w:r w:rsidR="00A87D07">
        <w:rPr>
          <w:noProof/>
        </w:rPr>
        <w:t>)</w:t>
      </w:r>
      <w:r w:rsidR="005E3402">
        <w:fldChar w:fldCharType="end"/>
      </w:r>
      <w:r w:rsidR="00770637" w:rsidRPr="005E3402">
        <w:t>.</w:t>
      </w:r>
      <w:r w:rsidR="00F33448" w:rsidRPr="005E3402">
        <w:t xml:space="preserve">  </w:t>
      </w:r>
      <w:proofErr w:type="spellStart"/>
      <w:r w:rsidR="00461584">
        <w:t>Galik</w:t>
      </w:r>
      <w:proofErr w:type="spellEnd"/>
      <w:r w:rsidR="00461584">
        <w:t xml:space="preserve"> et al. </w:t>
      </w:r>
      <w:r w:rsidR="00F81A4D">
        <w:fldChar w:fldCharType="begin"/>
      </w:r>
      <w:r w:rsidR="00737C5E">
        <w:instrText xml:space="preserve"> ADDIN EN.CITE &lt;EndNote&gt;&lt;Cite ExcludeAuth="1"&gt;&lt;Author&gt;Galik&lt;/Author&gt;&lt;Year&gt;2009&lt;/Year&gt;&lt;RecNum&gt;94&lt;/RecNum&gt;&lt;DisplayText&gt;(2009a)&lt;/DisplayText&gt;&lt;record&gt;&lt;rec-number&gt;94&lt;/rec-number&gt;&lt;foreign-keys&gt;&lt;key app="EN" db-id="a90s5zadewrawxeer07v2f90xr5vxv022sat"&gt;94&lt;/key&gt;&lt;/foreign-keys&gt;&lt;ref-type name="Journal Article"&gt;17&lt;/ref-type&gt;&lt;contributors&gt;&lt;authors&gt;&lt;author&gt;Galik, C. S.&lt;/author&gt;&lt;author&gt;Mobley, M. L.&lt;/author&gt;&lt;author&gt;Richter, D. &lt;/author&gt;&lt;/authors&gt;&lt;/contributors&gt;&lt;titles&gt;&lt;title&gt;A virtual “field test” of forest management carbon offset protocols: the influence of accounting&lt;/title&gt;&lt;secondary-title&gt;Mitigation and Adaptation Strategies for Global Change&lt;/secondary-title&gt;&lt;/titles&gt;&lt;periodical&gt;&lt;full-title&gt;Mitigation and Adaptation Strategies for Global Change&lt;/full-title&gt;&lt;/periodical&gt;&lt;pages&gt;677-690&lt;/pages&gt;&lt;volume&gt;14&lt;/volume&gt;&lt;number&gt;7&lt;/number&gt;&lt;dates&gt;&lt;year&gt;2009a&lt;/year&gt;&lt;/dates&gt;&lt;urls&gt;&lt;/urls&gt;&lt;/record&gt;&lt;/Cite&gt;&lt;/EndNote&gt;</w:instrText>
      </w:r>
      <w:r w:rsidR="00F81A4D">
        <w:fldChar w:fldCharType="separate"/>
      </w:r>
      <w:r w:rsidR="00737C5E">
        <w:rPr>
          <w:noProof/>
        </w:rPr>
        <w:t>(</w:t>
      </w:r>
      <w:hyperlink w:anchor="_ENREF_57" w:tooltip="Galik, 2009a #94" w:history="1">
        <w:r w:rsidR="001E4C88">
          <w:rPr>
            <w:noProof/>
          </w:rPr>
          <w:t>2009a</w:t>
        </w:r>
      </w:hyperlink>
      <w:r w:rsidR="00737C5E">
        <w:rPr>
          <w:noProof/>
        </w:rPr>
        <w:t>)</w:t>
      </w:r>
      <w:r w:rsidR="00F81A4D">
        <w:fldChar w:fldCharType="end"/>
      </w:r>
      <w:r w:rsidR="00461584">
        <w:t xml:space="preserve"> conducted a similar analysis of IFM viability under vario</w:t>
      </w:r>
      <w:r w:rsidR="00515606">
        <w:t>us protocols for a Piedmont old-</w:t>
      </w:r>
      <w:r w:rsidR="00461584">
        <w:t xml:space="preserve">field loblolly pine </w:t>
      </w:r>
      <w:r w:rsidR="00623529">
        <w:t>(</w:t>
      </w:r>
      <w:proofErr w:type="spellStart"/>
      <w:r w:rsidR="00623529" w:rsidRPr="00737C5E">
        <w:rPr>
          <w:i/>
        </w:rPr>
        <w:t>Pinus</w:t>
      </w:r>
      <w:proofErr w:type="spellEnd"/>
      <w:r w:rsidR="00623529" w:rsidRPr="00737C5E">
        <w:rPr>
          <w:i/>
        </w:rPr>
        <w:t xml:space="preserve"> </w:t>
      </w:r>
      <w:proofErr w:type="spellStart"/>
      <w:r w:rsidR="00623529" w:rsidRPr="00737C5E">
        <w:rPr>
          <w:i/>
        </w:rPr>
        <w:t>taeda</w:t>
      </w:r>
      <w:proofErr w:type="spellEnd"/>
      <w:r w:rsidR="00623529">
        <w:t xml:space="preserve">) </w:t>
      </w:r>
      <w:r w:rsidR="00461584">
        <w:t>plantation</w:t>
      </w:r>
      <w:r w:rsidR="00C30508">
        <w:t>, albeit with already balanced age-classes</w:t>
      </w:r>
      <w:r w:rsidR="00461584">
        <w:t xml:space="preserve">. </w:t>
      </w:r>
      <w:r w:rsidR="00770637">
        <w:t xml:space="preserve"> </w:t>
      </w:r>
      <w:r w:rsidR="00461584">
        <w:t>While Gunn</w:t>
      </w:r>
      <w:r w:rsidR="00461584" w:rsidRPr="0088712D">
        <w:t xml:space="preserve"> </w:t>
      </w:r>
      <w:r w:rsidR="00D067F8">
        <w:t xml:space="preserve">et al. </w:t>
      </w:r>
      <w:r w:rsidR="00461584" w:rsidRPr="0088712D">
        <w:fldChar w:fldCharType="begin"/>
      </w:r>
      <w:r w:rsidR="0056578C">
        <w:instrText xml:space="preserve"> ADDIN EN.CITE &lt;EndNote&gt;&lt;Cite ExcludeAuth="1"&gt;&lt;Author&gt;Gunn&lt;/Author&gt;&lt;Year&gt;2008&lt;/Year&gt;&lt;RecNum&gt;24&lt;/RecNum&gt;&lt;DisplayText&gt;(2008)&lt;/DisplayText&gt;&lt;record&gt;&lt;rec-number&gt;24&lt;/rec-number&gt;&lt;foreign-keys&gt;&lt;key app="EN" db-id="a90s5zadewrawxeer07v2f90xr5vxv022sat"&gt;24&lt;/key&gt;&lt;key app="ENWeb" db-id="S3c-7ArtqgcAACfG-zs"&gt;26&lt;/key&gt;&lt;/foreign-keys&gt;&lt;ref-type name="Unpublished Work"&gt;34&lt;/ref-type&gt;&lt;contributors&gt;&lt;authors&gt;&lt;author&gt;J. Gunn&lt;/author&gt;&lt;author&gt;W. Price&lt;/author&gt;&lt;author&gt;J. Battles&lt;/author&gt;&lt;author&gt;D. Saah&lt;/author&gt;&lt;author&gt;K. Siegel&lt;/author&gt;&lt;/authors&gt;&lt;/contributors&gt;&lt;titles&gt;&lt;title&gt;The Development of an Ecosystem Services Trading Program for Family Forest Landowners to Promote the Protection of Atmospheric, Water, and Soil Resources in Maine&lt;/title&gt;&lt;/titles&gt;&lt;volume&gt;Final Report Submitted to the USDA Natural Resources Conservation Service Conservation Innovation Grants Program. 61p.&lt;/volume&gt;&lt;dates&gt;&lt;year&gt;2008&lt;/year&gt;&lt;/dates&gt;&lt;publisher&gt;New Gloucester, ME: Trust to Conserve Northeast Forestlands&lt;/publisher&gt;&lt;urls&gt;&lt;/urls&gt;&lt;/record&gt;&lt;/Cite&gt;&lt;/EndNote&gt;</w:instrText>
      </w:r>
      <w:r w:rsidR="00461584" w:rsidRPr="0088712D">
        <w:fldChar w:fldCharType="separate"/>
      </w:r>
      <w:r w:rsidR="00A87D07">
        <w:rPr>
          <w:noProof/>
        </w:rPr>
        <w:t>(</w:t>
      </w:r>
      <w:hyperlink w:anchor="_ENREF_63" w:tooltip="Gunn, 2008 #24" w:history="1">
        <w:r w:rsidR="001E4C88">
          <w:rPr>
            <w:noProof/>
          </w:rPr>
          <w:t>2008</w:t>
        </w:r>
      </w:hyperlink>
      <w:r w:rsidR="00A87D07">
        <w:rPr>
          <w:noProof/>
        </w:rPr>
        <w:t>)</w:t>
      </w:r>
      <w:r w:rsidR="00461584" w:rsidRPr="0088712D">
        <w:fldChar w:fldCharType="end"/>
      </w:r>
      <w:r w:rsidR="00461584" w:rsidRPr="0088712D">
        <w:t xml:space="preserve"> evaluated a potential IFM project in Maine under a hypothetical methodolo</w:t>
      </w:r>
      <w:r w:rsidR="00461584">
        <w:t xml:space="preserve">gy for aggregated projects, the approach of </w:t>
      </w:r>
      <w:proofErr w:type="spellStart"/>
      <w:r w:rsidR="00461584">
        <w:t>Galik</w:t>
      </w:r>
      <w:proofErr w:type="spellEnd"/>
      <w:r w:rsidR="00461584">
        <w:t xml:space="preserve"> et al. </w:t>
      </w:r>
      <w:r w:rsidR="00F81A4D">
        <w:fldChar w:fldCharType="begin"/>
      </w:r>
      <w:r w:rsidR="00737C5E">
        <w:instrText xml:space="preserve"> ADDIN EN.CITE &lt;EndNote&gt;&lt;Cite ExcludeAuth="1"&gt;&lt;Author&gt;Galik&lt;/Author&gt;&lt;Year&gt;2009&lt;/Year&gt;&lt;RecNum&gt;97&lt;/RecNum&gt;&lt;DisplayText&gt;(2009b)&lt;/DisplayText&gt;&lt;record&gt;&lt;rec-number&gt;97&lt;/rec-number&gt;&lt;foreign-keys&gt;&lt;key app="EN" db-id="a90s5zadewrawxeer07v2f90xr5vxv022sat"&gt;97&lt;/key&gt;&lt;/foreign-keys&gt;&lt;ref-type name="Report"&gt;27&lt;/ref-type&gt;&lt;contributors&gt;&lt;authors&gt;&lt;author&gt;Galik,  C. S.&lt;/author&gt;&lt;author&gt;Baker, J.S.&lt;/author&gt;&lt;author&gt;Grinnell, J.L.&lt;/author&gt;&lt;/authors&gt;&lt;/contributors&gt;&lt;titles&gt;&lt;title&gt;Transaction costs and forest management carbon offset potential&lt;/title&gt;&lt;/titles&gt;&lt;pages&gt;15&lt;/pages&gt;&lt;dates&gt;&lt;year&gt;2009b&lt;/year&gt;&lt;/dates&gt;&lt;publisher&gt;Working Paper, Climate Change Policy Partnership, Duke University&lt;/publisher&gt;&lt;urls&gt;&lt;/urls&gt;&lt;/record&gt;&lt;/Cite&gt;&lt;/EndNote&gt;</w:instrText>
      </w:r>
      <w:r w:rsidR="00F81A4D">
        <w:fldChar w:fldCharType="separate"/>
      </w:r>
      <w:r w:rsidR="00737C5E">
        <w:rPr>
          <w:noProof/>
        </w:rPr>
        <w:t>(</w:t>
      </w:r>
      <w:hyperlink w:anchor="_ENREF_56" w:tooltip="Galik, 2009b #97" w:history="1">
        <w:r w:rsidR="001E4C88">
          <w:rPr>
            <w:noProof/>
          </w:rPr>
          <w:t>2009b</w:t>
        </w:r>
      </w:hyperlink>
      <w:r w:rsidR="00737C5E">
        <w:rPr>
          <w:noProof/>
        </w:rPr>
        <w:t>)</w:t>
      </w:r>
      <w:r w:rsidR="00F81A4D">
        <w:fldChar w:fldCharType="end"/>
      </w:r>
      <w:r w:rsidR="00F81A4D">
        <w:t xml:space="preserve"> </w:t>
      </w:r>
      <w:r w:rsidR="00461584">
        <w:t xml:space="preserve">and this paper appear to be the only localized </w:t>
      </w:r>
      <w:r w:rsidR="008B5C58">
        <w:t>project</w:t>
      </w:r>
      <w:r w:rsidR="00461584">
        <w:t xml:space="preserve">-level feasibility studies of IFM applications in the </w:t>
      </w:r>
      <w:r w:rsidR="00C30508">
        <w:t>South</w:t>
      </w:r>
      <w:r w:rsidR="00461584">
        <w:t xml:space="preserve"> to date.  It is fitting then that this study examines the counterpart to softwood plantation management in the South.  As in Gunn </w:t>
      </w:r>
      <w:r w:rsidR="00D067F8">
        <w:t xml:space="preserve">et al. </w:t>
      </w:r>
      <w:r w:rsidR="00461584">
        <w:fldChar w:fldCharType="begin"/>
      </w:r>
      <w:r w:rsidR="0056578C">
        <w:instrText xml:space="preserve"> ADDIN EN.CITE &lt;EndNote&gt;&lt;Cite ExcludeAuth="1"&gt;&lt;Author&gt;Gunn&lt;/Author&gt;&lt;Year&gt;2008&lt;/Year&gt;&lt;RecNum&gt;24&lt;/RecNum&gt;&lt;DisplayText&gt;(2008)&lt;/DisplayText&gt;&lt;record&gt;&lt;rec-number&gt;24&lt;/rec-number&gt;&lt;foreign-keys&gt;&lt;key app="EN" db-id="a90s5zadewrawxeer07v2f90xr5vxv022sat"&gt;24&lt;/key&gt;&lt;key app="ENWeb" db-id="S3c-7ArtqgcAACfG-zs"&gt;26&lt;/key&gt;&lt;/foreign-keys&gt;&lt;ref-type name="Unpublished Work"&gt;34&lt;/ref-type&gt;&lt;contributors&gt;&lt;authors&gt;&lt;author&gt;J. Gunn&lt;/author&gt;&lt;author&gt;W. Price&lt;/author&gt;&lt;author&gt;J. Battles&lt;/author&gt;&lt;author&gt;D. Saah&lt;/author&gt;&lt;author&gt;K. Siegel&lt;/author&gt;&lt;/authors&gt;&lt;/contributors&gt;&lt;titles&gt;&lt;title&gt;The Development of an Ecosystem Services Trading Program for Family Forest Landowners to Promote the Protection of Atmospheric, Water, and Soil Resources in Maine&lt;/title&gt;&lt;/titles&gt;&lt;volume&gt;Final Report Submitted to the USDA Natural Resources Conservation Service Conservation Innovation Grants Program. 61p.&lt;/volume&gt;&lt;dates&gt;&lt;year&gt;2008&lt;/year&gt;&lt;/dates&gt;&lt;publisher&gt;New Gloucester, ME: Trust to Conserve Northeast Forestlands&lt;/publisher&gt;&lt;urls&gt;&lt;/urls&gt;&lt;/record&gt;&lt;/Cite&gt;&lt;/EndNote&gt;</w:instrText>
      </w:r>
      <w:r w:rsidR="00461584">
        <w:fldChar w:fldCharType="separate"/>
      </w:r>
      <w:r w:rsidR="00A87D07">
        <w:rPr>
          <w:noProof/>
        </w:rPr>
        <w:t>(</w:t>
      </w:r>
      <w:hyperlink w:anchor="_ENREF_63" w:tooltip="Gunn, 2008 #24" w:history="1">
        <w:r w:rsidR="001E4C88">
          <w:rPr>
            <w:noProof/>
          </w:rPr>
          <w:t>2008</w:t>
        </w:r>
      </w:hyperlink>
      <w:r w:rsidR="00A87D07">
        <w:rPr>
          <w:noProof/>
        </w:rPr>
        <w:t>)</w:t>
      </w:r>
      <w:r w:rsidR="00461584">
        <w:fldChar w:fldCharType="end"/>
      </w:r>
      <w:r w:rsidR="007B4B4B" w:rsidRPr="00737C5E">
        <w:rPr>
          <w:rFonts w:cs="Calibri"/>
        </w:rPr>
        <w:t xml:space="preserve"> and </w:t>
      </w:r>
      <w:proofErr w:type="spellStart"/>
      <w:r w:rsidR="007B4B4B" w:rsidRPr="007B4B4B">
        <w:t>Nunery</w:t>
      </w:r>
      <w:proofErr w:type="spellEnd"/>
      <w:r w:rsidR="007B4B4B" w:rsidRPr="007B4B4B">
        <w:t xml:space="preserve"> and Keeton </w:t>
      </w:r>
      <w:r w:rsidR="007B4B4B" w:rsidRPr="007B4B4B">
        <w:fldChar w:fldCharType="begin"/>
      </w:r>
      <w:r w:rsidR="00A87D07">
        <w:instrText xml:space="preserve"> ADDIN EN.CITE &lt;EndNote&gt;&lt;Cite ExcludeAuth="1"&gt;&lt;Author&gt;Nunery&lt;/Author&gt;&lt;Year&gt;2010&lt;/Year&gt;&lt;RecNum&gt;271&lt;/RecNum&gt;&lt;DisplayText&gt;(2010)&lt;/DisplayText&gt;&lt;record&gt;&lt;rec-number&gt;271&lt;/rec-number&gt;&lt;foreign-keys&gt;&lt;key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sidR="007B4B4B" w:rsidRPr="007B4B4B">
        <w:fldChar w:fldCharType="separate"/>
      </w:r>
      <w:r w:rsidR="00A87D07">
        <w:rPr>
          <w:noProof/>
        </w:rPr>
        <w:t>(</w:t>
      </w:r>
      <w:hyperlink w:anchor="_ENREF_107" w:tooltip="Nunery, 2010 #271" w:history="1">
        <w:r w:rsidR="001E4C88">
          <w:rPr>
            <w:noProof/>
          </w:rPr>
          <w:t>2010</w:t>
        </w:r>
      </w:hyperlink>
      <w:r w:rsidR="00A87D07">
        <w:rPr>
          <w:noProof/>
        </w:rPr>
        <w:t>)</w:t>
      </w:r>
      <w:r w:rsidR="007B4B4B" w:rsidRPr="007B4B4B">
        <w:fldChar w:fldCharType="end"/>
      </w:r>
      <w:r w:rsidR="00461584">
        <w:t>, the modeling approach necessitated for this analysis is more closely linked with forest ecology than past IFM studies a</w:t>
      </w:r>
      <w:r w:rsidR="006B462E">
        <w:t>nd consequently lent</w:t>
      </w:r>
      <w:r w:rsidR="008C2ACB">
        <w:t xml:space="preserve"> itself to</w:t>
      </w:r>
      <w:r w:rsidR="00461584">
        <w:t xml:space="preserve"> </w:t>
      </w:r>
      <w:r w:rsidR="008C2ACB">
        <w:t xml:space="preserve">ecological considerations </w:t>
      </w:r>
      <w:r w:rsidR="008C2ACB">
        <w:lastRenderedPageBreak/>
        <w:t>in simulated treatments and more accurate accounting of harvested wood product (HWP)</w:t>
      </w:r>
      <w:r w:rsidR="005A7A9E">
        <w:t xml:space="preserve"> </w:t>
      </w:r>
      <w:r w:rsidR="008C2ACB">
        <w:t>sequestration and earnings</w:t>
      </w:r>
      <w:r w:rsidR="006B462E">
        <w:t>.</w:t>
      </w:r>
    </w:p>
    <w:p w:rsidR="00EE0AFE" w:rsidRDefault="008B5C58" w:rsidP="009450A1">
      <w:pPr>
        <w:spacing w:line="480" w:lineRule="auto"/>
        <w:ind w:firstLine="720"/>
      </w:pPr>
      <w:r>
        <w:t>Specifically</w:t>
      </w:r>
      <w:r w:rsidR="00580A88">
        <w:t xml:space="preserve">, the hypothesis </w:t>
      </w:r>
      <w:r w:rsidR="0030036B">
        <w:t xml:space="preserve">of this analysis </w:t>
      </w:r>
      <w:r w:rsidR="00580A88">
        <w:t>was that adoption of oak-sustaining silviculture and otherwise sustainable commodity-driven forestry</w:t>
      </w:r>
      <w:r w:rsidR="00C048E8">
        <w:t xml:space="preserve"> </w:t>
      </w:r>
      <w:r w:rsidR="0030036B">
        <w:rPr>
          <w:rFonts w:cs="Calibri"/>
        </w:rPr>
        <w:t>—</w:t>
      </w:r>
      <w:r w:rsidR="00C048E8">
        <w:t>administered</w:t>
      </w:r>
      <w:r w:rsidR="0030036B">
        <w:t xml:space="preserve"> per CAR-</w:t>
      </w:r>
      <w:r w:rsidR="00580A88">
        <w:t xml:space="preserve">constraints on </w:t>
      </w:r>
      <w:r w:rsidR="0030036B">
        <w:t xml:space="preserve">the distribution of </w:t>
      </w:r>
      <w:r w:rsidR="00580A88">
        <w:t>age-class</w:t>
      </w:r>
      <w:r w:rsidR="0030036B">
        <w:t>es</w:t>
      </w:r>
      <w:r w:rsidR="007A04C9">
        <w:t xml:space="preserve">, </w:t>
      </w:r>
      <w:r w:rsidR="00A201FB">
        <w:t>canopy opening</w:t>
      </w:r>
      <w:r w:rsidR="0030036B">
        <w:t xml:space="preserve"> size, </w:t>
      </w:r>
      <w:r w:rsidR="007A04C9">
        <w:t>and</w:t>
      </w:r>
      <w:r w:rsidR="0030036B">
        <w:t xml:space="preserve"> minimum</w:t>
      </w:r>
      <w:r w:rsidR="006F3481">
        <w:t xml:space="preserve"> live tree</w:t>
      </w:r>
      <w:r w:rsidR="00580A88">
        <w:t xml:space="preserve"> carbon stocks</w:t>
      </w:r>
      <w:r w:rsidR="0030036B">
        <w:rPr>
          <w:rFonts w:cs="Calibri"/>
        </w:rPr>
        <w:t>―</w:t>
      </w:r>
      <w:r w:rsidR="00580A88">
        <w:t xml:space="preserve"> could render gains in net present value </w:t>
      </w:r>
      <w:r w:rsidR="006B462E">
        <w:t>(</w:t>
      </w:r>
      <w:r w:rsidR="00125E05">
        <w:t>over timber</w:t>
      </w:r>
      <w:r w:rsidR="00724B9D">
        <w:t>-</w:t>
      </w:r>
      <w:r w:rsidR="00125E05">
        <w:t>only focused oak management</w:t>
      </w:r>
      <w:r w:rsidR="006B462E">
        <w:t>)</w:t>
      </w:r>
      <w:r w:rsidR="007A04C9" w:rsidRPr="007A04C9">
        <w:t xml:space="preserve"> </w:t>
      </w:r>
      <w:r w:rsidR="00176663">
        <w:t>at carbon price</w:t>
      </w:r>
      <w:r w:rsidR="0030036B">
        <w:t>s</w:t>
      </w:r>
      <w:r w:rsidR="00176663">
        <w:t xml:space="preserve"> foreseeable in the near future</w:t>
      </w:r>
      <w:r w:rsidR="007A04C9">
        <w:t>.</w:t>
      </w:r>
      <w:r w:rsidR="00580A88">
        <w:t xml:space="preserve"> </w:t>
      </w:r>
      <w:r w:rsidR="00EB5F39">
        <w:t xml:space="preserve"> Other </w:t>
      </w:r>
      <w:r w:rsidR="00FD7DC2">
        <w:t>i</w:t>
      </w:r>
      <w:r w:rsidR="00EB5F39">
        <w:t xml:space="preserve">mportant </w:t>
      </w:r>
      <w:r w:rsidR="00FD7DC2">
        <w:t xml:space="preserve">notions and </w:t>
      </w:r>
      <w:r w:rsidR="00EB5F39">
        <w:t xml:space="preserve">assumptions </w:t>
      </w:r>
      <w:r w:rsidR="00FD7DC2">
        <w:t xml:space="preserve">that predicate this </w:t>
      </w:r>
      <w:r w:rsidR="00EB5F39">
        <w:t xml:space="preserve">exercise include: </w:t>
      </w:r>
      <w:r w:rsidR="0030036B">
        <w:t xml:space="preserve"> </w:t>
      </w:r>
      <w:r w:rsidR="00FD7DC2">
        <w:t xml:space="preserve">A) </w:t>
      </w:r>
      <w:r w:rsidR="00323776">
        <w:t>t</w:t>
      </w:r>
      <w:r w:rsidR="00D86337">
        <w:t xml:space="preserve">he </w:t>
      </w:r>
      <w:r w:rsidR="00323776">
        <w:t xml:space="preserve">hypothetical </w:t>
      </w:r>
      <w:r w:rsidR="00D86337">
        <w:t>study a</w:t>
      </w:r>
      <w:r w:rsidR="007A04C9">
        <w:t xml:space="preserve">rea is </w:t>
      </w:r>
      <w:r w:rsidR="00515606">
        <w:t>medium</w:t>
      </w:r>
      <w:r w:rsidR="007A04C9">
        <w:t xml:space="preserve"> size FFO timberland just mature enough f</w:t>
      </w:r>
      <w:r w:rsidR="00C048E8">
        <w:t xml:space="preserve">or profitable </w:t>
      </w:r>
      <w:r w:rsidR="007A04C9">
        <w:t>harvests</w:t>
      </w:r>
      <w:r w:rsidR="00C048E8">
        <w:t xml:space="preserve"> </w:t>
      </w:r>
      <w:r w:rsidR="00C048E8" w:rsidRPr="00C048E8">
        <w:rPr>
          <w:noProof/>
        </w:rPr>
        <w:t>and thereby prone to mismanagement</w:t>
      </w:r>
      <w:r w:rsidR="007A04C9">
        <w:t xml:space="preserve">; B) </w:t>
      </w:r>
      <w:r w:rsidR="00323776">
        <w:t>d</w:t>
      </w:r>
      <w:r w:rsidR="00793E8E">
        <w:t xml:space="preserve">evelopment considerations of “higher and better use” and related impacts on forest management </w:t>
      </w:r>
      <w:r w:rsidR="00323776">
        <w:t>a</w:t>
      </w:r>
      <w:r w:rsidR="00793E8E">
        <w:t xml:space="preserve">re ignored; </w:t>
      </w:r>
      <w:r w:rsidR="007A04C9">
        <w:t>C</w:t>
      </w:r>
      <w:r w:rsidR="00793E8E">
        <w:t xml:space="preserve">) </w:t>
      </w:r>
      <w:r w:rsidR="00323776">
        <w:t>m</w:t>
      </w:r>
      <w:r w:rsidR="00FD7DC2">
        <w:t xml:space="preserve">anagement attitudes and behaviors of the hypothetical owner(s) and heir(s) </w:t>
      </w:r>
      <w:r w:rsidR="00793E8E">
        <w:t>result in short</w:t>
      </w:r>
      <w:r w:rsidR="0030036B">
        <w:t>-</w:t>
      </w:r>
      <w:r w:rsidR="00793E8E">
        <w:t xml:space="preserve">term </w:t>
      </w:r>
      <w:r w:rsidR="005D1BDE">
        <w:t xml:space="preserve">profit </w:t>
      </w:r>
      <w:r w:rsidR="00793E8E">
        <w:t xml:space="preserve">maximization and </w:t>
      </w:r>
      <w:r w:rsidR="00FD7DC2">
        <w:t xml:space="preserve">remain the same </w:t>
      </w:r>
      <w:r w:rsidR="00793E8E">
        <w:t xml:space="preserve">over time; </w:t>
      </w:r>
      <w:r w:rsidR="007A04C9">
        <w:t>D</w:t>
      </w:r>
      <w:r w:rsidR="00793E8E">
        <w:t>)</w:t>
      </w:r>
      <w:r w:rsidR="00FD7DC2">
        <w:t xml:space="preserve"> </w:t>
      </w:r>
      <w:r w:rsidR="00323776">
        <w:t>t</w:t>
      </w:r>
      <w:r w:rsidR="00364D33">
        <w:t xml:space="preserve">he same operational best management practices </w:t>
      </w:r>
      <w:r w:rsidR="00323776">
        <w:t>are</w:t>
      </w:r>
      <w:r w:rsidR="00364D33">
        <w:t xml:space="preserve"> </w:t>
      </w:r>
      <w:r w:rsidR="00D86337">
        <w:t xml:space="preserve">applied in each scenario; E) </w:t>
      </w:r>
      <w:r w:rsidR="00323776">
        <w:t>p</w:t>
      </w:r>
      <w:r w:rsidR="0030036B">
        <w:t>roperty taxes</w:t>
      </w:r>
      <w:r w:rsidR="00BB5CD4">
        <w:t xml:space="preserve"> </w:t>
      </w:r>
      <w:r w:rsidR="00323776">
        <w:t>a</w:t>
      </w:r>
      <w:r w:rsidR="00BB5CD4">
        <w:t xml:space="preserve">re </w:t>
      </w:r>
      <w:r w:rsidR="0030036B">
        <w:t xml:space="preserve">ignored since they presumably would </w:t>
      </w:r>
      <w:r w:rsidR="0010106D">
        <w:t>not</w:t>
      </w:r>
      <w:r w:rsidR="00BB5CD4">
        <w:t xml:space="preserve"> differ between scenarios given that TN forestlands are not required to have written management plans to receive present-use tax treatment; </w:t>
      </w:r>
      <w:r w:rsidR="009038C0">
        <w:t xml:space="preserve">F) </w:t>
      </w:r>
      <w:r w:rsidR="00323776">
        <w:t>t</w:t>
      </w:r>
      <w:r w:rsidR="00FD7DC2">
        <w:t xml:space="preserve">imber prices </w:t>
      </w:r>
      <w:r w:rsidR="007A04C9">
        <w:t xml:space="preserve">do not </w:t>
      </w:r>
      <w:r w:rsidR="00FD7DC2">
        <w:t xml:space="preserve">climb to levels that induce </w:t>
      </w:r>
      <w:r w:rsidR="007A04C9">
        <w:t>harvesting for</w:t>
      </w:r>
      <w:r w:rsidR="00FD7DC2">
        <w:t xml:space="preserve"> </w:t>
      </w:r>
      <w:r w:rsidR="00470D67">
        <w:t>two</w:t>
      </w:r>
      <w:r w:rsidR="00FD7DC2">
        <w:t xml:space="preserve"> years</w:t>
      </w:r>
      <w:r w:rsidR="000037D8">
        <w:t xml:space="preserve">; </w:t>
      </w:r>
      <w:r w:rsidR="009038C0">
        <w:t>G)</w:t>
      </w:r>
      <w:r w:rsidR="00323776">
        <w:t xml:space="preserve"> </w:t>
      </w:r>
      <w:r w:rsidR="006466B1">
        <w:t xml:space="preserve">significant natural disturbances and </w:t>
      </w:r>
      <w:r w:rsidR="0007321F">
        <w:t>environmental changes are ignored</w:t>
      </w:r>
      <w:r w:rsidR="006466B1">
        <w:t xml:space="preserve">; </w:t>
      </w:r>
      <w:r w:rsidR="009038C0">
        <w:t>H)</w:t>
      </w:r>
      <w:r w:rsidR="006466B1">
        <w:t xml:space="preserve"> changes in unmeasured carbon pools are not big enough to warrant their measurement; and </w:t>
      </w:r>
      <w:r w:rsidR="009038C0">
        <w:t xml:space="preserve">I) </w:t>
      </w:r>
      <w:r w:rsidR="000037D8">
        <w:t>the</w:t>
      </w:r>
      <w:r w:rsidR="00C84E92">
        <w:t xml:space="preserve"> project is part of an aggregate of similar IFM projects</w:t>
      </w:r>
      <w:r w:rsidR="007A04C9">
        <w:t>.</w:t>
      </w:r>
      <w:r w:rsidR="005D6207">
        <w:t xml:space="preserve">  </w:t>
      </w:r>
      <w:r w:rsidR="005D6207" w:rsidRPr="00112C22">
        <w:t xml:space="preserve">While the goal is to quantify the marginal benefit from </w:t>
      </w:r>
      <w:r w:rsidR="006B462E">
        <w:t xml:space="preserve">CAR </w:t>
      </w:r>
      <w:r w:rsidR="005D6207" w:rsidRPr="00112C22">
        <w:t xml:space="preserve">participation </w:t>
      </w:r>
      <w:r w:rsidR="006B462E">
        <w:t>as</w:t>
      </w:r>
      <w:r w:rsidR="005D6207" w:rsidRPr="00112C22">
        <w:t xml:space="preserve"> an I</w:t>
      </w:r>
      <w:r w:rsidR="0010106D">
        <w:t>FM project in this geographic region</w:t>
      </w:r>
      <w:r w:rsidR="005D6207" w:rsidRPr="00112C22">
        <w:t xml:space="preserve">, </w:t>
      </w:r>
      <w:r w:rsidR="0014431D">
        <w:t xml:space="preserve">the </w:t>
      </w:r>
      <w:r w:rsidR="005D6207" w:rsidRPr="00112C22">
        <w:t>relative</w:t>
      </w:r>
      <w:r w:rsidR="0014431D">
        <w:t xml:space="preserve"> differences brought to light from scenario</w:t>
      </w:r>
      <w:r w:rsidR="005D6207" w:rsidRPr="00112C22">
        <w:t xml:space="preserve"> comparisons </w:t>
      </w:r>
      <w:r w:rsidR="005D6207">
        <w:t>should be</w:t>
      </w:r>
      <w:r w:rsidR="005D6207" w:rsidRPr="00112C22">
        <w:t xml:space="preserve"> more </w:t>
      </w:r>
      <w:r w:rsidR="005D6207">
        <w:t>instructive</w:t>
      </w:r>
      <w:r w:rsidR="005D6207" w:rsidRPr="00112C22">
        <w:t xml:space="preserve"> </w:t>
      </w:r>
      <w:r w:rsidR="0014431D">
        <w:t xml:space="preserve">and meaningful </w:t>
      </w:r>
      <w:r w:rsidR="005D6207" w:rsidRPr="00112C22">
        <w:t xml:space="preserve">than absolute </w:t>
      </w:r>
      <w:r w:rsidR="005D6207">
        <w:t>values</w:t>
      </w:r>
      <w:r w:rsidR="005D6207" w:rsidRPr="00112C22">
        <w:t>.</w:t>
      </w:r>
    </w:p>
    <w:p w:rsidR="009450A1" w:rsidRDefault="009450A1" w:rsidP="009450A1">
      <w:pPr>
        <w:spacing w:line="480" w:lineRule="auto"/>
        <w:ind w:firstLine="720"/>
      </w:pPr>
    </w:p>
    <w:p w:rsidR="009450A1" w:rsidRDefault="009450A1" w:rsidP="009450A1">
      <w:pPr>
        <w:spacing w:line="480" w:lineRule="auto"/>
        <w:ind w:firstLine="720"/>
      </w:pPr>
    </w:p>
    <w:p w:rsidR="009450A1" w:rsidRDefault="009450A1" w:rsidP="009450A1">
      <w:pPr>
        <w:spacing w:line="480" w:lineRule="auto"/>
        <w:ind w:firstLine="720"/>
      </w:pPr>
    </w:p>
    <w:p w:rsidR="00FD649E" w:rsidRDefault="00FD649E" w:rsidP="00591524">
      <w:pPr>
        <w:pStyle w:val="Heading2"/>
        <w:numPr>
          <w:ilvl w:val="0"/>
          <w:numId w:val="16"/>
        </w:numPr>
        <w:spacing w:line="480" w:lineRule="auto"/>
      </w:pPr>
      <w:bookmarkStart w:id="13" w:name="_Toc273520870"/>
      <w:bookmarkStart w:id="14" w:name="_Toc273521333"/>
      <w:bookmarkStart w:id="15" w:name="_Toc273524889"/>
      <w:bookmarkStart w:id="16" w:name="_Toc277738185"/>
      <w:bookmarkStart w:id="17" w:name="_Toc278294306"/>
      <w:r>
        <w:lastRenderedPageBreak/>
        <w:t>M</w:t>
      </w:r>
      <w:r w:rsidR="00F1330A">
        <w:t>ETHODS</w:t>
      </w:r>
      <w:bookmarkEnd w:id="13"/>
      <w:bookmarkEnd w:id="14"/>
      <w:bookmarkEnd w:id="15"/>
      <w:bookmarkEnd w:id="16"/>
      <w:bookmarkEnd w:id="17"/>
      <w:r w:rsidR="00285289">
        <w:t xml:space="preserve"> </w:t>
      </w:r>
    </w:p>
    <w:p w:rsidR="00DB02F0" w:rsidRPr="002B58DD" w:rsidRDefault="00A74861" w:rsidP="00591524">
      <w:pPr>
        <w:numPr>
          <w:ilvl w:val="1"/>
          <w:numId w:val="16"/>
        </w:numPr>
        <w:spacing w:line="480" w:lineRule="auto"/>
        <w:ind w:left="450"/>
        <w:rPr>
          <w:b/>
          <w:bCs/>
          <w:i/>
        </w:rPr>
      </w:pPr>
      <w:bookmarkStart w:id="18" w:name="_Toc273520871"/>
      <w:bookmarkStart w:id="19" w:name="_Toc273521334"/>
      <w:bookmarkStart w:id="20" w:name="_Toc273524890"/>
      <w:r w:rsidRPr="002B58DD">
        <w:rPr>
          <w:b/>
          <w:i/>
        </w:rPr>
        <w:t>Forest Model</w:t>
      </w:r>
      <w:bookmarkStart w:id="21" w:name="_Toc273520873"/>
      <w:bookmarkStart w:id="22" w:name="_Toc273521336"/>
      <w:bookmarkStart w:id="23" w:name="_Toc273524891"/>
      <w:bookmarkEnd w:id="18"/>
      <w:bookmarkEnd w:id="19"/>
      <w:bookmarkEnd w:id="20"/>
      <w:r w:rsidR="000A640D">
        <w:rPr>
          <w:b/>
          <w:i/>
        </w:rPr>
        <w:t>ing</w:t>
      </w:r>
    </w:p>
    <w:p w:rsidR="00285289" w:rsidRPr="002B58DD" w:rsidRDefault="00285289" w:rsidP="00591524">
      <w:pPr>
        <w:numPr>
          <w:ilvl w:val="2"/>
          <w:numId w:val="16"/>
        </w:numPr>
        <w:spacing w:line="480" w:lineRule="auto"/>
        <w:rPr>
          <w:b/>
          <w:bCs/>
          <w:i/>
        </w:rPr>
      </w:pPr>
      <w:r w:rsidRPr="002B58DD">
        <w:rPr>
          <w:b/>
          <w:bCs/>
          <w:i/>
        </w:rPr>
        <w:t>Forest Vegetation Simulator</w:t>
      </w:r>
    </w:p>
    <w:bookmarkEnd w:id="21"/>
    <w:bookmarkEnd w:id="22"/>
    <w:bookmarkEnd w:id="23"/>
    <w:p w:rsidR="003608C0" w:rsidRDefault="00FD649E" w:rsidP="00591524">
      <w:pPr>
        <w:spacing w:line="480" w:lineRule="auto"/>
        <w:ind w:firstLine="720"/>
      </w:pPr>
      <w:r>
        <w:t>Numerous empirical models forged over the last several decades to predict various features and underlying function of forest ecosystems in the U.S. are now in</w:t>
      </w:r>
      <w:r w:rsidR="00125E05">
        <w:t xml:space="preserve">tegrated in a </w:t>
      </w:r>
      <w:r>
        <w:t>free-ware system called the Forest Vegetation Simulator (FVS)</w:t>
      </w:r>
      <w:r w:rsidR="009F68FC">
        <w:t xml:space="preserve">, which is maintained by the </w:t>
      </w:r>
      <w:r w:rsidR="009F68FC" w:rsidRPr="00E832EF">
        <w:rPr>
          <w:rFonts w:asciiTheme="minorHAnsi" w:hAnsiTheme="minorHAnsi" w:cstheme="minorHAnsi"/>
        </w:rPr>
        <w:t>USFS</w:t>
      </w:r>
      <w:r>
        <w:t>.  FVS</w:t>
      </w:r>
      <w:r w:rsidR="00D16B01">
        <w:t xml:space="preserve"> emanated from</w:t>
      </w:r>
      <w:r>
        <w:t xml:space="preserve"> the Prognosis Model for Stand Development, </w:t>
      </w:r>
      <w:r w:rsidR="00D16B01">
        <w:t xml:space="preserve">which </w:t>
      </w:r>
      <w:r w:rsidRPr="0019061B">
        <w:t>was designed to simulate mixed forest stand-dynamics in the mountains of northern Idaho and western Montana</w:t>
      </w:r>
      <w:r>
        <w:t xml:space="preserve"> </w:t>
      </w:r>
      <w:r w:rsidRPr="0019061B">
        <w:t>with an inherent capacity for interacting with applicable disturbance models</w:t>
      </w:r>
      <w:r w:rsidR="000841B1">
        <w:t xml:space="preserve"> </w:t>
      </w:r>
      <w:r w:rsidR="000841B1">
        <w:fldChar w:fldCharType="begin"/>
      </w:r>
      <w:r w:rsidR="00A87D07">
        <w:instrText xml:space="preserve"> ADDIN EN.CITE &lt;EndNote&gt;&lt;Cite&gt;&lt;Author&gt;Crookston&lt;/Author&gt;&lt;Year&gt;2005&lt;/Year&gt;&lt;RecNum&gt;154&lt;/RecNum&gt;&lt;DisplayText&gt;(Crookston and Dixon 2005)&lt;/DisplayText&gt;&lt;record&gt;&lt;rec-number&gt;154&lt;/rec-number&gt;&lt;foreign-keys&gt;&lt;key app="EN" db-id="a90s5zadewrawxeer07v2f90xr5vxv022sat"&gt;154&lt;/key&gt;&lt;/foreign-keys&gt;&lt;ref-type name="Journal Article"&gt;17&lt;/ref-type&gt;&lt;contributors&gt;&lt;authors&gt;&lt;author&gt;Nicholas L. Crookston&lt;/author&gt;&lt;author&gt;Gary E. Dixon&lt;/author&gt;&lt;/authors&gt;&lt;/contributors&gt;&lt;titles&gt;&lt;title&gt;The forest vegetation simulator: A review of its structure, content, and applications&lt;/title&gt;&lt;secondary-title&gt;Comput. Electron. Agric.&lt;/secondary-title&gt;&lt;/titles&gt;&lt;periodical&gt;&lt;full-title&gt;Comput. Electron. Agric.&lt;/full-title&gt;&lt;/periodical&gt;&lt;pages&gt;60-80&lt;/pages&gt;&lt;volume&gt;49&lt;/volume&gt;&lt;number&gt;1&lt;/number&gt;&lt;dates&gt;&lt;year&gt;2005&lt;/year&gt;&lt;/dates&gt;&lt;isbn&gt;0168-1699&lt;/isbn&gt;&lt;urls&gt;&lt;/urls&gt;&lt;electronic-resource-num&gt;http://dx.doi.org/10.1016/j.compag.2005.02.003&lt;/electronic-resource-num&gt;&lt;/record&gt;&lt;/Cite&gt;&lt;/EndNote&gt;</w:instrText>
      </w:r>
      <w:r w:rsidR="000841B1">
        <w:fldChar w:fldCharType="separate"/>
      </w:r>
      <w:r w:rsidR="00A87D07">
        <w:rPr>
          <w:noProof/>
        </w:rPr>
        <w:t>(</w:t>
      </w:r>
      <w:hyperlink w:anchor="_ENREF_42" w:tooltip="Crookston, 2005 #154" w:history="1">
        <w:r w:rsidR="001E4C88">
          <w:rPr>
            <w:noProof/>
          </w:rPr>
          <w:t>Crookston and Dixon 2005</w:t>
        </w:r>
      </w:hyperlink>
      <w:r w:rsidR="00A87D07">
        <w:rPr>
          <w:noProof/>
        </w:rPr>
        <w:t>)</w:t>
      </w:r>
      <w:r w:rsidR="000841B1">
        <w:fldChar w:fldCharType="end"/>
      </w:r>
      <w:r w:rsidRPr="0019061B">
        <w:t xml:space="preserve">. </w:t>
      </w:r>
      <w:r>
        <w:t xml:space="preserve"> Despite the base model’s original geographic scope, FVS has emerged as the core framework in the national forest management planning system due to </w:t>
      </w:r>
      <w:r w:rsidR="00D067F8">
        <w:t xml:space="preserve">its ability to dovetail with </w:t>
      </w:r>
      <w:r>
        <w:t>other regional growth mod</w:t>
      </w:r>
      <w:r w:rsidR="00D067F8">
        <w:t>els</w:t>
      </w:r>
      <w:r>
        <w:t xml:space="preserve">.  As a result, an array of software tools has consolidated around the FVS </w:t>
      </w:r>
      <w:r w:rsidRPr="00A67BC0">
        <w:t>platform</w:t>
      </w:r>
      <w:r w:rsidR="00A67BC0" w:rsidRPr="00285289">
        <w:t xml:space="preserve"> enabling the examination of </w:t>
      </w:r>
      <w:r w:rsidR="003608C0" w:rsidRPr="00285289">
        <w:t xml:space="preserve">a variety </w:t>
      </w:r>
      <w:r w:rsidR="00A67BC0" w:rsidRPr="00285289">
        <w:t>of biological processes in relation to silvicultural activities</w:t>
      </w:r>
      <w:r w:rsidR="00320446" w:rsidRPr="00285289">
        <w:t>.</w:t>
      </w:r>
      <w:r w:rsidR="00A67BC0" w:rsidRPr="00285289">
        <w:t xml:space="preserve">  </w:t>
      </w:r>
      <w:r w:rsidR="003608C0" w:rsidRPr="00285289">
        <w:t>C</w:t>
      </w:r>
      <w:r w:rsidR="003608C0">
        <w:rPr>
          <w:rFonts w:cs="NewCenturySchlbk"/>
          <w:color w:val="000000"/>
        </w:rPr>
        <w:t>onsequently</w:t>
      </w:r>
      <w:r w:rsidR="00A67BC0">
        <w:rPr>
          <w:rFonts w:cs="NewCenturySchlbk"/>
          <w:color w:val="000000"/>
        </w:rPr>
        <w:t xml:space="preserve">, </w:t>
      </w:r>
      <w:r w:rsidR="003608C0">
        <w:rPr>
          <w:rFonts w:cs="NewCenturySchlbk"/>
          <w:color w:val="000000"/>
        </w:rPr>
        <w:t>FVS</w:t>
      </w:r>
      <w:r w:rsidR="00A67BC0">
        <w:rPr>
          <w:rFonts w:cs="NewCenturySchlbk"/>
          <w:color w:val="000000"/>
        </w:rPr>
        <w:t xml:space="preserve"> allows </w:t>
      </w:r>
      <w:r>
        <w:t>robust and dynamic proj</w:t>
      </w:r>
      <w:r w:rsidR="00F32A1D">
        <w:t xml:space="preserve">ections over </w:t>
      </w:r>
      <w:r w:rsidR="002D334D">
        <w:t>centuries</w:t>
      </w:r>
      <w:r w:rsidR="00F32A1D">
        <w:t xml:space="preserve"> (e.g. </w:t>
      </w:r>
      <w:proofErr w:type="spellStart"/>
      <w:r w:rsidR="00F32A1D">
        <w:t>Vandendriesche</w:t>
      </w:r>
      <w:proofErr w:type="spellEnd"/>
      <w:r w:rsidR="00F32A1D">
        <w:t xml:space="preserve"> and Haugen</w:t>
      </w:r>
      <w:r w:rsidR="00D72CC4">
        <w:t xml:space="preserve"> 2006;</w:t>
      </w:r>
      <w:r w:rsidR="00E40E14">
        <w:t xml:space="preserve"> </w:t>
      </w:r>
      <w:proofErr w:type="spellStart"/>
      <w:r w:rsidR="00E40E14">
        <w:t>Nunery</w:t>
      </w:r>
      <w:proofErr w:type="spellEnd"/>
      <w:r w:rsidR="00E40E14">
        <w:t xml:space="preserve"> and Keeton</w:t>
      </w:r>
      <w:r w:rsidR="00D72CC4">
        <w:t xml:space="preserve"> 2010</w:t>
      </w:r>
      <w:r w:rsidR="00F32A1D">
        <w:t>)</w:t>
      </w:r>
      <w:r w:rsidR="003608C0">
        <w:t xml:space="preserve"> and is a powerful tool for lan</w:t>
      </w:r>
      <w:r w:rsidR="00103667">
        <w:t>d managers with the gumption,</w:t>
      </w:r>
      <w:r w:rsidR="003608C0">
        <w:t xml:space="preserve"> patience</w:t>
      </w:r>
      <w:r w:rsidR="00103667">
        <w:t xml:space="preserve">, and </w:t>
      </w:r>
      <w:r w:rsidR="003608C0">
        <w:t xml:space="preserve">inventory data to </w:t>
      </w:r>
      <w:r w:rsidR="002D334D">
        <w:t xml:space="preserve">make management prescriptions and </w:t>
      </w:r>
      <w:r w:rsidR="003608C0">
        <w:t>evaluate the</w:t>
      </w:r>
      <w:r w:rsidR="002D334D">
        <w:t>ir</w:t>
      </w:r>
      <w:r w:rsidR="003608C0">
        <w:t xml:space="preserve"> effects.</w:t>
      </w:r>
    </w:p>
    <w:p w:rsidR="001941A9" w:rsidRDefault="00FD649E" w:rsidP="00591524">
      <w:pPr>
        <w:autoSpaceDE w:val="0"/>
        <w:autoSpaceDN w:val="0"/>
        <w:adjustRightInd w:val="0"/>
        <w:spacing w:line="480" w:lineRule="auto"/>
        <w:ind w:firstLine="720"/>
        <w:rPr>
          <w:rFonts w:cs="TimesNewRomanPSMT"/>
        </w:rPr>
      </w:pPr>
      <w:r>
        <w:t xml:space="preserve">As the utility of the FVS modeling system appears to be unparalleled, it was evident </w:t>
      </w:r>
      <w:r w:rsidR="00F32A1D">
        <w:t>at this project’s inception that</w:t>
      </w:r>
      <w:r>
        <w:t xml:space="preserve"> </w:t>
      </w:r>
      <w:r w:rsidR="00A67BC0">
        <w:t xml:space="preserve">the Southern Variant (SN-variant) of </w:t>
      </w:r>
      <w:r>
        <w:t xml:space="preserve">FVS </w:t>
      </w:r>
      <w:r w:rsidR="009A766B">
        <w:t>wa</w:t>
      </w:r>
      <w:r>
        <w:t xml:space="preserve">s the only model sophisticated enough to simulate the long term management of </w:t>
      </w:r>
      <w:r w:rsidR="000714FD">
        <w:t xml:space="preserve">some of </w:t>
      </w:r>
      <w:r>
        <w:t>the most complex forests in North America</w:t>
      </w:r>
      <w:r w:rsidR="00B15A51">
        <w:t xml:space="preserve">.  </w:t>
      </w:r>
      <w:r w:rsidR="00A67BC0">
        <w:t>It is however not as well developed as western varian</w:t>
      </w:r>
      <w:r w:rsidR="00DD4085">
        <w:t xml:space="preserve">ts and requires </w:t>
      </w:r>
      <w:r w:rsidR="002D334D">
        <w:t xml:space="preserve">a </w:t>
      </w:r>
      <w:r w:rsidR="00DD4085">
        <w:t>substantial amount of</w:t>
      </w:r>
      <w:r w:rsidR="00A67BC0">
        <w:t xml:space="preserve"> parameterization and augmentation.</w:t>
      </w:r>
      <w:r w:rsidR="00DD4085" w:rsidRPr="00DD4085">
        <w:t xml:space="preserve"> </w:t>
      </w:r>
      <w:r w:rsidR="00DD4085">
        <w:t xml:space="preserve"> </w:t>
      </w:r>
      <w:r w:rsidR="000714FD" w:rsidRPr="000714FD">
        <w:rPr>
          <w:rFonts w:cs="TimesNewRomanPSMT"/>
        </w:rPr>
        <w:t xml:space="preserve">Despite </w:t>
      </w:r>
      <w:r w:rsidR="00FF74DE">
        <w:rPr>
          <w:rFonts w:cs="TimesNewRomanPSMT"/>
        </w:rPr>
        <w:t>the</w:t>
      </w:r>
      <w:r w:rsidR="000714FD" w:rsidRPr="000714FD">
        <w:rPr>
          <w:rFonts w:cs="TimesNewRomanPSMT"/>
        </w:rPr>
        <w:t xml:space="preserve"> </w:t>
      </w:r>
      <w:r w:rsidR="00FF74DE">
        <w:rPr>
          <w:rFonts w:cs="TimesNewRomanPSMT"/>
        </w:rPr>
        <w:t>advanced capabilities of</w:t>
      </w:r>
      <w:r w:rsidR="000714FD" w:rsidRPr="000714FD">
        <w:rPr>
          <w:rFonts w:cs="TimesNewRomanPSMT"/>
        </w:rPr>
        <w:t xml:space="preserve"> FVS</w:t>
      </w:r>
      <w:r w:rsidR="00FF74DE">
        <w:rPr>
          <w:rFonts w:cs="TimesNewRomanPSMT"/>
        </w:rPr>
        <w:t>, it</w:t>
      </w:r>
      <w:r w:rsidR="000714FD" w:rsidRPr="000714FD">
        <w:rPr>
          <w:rFonts w:cs="TimesNewRomanPSMT"/>
        </w:rPr>
        <w:t xml:space="preserve"> shar</w:t>
      </w:r>
      <w:r w:rsidR="00FF74DE">
        <w:rPr>
          <w:rFonts w:cs="TimesNewRomanPSMT"/>
        </w:rPr>
        <w:t>es</w:t>
      </w:r>
      <w:r w:rsidR="000714FD" w:rsidRPr="000714FD">
        <w:rPr>
          <w:rFonts w:cs="TimesNewRomanPSMT"/>
        </w:rPr>
        <w:t xml:space="preserve"> a common limitation with other growth models in that </w:t>
      </w:r>
      <w:r w:rsidR="002D2609">
        <w:rPr>
          <w:rFonts w:cs="TimesNewRomanPSMT"/>
        </w:rPr>
        <w:t xml:space="preserve">it </w:t>
      </w:r>
      <w:r w:rsidR="000714FD" w:rsidRPr="000714FD">
        <w:rPr>
          <w:rFonts w:cs="TimesNewRomanPSMT"/>
        </w:rPr>
        <w:t>only render</w:t>
      </w:r>
      <w:r w:rsidR="002D2609">
        <w:rPr>
          <w:rFonts w:cs="TimesNewRomanPSMT"/>
        </w:rPr>
        <w:t>s</w:t>
      </w:r>
      <w:r w:rsidR="000714FD" w:rsidRPr="000714FD">
        <w:rPr>
          <w:rFonts w:cs="TimesNewRomanPSMT"/>
        </w:rPr>
        <w:t xml:space="preserve"> reason</w:t>
      </w:r>
      <w:r w:rsidR="000714FD" w:rsidRPr="008C76EC">
        <w:rPr>
          <w:rFonts w:asciiTheme="minorHAnsi" w:hAnsiTheme="minorHAnsi" w:cstheme="minorHAnsi"/>
        </w:rPr>
        <w:t>ably accurate growth projections in the short</w:t>
      </w:r>
      <w:r w:rsidR="00E40E14">
        <w:rPr>
          <w:rFonts w:asciiTheme="minorHAnsi" w:hAnsiTheme="minorHAnsi" w:cstheme="minorHAnsi"/>
        </w:rPr>
        <w:t>-</w:t>
      </w:r>
      <w:r w:rsidR="000714FD" w:rsidRPr="008C76EC">
        <w:rPr>
          <w:rFonts w:asciiTheme="minorHAnsi" w:hAnsiTheme="minorHAnsi" w:cstheme="minorHAnsi"/>
        </w:rPr>
        <w:t xml:space="preserve"> term</w:t>
      </w:r>
      <w:r w:rsidR="00ED291A">
        <w:rPr>
          <w:rFonts w:asciiTheme="minorHAnsi" w:hAnsiTheme="minorHAnsi" w:cstheme="minorHAnsi"/>
        </w:rPr>
        <w:t xml:space="preserve"> </w:t>
      </w:r>
      <w:r w:rsidR="002D2609">
        <w:rPr>
          <w:rFonts w:asciiTheme="minorHAnsi" w:hAnsiTheme="minorHAnsi" w:cstheme="minorHAnsi"/>
        </w:rPr>
        <w:t>using</w:t>
      </w:r>
      <w:r w:rsidR="00D16B01">
        <w:rPr>
          <w:rFonts w:asciiTheme="minorHAnsi" w:hAnsiTheme="minorHAnsi" w:cstheme="minorHAnsi"/>
        </w:rPr>
        <w:t xml:space="preserve"> default parameters </w:t>
      </w:r>
      <w:r w:rsidR="00ED291A">
        <w:rPr>
          <w:rFonts w:asciiTheme="minorHAnsi" w:hAnsiTheme="minorHAnsi" w:cstheme="minorHAnsi"/>
        </w:rPr>
        <w:fldChar w:fldCharType="begin">
          <w:fldData xml:space="preserve">PEVuZE5vdGU+PENpdGU+PEF1dGhvcj5SYXVzY2hlcjwvQXV0aG9yPjxZZWFyPjIwMDA8L1llYXI+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</w:fldData>
        </w:fldChar>
      </w:r>
      <w:r w:rsidR="00CE2DF2">
        <w:rPr>
          <w:rFonts w:asciiTheme="minorHAnsi" w:hAnsiTheme="minorHAnsi" w:cstheme="minorHAnsi"/>
        </w:rPr>
        <w:instrText xml:space="preserve"> ADDIN EN.CITE </w:instrText>
      </w:r>
      <w:r w:rsidR="00CE2DF2">
        <w:rPr>
          <w:rFonts w:asciiTheme="minorHAnsi" w:hAnsiTheme="minorHAnsi" w:cstheme="minorHAnsi"/>
        </w:rPr>
        <w:fldChar w:fldCharType="begin">
          <w:fldData xml:space="preserve">PEVuZE5vdGU+PENpdGU+PEF1dGhvcj5SYXVzY2hlcjwvQXV0aG9yPjxZZWFyPjIwMDA8L1llYXI+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</w:fldData>
        </w:fldChar>
      </w:r>
      <w:r w:rsidR="00CE2DF2">
        <w:rPr>
          <w:rFonts w:asciiTheme="minorHAnsi" w:hAnsiTheme="minorHAnsi" w:cstheme="minorHAnsi"/>
        </w:rPr>
        <w:instrText xml:space="preserve"> ADDIN EN.CITE.DATA </w:instrText>
      </w:r>
      <w:r w:rsidR="00CE2DF2">
        <w:rPr>
          <w:rFonts w:asciiTheme="minorHAnsi" w:hAnsiTheme="minorHAnsi" w:cstheme="minorHAnsi"/>
        </w:rPr>
      </w:r>
      <w:r w:rsidR="00CE2DF2">
        <w:rPr>
          <w:rFonts w:asciiTheme="minorHAnsi" w:hAnsiTheme="minorHAnsi" w:cstheme="minorHAnsi"/>
        </w:rPr>
        <w:fldChar w:fldCharType="end"/>
      </w:r>
      <w:r w:rsidR="00ED291A">
        <w:rPr>
          <w:rFonts w:asciiTheme="minorHAnsi" w:hAnsiTheme="minorHAnsi" w:cstheme="minorHAnsi"/>
        </w:rPr>
      </w:r>
      <w:r w:rsidR="00ED291A">
        <w:rPr>
          <w:rFonts w:asciiTheme="minorHAnsi" w:hAnsiTheme="minorHAnsi" w:cstheme="minorHAnsi"/>
        </w:rPr>
        <w:fldChar w:fldCharType="separate"/>
      </w:r>
      <w:r w:rsidR="00CE2DF2">
        <w:rPr>
          <w:rFonts w:asciiTheme="minorHAnsi" w:hAnsiTheme="minorHAnsi" w:cstheme="minorHAnsi"/>
          <w:noProof/>
        </w:rPr>
        <w:t>(</w:t>
      </w:r>
      <w:hyperlink w:anchor="_ENREF_111" w:tooltip="Rauscher, 2000 #249" w:history="1">
        <w:r w:rsidR="001E4C88">
          <w:rPr>
            <w:rFonts w:asciiTheme="minorHAnsi" w:hAnsiTheme="minorHAnsi" w:cstheme="minorHAnsi"/>
            <w:noProof/>
          </w:rPr>
          <w:t>Rauscher et al. 2000</w:t>
        </w:r>
      </w:hyperlink>
      <w:r w:rsidR="00CE2DF2">
        <w:rPr>
          <w:rFonts w:asciiTheme="minorHAnsi" w:hAnsiTheme="minorHAnsi" w:cstheme="minorHAnsi"/>
          <w:noProof/>
        </w:rPr>
        <w:t xml:space="preserve">; </w:t>
      </w:r>
      <w:hyperlink w:anchor="_ENREF_45" w:tooltip="Davis, 2009 #269" w:history="1">
        <w:r w:rsidR="001E4C88">
          <w:rPr>
            <w:rFonts w:asciiTheme="minorHAnsi" w:hAnsiTheme="minorHAnsi" w:cstheme="minorHAnsi"/>
            <w:noProof/>
          </w:rPr>
          <w:t>Davis et al. 2009</w:t>
        </w:r>
      </w:hyperlink>
      <w:r w:rsidR="00CE2DF2">
        <w:rPr>
          <w:rFonts w:asciiTheme="minorHAnsi" w:hAnsiTheme="minorHAnsi" w:cstheme="minorHAnsi"/>
          <w:noProof/>
        </w:rPr>
        <w:t>)</w:t>
      </w:r>
      <w:r w:rsidR="00ED291A">
        <w:rPr>
          <w:rFonts w:asciiTheme="minorHAnsi" w:hAnsiTheme="minorHAnsi" w:cstheme="minorHAnsi"/>
        </w:rPr>
        <w:fldChar w:fldCharType="end"/>
      </w:r>
      <w:r w:rsidR="000714FD" w:rsidRPr="008C76EC">
        <w:rPr>
          <w:rFonts w:asciiTheme="minorHAnsi" w:hAnsiTheme="minorHAnsi" w:cstheme="minorHAnsi"/>
        </w:rPr>
        <w:t xml:space="preserve">. </w:t>
      </w:r>
      <w:r w:rsidR="009A766B" w:rsidRPr="008C76EC">
        <w:rPr>
          <w:rFonts w:asciiTheme="minorHAnsi" w:hAnsiTheme="minorHAnsi" w:cstheme="minorHAnsi"/>
        </w:rPr>
        <w:t xml:space="preserve"> </w:t>
      </w:r>
      <w:r w:rsidR="00D16B01">
        <w:rPr>
          <w:rFonts w:asciiTheme="minorHAnsi" w:hAnsiTheme="minorHAnsi" w:cstheme="minorHAnsi"/>
        </w:rPr>
        <w:t>At the same time</w:t>
      </w:r>
      <w:r w:rsidR="000714FD" w:rsidRPr="008C76EC">
        <w:rPr>
          <w:rFonts w:asciiTheme="minorHAnsi" w:hAnsiTheme="minorHAnsi" w:cstheme="minorHAnsi"/>
        </w:rPr>
        <w:t>, many model features</w:t>
      </w:r>
      <w:r w:rsidR="000714FD" w:rsidRPr="008C76EC">
        <w:rPr>
          <w:rFonts w:cs="TimesNewRomanPSMT"/>
        </w:rPr>
        <w:t xml:space="preserve"> </w:t>
      </w:r>
      <w:r w:rsidR="000714FD" w:rsidRPr="000714FD">
        <w:rPr>
          <w:rFonts w:cs="TimesNewRomanPSMT"/>
        </w:rPr>
        <w:t xml:space="preserve">employable for FVS simulations may inject far </w:t>
      </w:r>
      <w:r w:rsidR="000714FD" w:rsidRPr="000714FD">
        <w:rPr>
          <w:rFonts w:cs="TimesNewRomanPSMT"/>
        </w:rPr>
        <w:lastRenderedPageBreak/>
        <w:t>more uncertainty into model outputs.  For this reason and because uncertainty in stand predictions increase with time, it is more incumbent upon the modeler of long</w:t>
      </w:r>
      <w:r w:rsidR="004E746C">
        <w:rPr>
          <w:rFonts w:cs="TimesNewRomanPSMT"/>
        </w:rPr>
        <w:t>-</w:t>
      </w:r>
      <w:r w:rsidR="000714FD" w:rsidRPr="000714FD">
        <w:rPr>
          <w:rFonts w:cs="TimesNewRomanPSMT"/>
        </w:rPr>
        <w:t>term forest projections to parameterize the model to the fullest extent pra</w:t>
      </w:r>
      <w:r w:rsidR="002561EB">
        <w:rPr>
          <w:rFonts w:cs="TimesNewRomanPSMT"/>
        </w:rPr>
        <w:t>cticable with comprehensive/</w:t>
      </w:r>
      <w:r w:rsidR="000714FD" w:rsidRPr="000714FD">
        <w:rPr>
          <w:rFonts w:cs="TimesNewRomanPSMT"/>
        </w:rPr>
        <w:t>rigorous site measurements</w:t>
      </w:r>
      <w:r w:rsidR="002561EB">
        <w:rPr>
          <w:rFonts w:cs="TimesNewRomanPSMT"/>
        </w:rPr>
        <w:t xml:space="preserve"> and/or</w:t>
      </w:r>
      <w:r w:rsidR="000714FD" w:rsidRPr="000714FD">
        <w:rPr>
          <w:rFonts w:cs="TimesNewRomanPSMT"/>
        </w:rPr>
        <w:t xml:space="preserve"> conservative assumptions</w:t>
      </w:r>
      <w:r w:rsidR="002722E4">
        <w:rPr>
          <w:rFonts w:cs="TimesNewRomanPSMT"/>
        </w:rPr>
        <w:t xml:space="preserve"> </w:t>
      </w:r>
      <w:r w:rsidR="000714FD" w:rsidRPr="000714FD">
        <w:rPr>
          <w:rFonts w:cs="TimesNewRomanPSMT"/>
        </w:rPr>
        <w:t xml:space="preserve">if </w:t>
      </w:r>
      <w:r w:rsidR="001C0186">
        <w:rPr>
          <w:rFonts w:cs="TimesNewRomanPSMT"/>
        </w:rPr>
        <w:t>stakeholders</w:t>
      </w:r>
      <w:r w:rsidR="000714FD" w:rsidRPr="000714FD">
        <w:rPr>
          <w:rFonts w:cs="TimesNewRomanPSMT"/>
        </w:rPr>
        <w:t xml:space="preserve"> are to have </w:t>
      </w:r>
      <w:r w:rsidR="000714FD">
        <w:rPr>
          <w:rFonts w:cs="TimesNewRomanPSMT"/>
        </w:rPr>
        <w:t>sufficient</w:t>
      </w:r>
      <w:r w:rsidR="000714FD" w:rsidRPr="000714FD">
        <w:rPr>
          <w:rFonts w:cs="TimesNewRomanPSMT"/>
        </w:rPr>
        <w:t xml:space="preserve"> confidence in the results.</w:t>
      </w:r>
      <w:r w:rsidR="000714FD">
        <w:rPr>
          <w:rFonts w:cs="TimesNewRomanPSMT"/>
        </w:rPr>
        <w:t xml:space="preserve"> </w:t>
      </w:r>
      <w:r w:rsidR="000714FD" w:rsidRPr="000714FD">
        <w:rPr>
          <w:rFonts w:cs="TimesNewRomanPSMT"/>
        </w:rPr>
        <w:t xml:space="preserve"> </w:t>
      </w:r>
      <w:r w:rsidR="00FF74DE" w:rsidRPr="002722E4">
        <w:rPr>
          <w:rFonts w:cs="TimesNewRomanPSMT"/>
        </w:rPr>
        <w:t xml:space="preserve">It is also </w:t>
      </w:r>
      <w:r w:rsidR="00173EB4">
        <w:rPr>
          <w:rFonts w:cs="TimesNewRomanPSMT"/>
        </w:rPr>
        <w:t>paramount</w:t>
      </w:r>
      <w:r w:rsidR="00FF74DE" w:rsidRPr="002722E4">
        <w:rPr>
          <w:rFonts w:cs="TimesNewRomanPSMT"/>
        </w:rPr>
        <w:t xml:space="preserve"> to manually estimate </w:t>
      </w:r>
      <w:r w:rsidR="002722E4" w:rsidRPr="002722E4">
        <w:rPr>
          <w:rFonts w:cs="TimesNewRomanPSMT"/>
        </w:rPr>
        <w:t xml:space="preserve">sawtimber </w:t>
      </w:r>
      <w:r w:rsidR="00FF74DE" w:rsidRPr="002722E4">
        <w:rPr>
          <w:rFonts w:cs="TimesNewRomanPSMT"/>
        </w:rPr>
        <w:t>volumes</w:t>
      </w:r>
      <w:r w:rsidR="006F47C4">
        <w:rPr>
          <w:rFonts w:cs="TimesNewRomanPSMT"/>
        </w:rPr>
        <w:t xml:space="preserve"> in order to obtain</w:t>
      </w:r>
      <w:r w:rsidR="002722E4" w:rsidRPr="002722E4">
        <w:rPr>
          <w:rFonts w:cs="TimesNewRomanPSMT"/>
        </w:rPr>
        <w:t xml:space="preserve"> more reliable estimates than those provided by the </w:t>
      </w:r>
      <w:proofErr w:type="spellStart"/>
      <w:r w:rsidR="002722E4" w:rsidRPr="002722E4">
        <w:rPr>
          <w:rFonts w:cs="TimesNewRomanPSMT"/>
        </w:rPr>
        <w:t>Sn</w:t>
      </w:r>
      <w:proofErr w:type="spellEnd"/>
      <w:r w:rsidR="002722E4" w:rsidRPr="002722E4">
        <w:rPr>
          <w:rFonts w:cs="TimesNewRomanPSMT"/>
        </w:rPr>
        <w:t>-variant at the present time</w:t>
      </w:r>
      <w:r w:rsidR="002722E4">
        <w:rPr>
          <w:rFonts w:cs="TimesNewRomanPSMT"/>
        </w:rPr>
        <w:t xml:space="preserve"> </w:t>
      </w:r>
      <w:r w:rsidR="006F47C4">
        <w:rPr>
          <w:rFonts w:cs="TimesNewRomanPSMT"/>
        </w:rPr>
        <w:t>(</w:t>
      </w:r>
      <w:r w:rsidR="002722E4">
        <w:rPr>
          <w:rFonts w:cs="TimesNewRomanPSMT"/>
        </w:rPr>
        <w:t>for reasons mentioned later in this section</w:t>
      </w:r>
      <w:r w:rsidR="006F47C4">
        <w:rPr>
          <w:rFonts w:cs="TimesNewRomanPSMT"/>
        </w:rPr>
        <w:t>)</w:t>
      </w:r>
      <w:r w:rsidR="002722E4" w:rsidRPr="002722E4">
        <w:rPr>
          <w:rFonts w:cs="TimesNewRomanPSMT"/>
        </w:rPr>
        <w:t>.</w:t>
      </w:r>
      <w:r w:rsidR="00FF74DE">
        <w:rPr>
          <w:rFonts w:cs="TimesNewRomanPSMT"/>
          <w:b/>
        </w:rPr>
        <w:t xml:space="preserve"> </w:t>
      </w:r>
      <w:r w:rsidR="00FF74DE" w:rsidRPr="000714FD">
        <w:rPr>
          <w:rFonts w:cs="TimesNewRomanPSMT"/>
        </w:rPr>
        <w:t xml:space="preserve"> </w:t>
      </w:r>
      <w:r w:rsidR="000714FD" w:rsidRPr="000714FD">
        <w:rPr>
          <w:rFonts w:cs="TimesNewRomanPSMT"/>
        </w:rPr>
        <w:t>Inadvertently overstating the potential timber and carbon quantities could spell financial disaster for owners of small</w:t>
      </w:r>
      <w:r w:rsidR="000714FD">
        <w:rPr>
          <w:rFonts w:cs="TimesNewRomanPSMT"/>
        </w:rPr>
        <w:t>er</w:t>
      </w:r>
      <w:r w:rsidR="000714FD" w:rsidRPr="000714FD">
        <w:rPr>
          <w:rFonts w:cs="TimesNewRomanPSMT"/>
        </w:rPr>
        <w:t xml:space="preserve"> tracts that </w:t>
      </w:r>
      <w:r w:rsidR="00D72CC4">
        <w:rPr>
          <w:rFonts w:cs="TimesNewRomanPSMT"/>
        </w:rPr>
        <w:t>place</w:t>
      </w:r>
      <w:r w:rsidR="000714FD" w:rsidRPr="000714FD">
        <w:rPr>
          <w:rFonts w:cs="TimesNewRomanPSMT"/>
        </w:rPr>
        <w:t xml:space="preserve"> too much c</w:t>
      </w:r>
      <w:r w:rsidR="00D72CC4">
        <w:rPr>
          <w:rFonts w:cs="TimesNewRomanPSMT"/>
        </w:rPr>
        <w:t>redence</w:t>
      </w:r>
      <w:r w:rsidR="000714FD" w:rsidRPr="000714FD">
        <w:rPr>
          <w:rFonts w:cs="TimesNewRomanPSMT"/>
        </w:rPr>
        <w:t xml:space="preserve"> in analyses based on </w:t>
      </w:r>
      <w:r w:rsidR="001C0186">
        <w:rPr>
          <w:rFonts w:cs="TimesNewRomanPSMT"/>
        </w:rPr>
        <w:t>simulations</w:t>
      </w:r>
      <w:r w:rsidR="000714FD" w:rsidRPr="000714FD">
        <w:rPr>
          <w:rFonts w:cs="TimesNewRomanPSMT"/>
        </w:rPr>
        <w:t xml:space="preserve">. </w:t>
      </w:r>
      <w:r w:rsidR="00220610">
        <w:rPr>
          <w:rFonts w:cs="TimesNewRomanPSMT"/>
        </w:rPr>
        <w:t xml:space="preserve"> </w:t>
      </w:r>
      <w:r w:rsidR="000714FD" w:rsidRPr="000714FD">
        <w:rPr>
          <w:rFonts w:cs="TimesNewRomanPSMT"/>
        </w:rPr>
        <w:t xml:space="preserve">Prudence therefore dictates that </w:t>
      </w:r>
      <w:r w:rsidR="00D16B01">
        <w:rPr>
          <w:rFonts w:cs="TimesNewRomanPSMT"/>
        </w:rPr>
        <w:t>simulations</w:t>
      </w:r>
      <w:r w:rsidR="000714FD" w:rsidRPr="000714FD">
        <w:rPr>
          <w:rFonts w:cs="TimesNewRomanPSMT"/>
        </w:rPr>
        <w:t xml:space="preserve"> be </w:t>
      </w:r>
      <w:r w:rsidR="00E40E14">
        <w:rPr>
          <w:rFonts w:cs="TimesNewRomanPSMT"/>
        </w:rPr>
        <w:t>parameterized</w:t>
      </w:r>
      <w:r w:rsidR="000714FD" w:rsidRPr="000714FD">
        <w:rPr>
          <w:rFonts w:cs="TimesNewRomanPSMT"/>
        </w:rPr>
        <w:t xml:space="preserve"> with accurate and/or conservative </w:t>
      </w:r>
      <w:r w:rsidR="00D16B01">
        <w:rPr>
          <w:rFonts w:cs="TimesNewRomanPSMT"/>
        </w:rPr>
        <w:t xml:space="preserve">values and </w:t>
      </w:r>
      <w:r w:rsidR="00E40E14">
        <w:rPr>
          <w:rFonts w:cs="TimesNewRomanPSMT"/>
        </w:rPr>
        <w:t xml:space="preserve">assumptions </w:t>
      </w:r>
      <w:r w:rsidR="000714FD" w:rsidRPr="000714FD">
        <w:rPr>
          <w:rFonts w:cs="TimesNewRomanPSMT"/>
        </w:rPr>
        <w:t xml:space="preserve">due to </w:t>
      </w:r>
      <w:r w:rsidR="00E40E14">
        <w:rPr>
          <w:rFonts w:cs="TimesNewRomanPSMT"/>
        </w:rPr>
        <w:t>the acute sensitivity of eastern FVS-variants to density-</w:t>
      </w:r>
      <w:r w:rsidR="00D16B01">
        <w:rPr>
          <w:rFonts w:cs="TimesNewRomanPSMT"/>
        </w:rPr>
        <w:t>influencing</w:t>
      </w:r>
      <w:r w:rsidR="00E40E14">
        <w:rPr>
          <w:rFonts w:cs="TimesNewRomanPSMT"/>
        </w:rPr>
        <w:t xml:space="preserve"> </w:t>
      </w:r>
      <w:r w:rsidR="002722E4">
        <w:rPr>
          <w:rFonts w:cs="TimesNewRomanPSMT"/>
        </w:rPr>
        <w:t xml:space="preserve">adjustments </w:t>
      </w:r>
      <w:r w:rsidR="00780014">
        <w:rPr>
          <w:rFonts w:cs="TimesNewRomanPSMT"/>
        </w:rPr>
        <w:fldChar w:fldCharType="begin"/>
      </w:r>
      <w:r w:rsidR="00A87D07">
        <w:rPr>
          <w:rFonts w:cs="TimesNewRomanPSMT"/>
        </w:rPr>
        <w:instrText xml:space="preserve"> ADDIN EN.CITE &lt;EndNote&gt;&lt;Cite&gt;&lt;Author&gt;Nunery&lt;/Author&gt;&lt;Year&gt;2010&lt;/Year&gt;&lt;RecNum&gt;271&lt;/RecNum&gt;&lt;DisplayText&gt;(Nunery and Keeton 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sidR="00780014">
        <w:rPr>
          <w:rFonts w:cs="TimesNewRomanPSMT"/>
        </w:rPr>
        <w:fldChar w:fldCharType="separate"/>
      </w:r>
      <w:r w:rsidR="00A87D07">
        <w:rPr>
          <w:rFonts w:cs="TimesNewRomanPSMT"/>
          <w:noProof/>
        </w:rPr>
        <w:t>(</w:t>
      </w:r>
      <w:hyperlink w:anchor="_ENREF_107" w:tooltip="Nunery, 2010 #271" w:history="1">
        <w:r w:rsidR="001E4C88">
          <w:rPr>
            <w:rFonts w:cs="TimesNewRomanPSMT"/>
            <w:noProof/>
          </w:rPr>
          <w:t>Nunery and Keeton 2010</w:t>
        </w:r>
      </w:hyperlink>
      <w:r w:rsidR="00A87D07">
        <w:rPr>
          <w:rFonts w:cs="TimesNewRomanPSMT"/>
          <w:noProof/>
        </w:rPr>
        <w:t>)</w:t>
      </w:r>
      <w:r w:rsidR="00780014">
        <w:rPr>
          <w:rFonts w:cs="TimesNewRomanPSMT"/>
        </w:rPr>
        <w:fldChar w:fldCharType="end"/>
      </w:r>
      <w:r w:rsidR="00780014">
        <w:rPr>
          <w:rFonts w:cs="TimesNewRomanPSMT"/>
        </w:rPr>
        <w:t xml:space="preserve"> </w:t>
      </w:r>
      <w:r w:rsidR="00E40E14">
        <w:rPr>
          <w:rFonts w:cs="TimesNewRomanPSMT"/>
        </w:rPr>
        <w:t xml:space="preserve">and due to </w:t>
      </w:r>
      <w:r w:rsidR="000714FD" w:rsidRPr="000714FD">
        <w:rPr>
          <w:rFonts w:cs="TimesNewRomanPSMT"/>
        </w:rPr>
        <w:t>the significant investments that could be leveraged on favorable model results.</w:t>
      </w:r>
      <w:r w:rsidR="00220610">
        <w:rPr>
          <w:rFonts w:cs="TimesNewRomanPSMT"/>
        </w:rPr>
        <w:t xml:space="preserve"> </w:t>
      </w:r>
      <w:r w:rsidR="005D1BDE">
        <w:rPr>
          <w:rFonts w:cs="TimesNewRomanPSMT"/>
        </w:rPr>
        <w:t xml:space="preserve"> However, making simulations overly conservative at every step is also unwise.</w:t>
      </w:r>
    </w:p>
    <w:p w:rsidR="00EE0AFE" w:rsidRDefault="000714FD" w:rsidP="00D676BF">
      <w:pPr>
        <w:autoSpaceDE w:val="0"/>
        <w:autoSpaceDN w:val="0"/>
        <w:adjustRightInd w:val="0"/>
        <w:spacing w:line="480" w:lineRule="auto"/>
        <w:ind w:firstLine="720"/>
        <w:rPr>
          <w:rFonts w:cs="TimesNewRomanPSMT"/>
        </w:rPr>
      </w:pPr>
      <w:r w:rsidRPr="000714FD">
        <w:rPr>
          <w:rFonts w:cs="TimesNewRomanPSMT"/>
        </w:rPr>
        <w:t>FVS’s usefulness is more demonstra</w:t>
      </w:r>
      <w:r w:rsidR="00D72CC4">
        <w:rPr>
          <w:rFonts w:cs="TimesNewRomanPSMT"/>
        </w:rPr>
        <w:t>ble</w:t>
      </w:r>
      <w:r w:rsidRPr="000714FD">
        <w:rPr>
          <w:rFonts w:cs="TimesNewRomanPSMT"/>
        </w:rPr>
        <w:t xml:space="preserve"> in its suitability for performing sensitivity </w:t>
      </w:r>
      <w:r w:rsidR="00780014">
        <w:rPr>
          <w:rFonts w:cs="TimesNewRomanPSMT"/>
        </w:rPr>
        <w:t xml:space="preserve">or comparative </w:t>
      </w:r>
      <w:r w:rsidRPr="000714FD">
        <w:rPr>
          <w:rFonts w:cs="TimesNewRomanPSMT"/>
        </w:rPr>
        <w:t>analyses that reveal the relative effects tha</w:t>
      </w:r>
      <w:r w:rsidR="00CC5547">
        <w:rPr>
          <w:rFonts w:cs="TimesNewRomanPSMT"/>
        </w:rPr>
        <w:t>t various model parameters</w:t>
      </w:r>
      <w:r w:rsidR="00780014">
        <w:rPr>
          <w:rFonts w:cs="TimesNewRomanPSMT"/>
        </w:rPr>
        <w:t xml:space="preserve"> or scenarios</w:t>
      </w:r>
      <w:r w:rsidR="00CC5547">
        <w:rPr>
          <w:rFonts w:cs="TimesNewRomanPSMT"/>
        </w:rPr>
        <w:t xml:space="preserve"> </w:t>
      </w:r>
      <w:r w:rsidRPr="000714FD">
        <w:rPr>
          <w:rFonts w:cs="TimesNewRomanPSMT"/>
        </w:rPr>
        <w:t>have on stand conditions</w:t>
      </w:r>
      <w:r w:rsidR="00220610">
        <w:rPr>
          <w:rFonts w:cs="TimesNewRomanPSMT"/>
        </w:rPr>
        <w:t xml:space="preserve">; though, in large simulations such as this, </w:t>
      </w:r>
      <w:r w:rsidR="00F0254F">
        <w:rPr>
          <w:rFonts w:cs="TimesNewRomanPSMT"/>
        </w:rPr>
        <w:t>model parameters are too numerous</w:t>
      </w:r>
      <w:r w:rsidR="00CC5547">
        <w:rPr>
          <w:rFonts w:cs="TimesNewRomanPSMT"/>
        </w:rPr>
        <w:t xml:space="preserve"> for sensitivity </w:t>
      </w:r>
      <w:r w:rsidR="0009774C">
        <w:rPr>
          <w:rFonts w:cs="TimesNewRomanPSMT"/>
        </w:rPr>
        <w:t>analysis</w:t>
      </w:r>
      <w:r w:rsidR="00F0254F">
        <w:rPr>
          <w:rFonts w:cs="TimesNewRomanPSMT"/>
        </w:rPr>
        <w:t>.</w:t>
      </w:r>
      <w:r w:rsidR="00220610">
        <w:rPr>
          <w:rFonts w:cs="TimesNewRomanPSMT"/>
        </w:rPr>
        <w:t xml:space="preserve"> </w:t>
      </w:r>
      <w:r w:rsidR="00F0254F">
        <w:rPr>
          <w:rFonts w:cs="TimesNewRomanPSMT"/>
        </w:rPr>
        <w:t xml:space="preserve"> </w:t>
      </w:r>
      <w:r w:rsidR="00CC5547">
        <w:t>As such, t</w:t>
      </w:r>
      <w:r w:rsidR="00F0254F">
        <w:t>hose</w:t>
      </w:r>
      <w:r w:rsidR="00220610">
        <w:t xml:space="preserve"> embedded in th</w:t>
      </w:r>
      <w:r w:rsidR="00CC5547">
        <w:t>e</w:t>
      </w:r>
      <w:r w:rsidR="00F0254F">
        <w:t xml:space="preserve"> forest </w:t>
      </w:r>
      <w:r w:rsidR="00780014">
        <w:t xml:space="preserve">simulation </w:t>
      </w:r>
      <w:r w:rsidR="00F0254F">
        <w:t xml:space="preserve">model </w:t>
      </w:r>
      <w:r w:rsidR="00CC5547">
        <w:t xml:space="preserve">here </w:t>
      </w:r>
      <w:r w:rsidR="00220610">
        <w:t xml:space="preserve">represent best guesses informed from the forestry literature and </w:t>
      </w:r>
      <w:r w:rsidR="00F0254F">
        <w:t xml:space="preserve">trial and error; </w:t>
      </w:r>
      <w:r w:rsidR="00780014">
        <w:t>these</w:t>
      </w:r>
      <w:r w:rsidR="00F0254F">
        <w:t xml:space="preserve"> </w:t>
      </w:r>
      <w:r w:rsidR="00C65F19">
        <w:t>include</w:t>
      </w:r>
      <w:r w:rsidR="00E37CE4">
        <w:t xml:space="preserve"> </w:t>
      </w:r>
      <w:r w:rsidR="00220610">
        <w:t>natural regeneration</w:t>
      </w:r>
      <w:r w:rsidR="00C65F19">
        <w:t xml:space="preserve"> parameters</w:t>
      </w:r>
      <w:r w:rsidR="00220610">
        <w:t xml:space="preserve">, </w:t>
      </w:r>
      <w:r w:rsidR="00E37CE4">
        <w:t xml:space="preserve">adjusted </w:t>
      </w:r>
      <w:r w:rsidR="00C43207">
        <w:t>small-tree</w:t>
      </w:r>
      <w:r w:rsidR="00BA6D7C">
        <w:t xml:space="preserve"> height growth, </w:t>
      </w:r>
      <w:r w:rsidR="00E37CE4">
        <w:t xml:space="preserve">adjusted </w:t>
      </w:r>
      <w:r w:rsidR="00CC5547">
        <w:t>growth and survival responses to release</w:t>
      </w:r>
      <w:r w:rsidR="00AA540F">
        <w:t xml:space="preserve"> treatments</w:t>
      </w:r>
      <w:r w:rsidR="00CC5547">
        <w:t xml:space="preserve">, </w:t>
      </w:r>
      <w:r w:rsidR="00E37CE4">
        <w:t xml:space="preserve">simulated </w:t>
      </w:r>
      <w:r w:rsidR="00220610">
        <w:t>lo</w:t>
      </w:r>
      <w:r w:rsidR="00303F41">
        <w:t xml:space="preserve">gging damage to residual stems, </w:t>
      </w:r>
      <w:r w:rsidR="00220610">
        <w:t xml:space="preserve">and </w:t>
      </w:r>
      <w:r w:rsidR="00E37CE4">
        <w:t xml:space="preserve">adjusted </w:t>
      </w:r>
      <w:r w:rsidR="00220610">
        <w:t xml:space="preserve">stand density constraints.  Others were derived from onsite inventory data </w:t>
      </w:r>
      <w:r w:rsidR="00864F22">
        <w:t>or</w:t>
      </w:r>
      <w:r w:rsidR="00F72D8F">
        <w:t xml:space="preserve"> public soil records </w:t>
      </w:r>
      <w:r w:rsidR="00220610">
        <w:t xml:space="preserve">which include </w:t>
      </w:r>
      <w:r w:rsidR="00AA540F">
        <w:t xml:space="preserve">site index, </w:t>
      </w:r>
      <w:r w:rsidR="00C65F19">
        <w:t xml:space="preserve">percent </w:t>
      </w:r>
      <w:r w:rsidR="00CC5547" w:rsidRPr="00C723CA">
        <w:t>defect</w:t>
      </w:r>
      <w:r w:rsidR="00AA540F">
        <w:t>,</w:t>
      </w:r>
      <w:r w:rsidR="00CC5547" w:rsidRPr="00C723CA">
        <w:t xml:space="preserve"> </w:t>
      </w:r>
      <w:r w:rsidR="00220610" w:rsidRPr="00C723CA">
        <w:t>and</w:t>
      </w:r>
      <w:r w:rsidR="00C65F19">
        <w:t xml:space="preserve"> large tree diameter growth parameters</w:t>
      </w:r>
      <w:r w:rsidR="00220610" w:rsidRPr="00C723CA">
        <w:t>.</w:t>
      </w:r>
      <w:r w:rsidR="004F64C5" w:rsidRPr="004F64C5">
        <w:rPr>
          <w:rFonts w:cs="TimesNewRomanPSMT"/>
        </w:rPr>
        <w:t xml:space="preserve"> </w:t>
      </w:r>
      <w:r w:rsidR="004E746C">
        <w:rPr>
          <w:rFonts w:cs="TimesNewRomanPSMT"/>
        </w:rPr>
        <w:t xml:space="preserve"> For example, </w:t>
      </w:r>
      <w:r w:rsidR="004E746C" w:rsidRPr="009272B8">
        <w:rPr>
          <w:rFonts w:cs="TimesNewRomanPSMT"/>
        </w:rPr>
        <w:t xml:space="preserve">the precise diameter increments provided by the </w:t>
      </w:r>
      <w:r w:rsidR="004E746C">
        <w:rPr>
          <w:rFonts w:cs="TimesNewRomanPSMT"/>
        </w:rPr>
        <w:t>inventory</w:t>
      </w:r>
      <w:r w:rsidR="004E746C" w:rsidRPr="009272B8">
        <w:rPr>
          <w:rFonts w:cs="TimesNewRomanPSMT"/>
        </w:rPr>
        <w:t xml:space="preserve"> data </w:t>
      </w:r>
      <w:r w:rsidR="00780014">
        <w:rPr>
          <w:rFonts w:cs="TimesNewRomanPSMT"/>
        </w:rPr>
        <w:t xml:space="preserve">enabled the calibration </w:t>
      </w:r>
      <w:r w:rsidR="004E746C" w:rsidRPr="009272B8">
        <w:rPr>
          <w:rFonts w:cs="TimesNewRomanPSMT"/>
        </w:rPr>
        <w:t xml:space="preserve">of </w:t>
      </w:r>
      <w:r w:rsidR="00F72D8F">
        <w:rPr>
          <w:rFonts w:cs="TimesNewRomanPSMT"/>
        </w:rPr>
        <w:t>the large-</w:t>
      </w:r>
      <w:r w:rsidR="00780014">
        <w:rPr>
          <w:rFonts w:cs="TimesNewRomanPSMT"/>
        </w:rPr>
        <w:t>tree diameter increment model</w:t>
      </w:r>
      <w:r w:rsidR="004E746C" w:rsidRPr="009272B8">
        <w:rPr>
          <w:rFonts w:cs="TimesNewRomanPSMT"/>
        </w:rPr>
        <w:t>.</w:t>
      </w:r>
    </w:p>
    <w:p w:rsidR="009450A1" w:rsidRDefault="009450A1" w:rsidP="00D676BF">
      <w:pPr>
        <w:autoSpaceDE w:val="0"/>
        <w:autoSpaceDN w:val="0"/>
        <w:adjustRightInd w:val="0"/>
        <w:spacing w:line="480" w:lineRule="auto"/>
        <w:ind w:firstLine="720"/>
        <w:rPr>
          <w:rFonts w:cs="TimesNewRomanPSMT"/>
        </w:rPr>
      </w:pPr>
    </w:p>
    <w:p w:rsidR="004E746C" w:rsidRPr="002B58DD" w:rsidRDefault="004E746C" w:rsidP="00591524">
      <w:pPr>
        <w:numPr>
          <w:ilvl w:val="2"/>
          <w:numId w:val="16"/>
        </w:numPr>
        <w:spacing w:line="480" w:lineRule="auto"/>
        <w:rPr>
          <w:b/>
          <w:bCs/>
          <w:i/>
        </w:rPr>
      </w:pPr>
      <w:r w:rsidRPr="002B58DD">
        <w:rPr>
          <w:rFonts w:cs="TimesNewRomanPSMT"/>
          <w:b/>
          <w:bCs/>
          <w:i/>
        </w:rPr>
        <w:lastRenderedPageBreak/>
        <w:t xml:space="preserve">Study Area and Data </w:t>
      </w:r>
    </w:p>
    <w:p w:rsidR="00D27C65" w:rsidRDefault="00580591" w:rsidP="00D27C65">
      <w:pPr>
        <w:autoSpaceDE w:val="0"/>
        <w:autoSpaceDN w:val="0"/>
        <w:adjustRightInd w:val="0"/>
        <w:spacing w:after="0" w:line="480" w:lineRule="auto"/>
        <w:ind w:firstLine="720"/>
        <w:rPr>
          <w:rFonts w:asciiTheme="minorHAnsi" w:hAnsiTheme="minorHAnsi" w:cstheme="minorHAnsi"/>
        </w:rPr>
      </w:pPr>
      <w:r w:rsidRPr="00694DED">
        <w:rPr>
          <w:rFonts w:asciiTheme="minorHAnsi" w:hAnsiTheme="minorHAnsi" w:cstheme="minorHAnsi"/>
        </w:rPr>
        <w:t xml:space="preserve">The Tennessee Valley Authority instituted a Continuous Forest Inventory (CFI) program in the 1960s and 1970s consisting of over 9,000 </w:t>
      </w:r>
      <w:r w:rsidR="00DA2808" w:rsidRPr="00694DED">
        <w:rPr>
          <w:rFonts w:asciiTheme="minorHAnsi" w:hAnsiTheme="minorHAnsi" w:cstheme="minorHAnsi"/>
        </w:rPr>
        <w:t xml:space="preserve">permanent </w:t>
      </w:r>
      <w:r w:rsidR="00780014" w:rsidRPr="00694DED">
        <w:rPr>
          <w:rFonts w:asciiTheme="minorHAnsi" w:hAnsiTheme="minorHAnsi" w:cstheme="minorHAnsi"/>
        </w:rPr>
        <w:t xml:space="preserve">forest plots in Eastern TN </w:t>
      </w:r>
      <w:r w:rsidR="00780014" w:rsidRPr="00694DED">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&lt;EndNote&gt;&lt;Cite&gt;&lt;Author&gt;Batteson&lt;/Author&gt;&lt;Year&gt;1976&lt;/Year&gt;&lt;RecNum&gt;272&lt;/RecNum&gt;&lt;DisplayText&gt;(Batteson and Hitchcock 1976)&lt;/DisplayText&gt;&lt;record&gt;&lt;rec-number&gt;272&lt;/rec-number&gt;&lt;foreign-keys&gt;&lt;key app="EN" db-id="a90s5zadewrawxeer07v2f90xr5vxv022sat"&gt;272&lt;/key&gt;&lt;/foreign-keys&gt;&lt;ref-type name="Standard"&gt;58&lt;/ref-type&gt;&lt;contributors&gt;&lt;authors&gt;&lt;author&gt;Batteson, A.R&lt;/author&gt;&lt;author&gt;Hitchcock, H.C.&lt;/author&gt;&lt;/authors&gt;&lt;/contributors&gt;&lt;titles&gt;&lt;title&gt;Tennessee Valley Authority Continuous Forest Inventory Field Manual for County-Units in the Tennessee Valley. Division of Forestry, Fisheries, and Wildlife Development, TVA, Norris, TN. 77p.&lt;/title&gt;&lt;/titles&gt;&lt;dates&gt;&lt;year&gt;1976&lt;/year&gt;&lt;/dates&gt;&lt;urls&gt;&lt;/urls&gt;&lt;/record&gt;&lt;/Cite&gt;&lt;/EndNote&gt;</w:instrText>
      </w:r>
      <w:r w:rsidR="00780014" w:rsidRPr="00694DED">
        <w:rPr>
          <w:rFonts w:asciiTheme="minorHAnsi" w:hAnsiTheme="minorHAnsi" w:cstheme="minorHAnsi"/>
        </w:rPr>
        <w:fldChar w:fldCharType="separate"/>
      </w:r>
      <w:r w:rsidR="00A87D07">
        <w:rPr>
          <w:rFonts w:asciiTheme="minorHAnsi" w:hAnsiTheme="minorHAnsi" w:cstheme="minorHAnsi"/>
          <w:noProof/>
        </w:rPr>
        <w:t>(</w:t>
      </w:r>
      <w:hyperlink w:anchor="_ENREF_23" w:tooltip="Batteson, 1976 #272" w:history="1">
        <w:r w:rsidR="001E4C88">
          <w:rPr>
            <w:rFonts w:asciiTheme="minorHAnsi" w:hAnsiTheme="minorHAnsi" w:cstheme="minorHAnsi"/>
            <w:noProof/>
          </w:rPr>
          <w:t>Batteson and Hitchcock 1976</w:t>
        </w:r>
      </w:hyperlink>
      <w:r w:rsidR="00A87D07">
        <w:rPr>
          <w:rFonts w:asciiTheme="minorHAnsi" w:hAnsiTheme="minorHAnsi" w:cstheme="minorHAnsi"/>
          <w:noProof/>
        </w:rPr>
        <w:t>)</w:t>
      </w:r>
      <w:r w:rsidR="00780014" w:rsidRPr="00694DED">
        <w:rPr>
          <w:rFonts w:asciiTheme="minorHAnsi" w:hAnsiTheme="minorHAnsi" w:cstheme="minorHAnsi"/>
        </w:rPr>
        <w:fldChar w:fldCharType="end"/>
      </w:r>
      <w:r w:rsidRPr="00694DED">
        <w:rPr>
          <w:rFonts w:asciiTheme="minorHAnsi" w:hAnsiTheme="minorHAnsi" w:cstheme="minorHAnsi"/>
        </w:rPr>
        <w:t xml:space="preserve">, from which the inventory data used in this study originated.  The site </w:t>
      </w:r>
      <w:r w:rsidR="00D51819" w:rsidRPr="00694DED">
        <w:rPr>
          <w:rFonts w:asciiTheme="minorHAnsi" w:hAnsiTheme="minorHAnsi" w:cstheme="minorHAnsi"/>
        </w:rPr>
        <w:t>of</w:t>
      </w:r>
      <w:r w:rsidRPr="00694DED">
        <w:rPr>
          <w:rFonts w:asciiTheme="minorHAnsi" w:hAnsiTheme="minorHAnsi" w:cstheme="minorHAnsi"/>
        </w:rPr>
        <w:t xml:space="preserve"> the plots</w:t>
      </w:r>
      <w:r w:rsidR="00D51819" w:rsidRPr="00694DED">
        <w:rPr>
          <w:rFonts w:asciiTheme="minorHAnsi" w:hAnsiTheme="minorHAnsi" w:cstheme="minorHAnsi"/>
        </w:rPr>
        <w:t xml:space="preserve"> </w:t>
      </w:r>
      <w:r w:rsidR="00034853" w:rsidRPr="00694DED">
        <w:rPr>
          <w:rFonts w:asciiTheme="minorHAnsi" w:hAnsiTheme="minorHAnsi" w:cstheme="minorHAnsi"/>
        </w:rPr>
        <w:t xml:space="preserve">utilized </w:t>
      </w:r>
      <w:r w:rsidRPr="00694DED">
        <w:rPr>
          <w:rFonts w:asciiTheme="minorHAnsi" w:hAnsiTheme="minorHAnsi" w:cstheme="minorHAnsi"/>
        </w:rPr>
        <w:t>w</w:t>
      </w:r>
      <w:r w:rsidR="00D51819" w:rsidRPr="00694DED">
        <w:rPr>
          <w:rFonts w:asciiTheme="minorHAnsi" w:hAnsiTheme="minorHAnsi" w:cstheme="minorHAnsi"/>
        </w:rPr>
        <w:t>as located</w:t>
      </w:r>
      <w:r w:rsidR="00F012AA" w:rsidRPr="00694DED">
        <w:rPr>
          <w:rFonts w:asciiTheme="minorHAnsi" w:hAnsiTheme="minorHAnsi" w:cstheme="minorHAnsi"/>
        </w:rPr>
        <w:t xml:space="preserve"> </w:t>
      </w:r>
      <w:r w:rsidR="00034853" w:rsidRPr="00694DED">
        <w:rPr>
          <w:rFonts w:asciiTheme="minorHAnsi" w:hAnsiTheme="minorHAnsi" w:cstheme="minorHAnsi"/>
        </w:rPr>
        <w:t xml:space="preserve">in </w:t>
      </w:r>
      <w:r w:rsidR="00F216C6">
        <w:rPr>
          <w:rFonts w:asciiTheme="minorHAnsi" w:hAnsiTheme="minorHAnsi" w:cstheme="minorHAnsi"/>
        </w:rPr>
        <w:t xml:space="preserve">the </w:t>
      </w:r>
      <w:r w:rsidR="00F216C6" w:rsidRPr="00F216C6">
        <w:rPr>
          <w:rFonts w:asciiTheme="minorHAnsi" w:hAnsiTheme="minorHAnsi" w:cstheme="minorHAnsi"/>
        </w:rPr>
        <w:t>Wartburg  Basin</w:t>
      </w:r>
      <w:r w:rsidR="00F216C6" w:rsidRPr="00694DED">
        <w:rPr>
          <w:rFonts w:asciiTheme="minorHAnsi" w:hAnsiTheme="minorHAnsi" w:cstheme="minorHAnsi"/>
        </w:rPr>
        <w:t xml:space="preserve"> </w:t>
      </w:r>
      <w:r w:rsidR="00F216C6">
        <w:rPr>
          <w:rFonts w:asciiTheme="minorHAnsi" w:hAnsiTheme="minorHAnsi" w:cstheme="minorHAnsi"/>
        </w:rPr>
        <w:t>(</w:t>
      </w:r>
      <w:r w:rsidR="00034853" w:rsidRPr="00694DED">
        <w:rPr>
          <w:rFonts w:asciiTheme="minorHAnsi" w:hAnsiTheme="minorHAnsi" w:cstheme="minorHAnsi"/>
        </w:rPr>
        <w:t>Morgan County, TN</w:t>
      </w:r>
      <w:r w:rsidR="00F216C6">
        <w:rPr>
          <w:rFonts w:asciiTheme="minorHAnsi" w:hAnsiTheme="minorHAnsi" w:cstheme="minorHAnsi"/>
        </w:rPr>
        <w:t>)</w:t>
      </w:r>
      <w:r w:rsidR="00034853" w:rsidRPr="00694DED">
        <w:rPr>
          <w:rFonts w:asciiTheme="minorHAnsi" w:hAnsiTheme="minorHAnsi" w:cstheme="minorHAnsi"/>
        </w:rPr>
        <w:t xml:space="preserve"> </w:t>
      </w:r>
      <w:r w:rsidR="00F216C6">
        <w:rPr>
          <w:rFonts w:asciiTheme="minorHAnsi" w:hAnsiTheme="minorHAnsi" w:cstheme="minorHAnsi"/>
        </w:rPr>
        <w:t xml:space="preserve">at the southwestern edge of the </w:t>
      </w:r>
      <w:r w:rsidRPr="00694DED">
        <w:rPr>
          <w:rFonts w:asciiTheme="minorHAnsi" w:hAnsiTheme="minorHAnsi" w:cstheme="minorHAnsi"/>
        </w:rPr>
        <w:t>Cumberland Mountain</w:t>
      </w:r>
      <w:r w:rsidR="00F012AA" w:rsidRPr="00694DED">
        <w:rPr>
          <w:rFonts w:asciiTheme="minorHAnsi" w:hAnsiTheme="minorHAnsi" w:cstheme="minorHAnsi"/>
        </w:rPr>
        <w:t xml:space="preserve"> section </w:t>
      </w:r>
      <w:r w:rsidR="00B7228B" w:rsidRPr="00694DED">
        <w:rPr>
          <w:rFonts w:asciiTheme="minorHAnsi" w:hAnsiTheme="minorHAnsi" w:cstheme="minorHAnsi"/>
        </w:rPr>
        <w:t>of the Appalachian Plateau</w:t>
      </w:r>
      <w:r w:rsidR="00BE34F1" w:rsidRPr="00694DED">
        <w:rPr>
          <w:rFonts w:asciiTheme="minorHAnsi" w:hAnsiTheme="minorHAnsi" w:cstheme="minorHAnsi"/>
        </w:rPr>
        <w:t>s</w:t>
      </w:r>
      <w:r w:rsidR="00B7228B" w:rsidRPr="00694DED">
        <w:rPr>
          <w:rFonts w:asciiTheme="minorHAnsi" w:hAnsiTheme="minorHAnsi" w:cstheme="minorHAnsi"/>
        </w:rPr>
        <w:t xml:space="preserve"> physiographic province </w:t>
      </w:r>
      <w:r w:rsidR="00034853" w:rsidRPr="00694DED">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&lt;EndNote&gt;&lt;Cite&gt;&lt;Author&gt;Fenneman&lt;/Author&gt;&lt;Year&gt;1938&lt;/Year&gt;&lt;RecNum&gt;273&lt;/RecNum&gt;&lt;DisplayText&gt;(Fenneman 1938)&lt;/DisplayText&gt;&lt;record&gt;&lt;rec-number&gt;273&lt;/rec-number&gt;&lt;foreign-keys&gt;&lt;key app="EN" db-id="a90s5zadewrawxeer07v2f90xr5vxv022sat"&gt;273&lt;/key&gt;&lt;/foreign-keys&gt;&lt;ref-type name="Book"&gt;6&lt;/ref-type&gt;&lt;contributors&gt;&lt;authors&gt;&lt;author&gt;Fenneman, N. M.&lt;/author&gt;&lt;/authors&gt;&lt;/contributors&gt;&lt;titles&gt;&lt;title&gt;Physiography of eastern United States&lt;/title&gt;&lt;/titles&gt;&lt;dates&gt;&lt;year&gt;1938&lt;/year&gt;&lt;/dates&gt;&lt;pub-location&gt;NYC, NY&lt;/pub-location&gt;&lt;publisher&gt;McGraw-Hill Co.&lt;/publisher&gt;&lt;urls&gt;&lt;/urls&gt;&lt;/record&gt;&lt;/Cite&gt;&lt;/EndNote&gt;</w:instrText>
      </w:r>
      <w:r w:rsidR="00034853" w:rsidRPr="00694DED">
        <w:rPr>
          <w:rFonts w:asciiTheme="minorHAnsi" w:hAnsiTheme="minorHAnsi" w:cstheme="minorHAnsi"/>
        </w:rPr>
        <w:fldChar w:fldCharType="separate"/>
      </w:r>
      <w:r w:rsidR="00A87D07">
        <w:rPr>
          <w:rFonts w:asciiTheme="minorHAnsi" w:hAnsiTheme="minorHAnsi" w:cstheme="minorHAnsi"/>
          <w:noProof/>
        </w:rPr>
        <w:t>(</w:t>
      </w:r>
      <w:hyperlink w:anchor="_ENREF_53" w:tooltip="Fenneman, 1938 #273" w:history="1">
        <w:r w:rsidR="001E4C88">
          <w:rPr>
            <w:rFonts w:asciiTheme="minorHAnsi" w:hAnsiTheme="minorHAnsi" w:cstheme="minorHAnsi"/>
            <w:noProof/>
          </w:rPr>
          <w:t>Fenneman 1938</w:t>
        </w:r>
      </w:hyperlink>
      <w:r w:rsidR="00A87D07">
        <w:rPr>
          <w:rFonts w:asciiTheme="minorHAnsi" w:hAnsiTheme="minorHAnsi" w:cstheme="minorHAnsi"/>
          <w:noProof/>
        </w:rPr>
        <w:t>)</w:t>
      </w:r>
      <w:r w:rsidR="00034853" w:rsidRPr="00694DED">
        <w:rPr>
          <w:rFonts w:asciiTheme="minorHAnsi" w:hAnsiTheme="minorHAnsi" w:cstheme="minorHAnsi"/>
        </w:rPr>
        <w:fldChar w:fldCharType="end"/>
      </w:r>
      <w:r w:rsidR="00DE5CE2">
        <w:rPr>
          <w:rFonts w:asciiTheme="minorHAnsi" w:hAnsiTheme="minorHAnsi" w:cstheme="minorHAnsi"/>
        </w:rPr>
        <w:t>.  This region of Southern Appalachia</w:t>
      </w:r>
      <w:r w:rsidR="00A22BA3" w:rsidRPr="00694DED">
        <w:rPr>
          <w:rFonts w:asciiTheme="minorHAnsi" w:hAnsiTheme="minorHAnsi" w:cstheme="minorHAnsi"/>
        </w:rPr>
        <w:t xml:space="preserve"> </w:t>
      </w:r>
      <w:r w:rsidR="00541E12" w:rsidRPr="00694DED">
        <w:rPr>
          <w:rFonts w:asciiTheme="minorHAnsi" w:hAnsiTheme="minorHAnsi" w:cstheme="minorHAnsi"/>
        </w:rPr>
        <w:t xml:space="preserve">was </w:t>
      </w:r>
      <w:r w:rsidR="00832482" w:rsidRPr="00694DED">
        <w:rPr>
          <w:rFonts w:asciiTheme="minorHAnsi" w:hAnsiTheme="minorHAnsi" w:cstheme="minorHAnsi"/>
        </w:rPr>
        <w:t xml:space="preserve">once </w:t>
      </w:r>
      <w:r w:rsidR="00541E12" w:rsidRPr="00694DED">
        <w:rPr>
          <w:rFonts w:asciiTheme="minorHAnsi" w:hAnsiTheme="minorHAnsi" w:cstheme="minorHAnsi"/>
        </w:rPr>
        <w:t>the area that</w:t>
      </w:r>
      <w:r w:rsidR="00A22BA3" w:rsidRPr="00694DED">
        <w:rPr>
          <w:rFonts w:asciiTheme="minorHAnsi" w:hAnsiTheme="minorHAnsi" w:cstheme="minorHAnsi"/>
        </w:rPr>
        <w:t xml:space="preserve"> best</w:t>
      </w:r>
      <w:r w:rsidR="00F012AA" w:rsidRPr="00694DED">
        <w:rPr>
          <w:rFonts w:asciiTheme="minorHAnsi" w:hAnsiTheme="minorHAnsi" w:cstheme="minorHAnsi"/>
        </w:rPr>
        <w:t xml:space="preserve"> </w:t>
      </w:r>
      <w:r w:rsidR="00A22BA3" w:rsidRPr="00694DED">
        <w:rPr>
          <w:rFonts w:asciiTheme="minorHAnsi" w:hAnsiTheme="minorHAnsi" w:cstheme="minorHAnsi"/>
        </w:rPr>
        <w:t>exemplified</w:t>
      </w:r>
      <w:r w:rsidR="00832482">
        <w:rPr>
          <w:rFonts w:asciiTheme="minorHAnsi" w:hAnsiTheme="minorHAnsi" w:cstheme="minorHAnsi"/>
        </w:rPr>
        <w:t xml:space="preserve"> the forest type with the highest tree diversity in North America, the </w:t>
      </w:r>
      <w:r w:rsidR="00034853" w:rsidRPr="00694DED">
        <w:rPr>
          <w:rFonts w:asciiTheme="minorHAnsi" w:hAnsiTheme="minorHAnsi" w:cstheme="minorHAnsi"/>
        </w:rPr>
        <w:t>mixed mesophytic forest asso</w:t>
      </w:r>
      <w:r w:rsidR="00D078BD" w:rsidRPr="00694DED">
        <w:rPr>
          <w:rFonts w:asciiTheme="minorHAnsi" w:hAnsiTheme="minorHAnsi" w:cstheme="minorHAnsi"/>
        </w:rPr>
        <w:t xml:space="preserve">ciation </w:t>
      </w:r>
      <w:r w:rsidR="00034853" w:rsidRPr="00694DED">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&lt;EndNote&gt;&lt;Cite&gt;&lt;Author&gt;Braun&lt;/Author&gt;&lt;Year&gt;1942&lt;/Year&gt;&lt;RecNum&gt;70&lt;/RecNum&gt;&lt;DisplayText&gt;(Braun 1942)&lt;/DisplayText&gt;&lt;record&gt;&lt;rec-number&gt;70&lt;/rec-number&gt;&lt;foreign-keys&gt;&lt;key app="EN" db-id="a90s5zadewrawxeer07v2f90xr5vxv022sat"&gt;70&lt;/key&gt;&lt;/foreign-keys&gt;&lt;ref-type name="Journal Article"&gt;17&lt;/ref-type&gt;&lt;contributors&gt;&lt;authors&gt;&lt;author&gt;Braun, E. Lucy&lt;/author&gt;&lt;/authors&gt;&lt;/contributors&gt;&lt;titles&gt;&lt;title&gt;Forests of the Cumberland Mountains&lt;/title&gt;&lt;secondary-title&gt;Ecological Monographs&lt;/secondary-title&gt;&lt;/titles&gt;&lt;periodical&gt;&lt;full-title&gt;Ecological Monographs&lt;/full-title&gt;&lt;/periodical&gt;&lt;pages&gt;413-447&lt;/pages&gt;&lt;volume&gt;12&lt;/volume&gt;&lt;number&gt;4&lt;/number&gt;&lt;dates&gt;&lt;year&gt;1942&lt;/year&gt;&lt;/dates&gt;&lt;publisher&gt;Ecological Society of America&lt;/publisher&gt;&lt;isbn&gt;00129615&lt;/isbn&gt;&lt;urls&gt;&lt;related-urls&gt;&lt;url&gt;http://www.jstor.org/stable/1943039&lt;/url&gt;&lt;/related-urls&gt;&lt;/urls&gt;&lt;/record&gt;&lt;/Cite&gt;&lt;/EndNote&gt;</w:instrText>
      </w:r>
      <w:r w:rsidR="00034853" w:rsidRPr="00694DED">
        <w:rPr>
          <w:rFonts w:asciiTheme="minorHAnsi" w:hAnsiTheme="minorHAnsi" w:cstheme="minorHAnsi"/>
        </w:rPr>
        <w:fldChar w:fldCharType="separate"/>
      </w:r>
      <w:r w:rsidR="00A87D07">
        <w:rPr>
          <w:rFonts w:asciiTheme="minorHAnsi" w:hAnsiTheme="minorHAnsi" w:cstheme="minorHAnsi"/>
          <w:noProof/>
        </w:rPr>
        <w:t>(</w:t>
      </w:r>
      <w:hyperlink w:anchor="_ENREF_28" w:tooltip="Braun, 1942 #70" w:history="1">
        <w:r w:rsidR="001E4C88">
          <w:rPr>
            <w:rFonts w:asciiTheme="minorHAnsi" w:hAnsiTheme="minorHAnsi" w:cstheme="minorHAnsi"/>
            <w:noProof/>
          </w:rPr>
          <w:t>Braun 1942</w:t>
        </w:r>
      </w:hyperlink>
      <w:r w:rsidR="00A87D07">
        <w:rPr>
          <w:rFonts w:asciiTheme="minorHAnsi" w:hAnsiTheme="minorHAnsi" w:cstheme="minorHAnsi"/>
          <w:noProof/>
        </w:rPr>
        <w:t>)</w:t>
      </w:r>
      <w:r w:rsidR="00034853" w:rsidRPr="00694DED">
        <w:rPr>
          <w:rFonts w:asciiTheme="minorHAnsi" w:hAnsiTheme="minorHAnsi" w:cstheme="minorHAnsi"/>
        </w:rPr>
        <w:fldChar w:fldCharType="end"/>
      </w:r>
      <w:r w:rsidR="006A6E57" w:rsidRPr="00694DED">
        <w:rPr>
          <w:rFonts w:asciiTheme="minorHAnsi" w:hAnsiTheme="minorHAnsi" w:cstheme="minorHAnsi"/>
        </w:rPr>
        <w:t xml:space="preserve">.  </w:t>
      </w:r>
      <w:r w:rsidR="00AE6059" w:rsidRPr="00694DED">
        <w:rPr>
          <w:rFonts w:asciiTheme="minorHAnsi" w:hAnsiTheme="minorHAnsi" w:cstheme="minorHAnsi"/>
        </w:rPr>
        <w:t xml:space="preserve">These mountains have </w:t>
      </w:r>
      <w:r w:rsidR="00BF711D" w:rsidRPr="00694DED">
        <w:rPr>
          <w:rFonts w:asciiTheme="minorHAnsi" w:hAnsiTheme="minorHAnsi" w:cstheme="minorHAnsi"/>
        </w:rPr>
        <w:t xml:space="preserve">a humid </w:t>
      </w:r>
      <w:proofErr w:type="spellStart"/>
      <w:r w:rsidR="00BF711D" w:rsidRPr="00694DED">
        <w:rPr>
          <w:rFonts w:asciiTheme="minorHAnsi" w:hAnsiTheme="minorHAnsi" w:cstheme="minorHAnsi"/>
        </w:rPr>
        <w:t>mesothermal</w:t>
      </w:r>
      <w:proofErr w:type="spellEnd"/>
      <w:r w:rsidR="00BF711D" w:rsidRPr="00694DED">
        <w:rPr>
          <w:rFonts w:asciiTheme="minorHAnsi" w:hAnsiTheme="minorHAnsi" w:cstheme="minorHAnsi"/>
        </w:rPr>
        <w:t xml:space="preserve"> climate characterized by </w:t>
      </w:r>
      <w:r w:rsidR="00AE6059" w:rsidRPr="00694DED">
        <w:rPr>
          <w:rFonts w:asciiTheme="minorHAnsi" w:hAnsiTheme="minorHAnsi" w:cstheme="minorHAnsi"/>
        </w:rPr>
        <w:t xml:space="preserve">long, moderately hot summers and short, mild to moderately cold winters </w:t>
      </w:r>
      <w:r w:rsidR="00DE5CE2" w:rsidRPr="00694DED">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&lt;EndNote&gt;&lt;Cite&gt;&lt;Author&gt;Thornthwaite&lt;/Author&gt;&lt;Year&gt;1948&lt;/Year&gt;&lt;RecNum&gt;279&lt;/RecNum&gt;&lt;DisplayText&gt;(Thornthwaite 1948)&lt;/DisplayText&gt;&lt;record&gt;&lt;rec-number&gt;279&lt;/rec-number&gt;&lt;foreign-keys&gt;&lt;key app="EN" db-id="a90s5zadewrawxeer07v2f90xr5vxv022sat"&gt;279&lt;/key&gt;&lt;/foreign-keys&gt;&lt;ref-type name="Journal Article"&gt;17&lt;/ref-type&gt;&lt;contributors&gt;&lt;authors&gt;&lt;author&gt;Thornthwaite, C.W.&lt;/author&gt;&lt;/authors&gt;&lt;/contributors&gt;&lt;titles&gt;&lt;title&gt;An approach toward rational classification of climate&lt;/title&gt;&lt;secondary-title&gt;Geographical Review&lt;/secondary-title&gt;&lt;/titles&gt;&lt;periodical&gt;&lt;full-title&gt;Geographical Review&lt;/full-title&gt;&lt;/periodical&gt;&lt;pages&gt;55-94&lt;/pages&gt;&lt;volume&gt;38&lt;/volume&gt;&lt;dates&gt;&lt;year&gt;1948&lt;/year&gt;&lt;/dates&gt;&lt;urls&gt;&lt;/urls&gt;&lt;/record&gt;&lt;/Cite&gt;&lt;/EndNote&gt;</w:instrText>
      </w:r>
      <w:r w:rsidR="00DE5CE2" w:rsidRPr="00694DED">
        <w:rPr>
          <w:rFonts w:asciiTheme="minorHAnsi" w:hAnsiTheme="minorHAnsi" w:cstheme="minorHAnsi"/>
        </w:rPr>
        <w:fldChar w:fldCharType="separate"/>
      </w:r>
      <w:r w:rsidR="00A87D07">
        <w:rPr>
          <w:rFonts w:asciiTheme="minorHAnsi" w:hAnsiTheme="minorHAnsi" w:cstheme="minorHAnsi"/>
          <w:noProof/>
        </w:rPr>
        <w:t>(</w:t>
      </w:r>
      <w:hyperlink w:anchor="_ENREF_136" w:tooltip="Thornthwaite, 1948 #279" w:history="1">
        <w:r w:rsidR="001E4C88">
          <w:rPr>
            <w:rFonts w:asciiTheme="minorHAnsi" w:hAnsiTheme="minorHAnsi" w:cstheme="minorHAnsi"/>
            <w:noProof/>
          </w:rPr>
          <w:t>Thornthwaite 1948</w:t>
        </w:r>
      </w:hyperlink>
      <w:r w:rsidR="00A87D07">
        <w:rPr>
          <w:rFonts w:asciiTheme="minorHAnsi" w:hAnsiTheme="minorHAnsi" w:cstheme="minorHAnsi"/>
          <w:noProof/>
        </w:rPr>
        <w:t>)</w:t>
      </w:r>
      <w:r w:rsidR="00DE5CE2" w:rsidRPr="00694DED">
        <w:rPr>
          <w:rFonts w:asciiTheme="minorHAnsi" w:hAnsiTheme="minorHAnsi" w:cstheme="minorHAnsi"/>
        </w:rPr>
        <w:fldChar w:fldCharType="end"/>
      </w:r>
      <w:r w:rsidR="00DE5CE2">
        <w:rPr>
          <w:rFonts w:asciiTheme="minorHAnsi" w:hAnsiTheme="minorHAnsi" w:cstheme="minorHAnsi"/>
        </w:rPr>
        <w:t xml:space="preserve"> </w:t>
      </w:r>
      <w:r w:rsidR="00AE6059" w:rsidRPr="00694DED">
        <w:rPr>
          <w:rFonts w:asciiTheme="minorHAnsi" w:hAnsiTheme="minorHAnsi" w:cstheme="minorHAnsi"/>
        </w:rPr>
        <w:t xml:space="preserve">with </w:t>
      </w:r>
      <w:r w:rsidR="00856FBA">
        <w:rPr>
          <w:rFonts w:asciiTheme="minorHAnsi" w:hAnsiTheme="minorHAnsi" w:cstheme="minorHAnsi"/>
        </w:rPr>
        <w:t xml:space="preserve">usually </w:t>
      </w:r>
      <w:r w:rsidR="00253C3E">
        <w:rPr>
          <w:rFonts w:asciiTheme="minorHAnsi" w:hAnsiTheme="minorHAnsi" w:cstheme="minorHAnsi"/>
        </w:rPr>
        <w:t xml:space="preserve">50 percent of the </w:t>
      </w:r>
      <w:r w:rsidR="00593AC1">
        <w:rPr>
          <w:rFonts w:asciiTheme="minorHAnsi" w:hAnsiTheme="minorHAnsi" w:cstheme="minorHAnsi"/>
        </w:rPr>
        <w:t>annual average precipitation (55</w:t>
      </w:r>
      <w:r w:rsidR="00253C3E">
        <w:rPr>
          <w:rFonts w:asciiTheme="minorHAnsi" w:hAnsiTheme="minorHAnsi" w:cstheme="minorHAnsi"/>
        </w:rPr>
        <w:t xml:space="preserve"> inches) falling in April through September</w:t>
      </w:r>
      <w:r w:rsidR="00D319FC">
        <w:rPr>
          <w:rStyle w:val="FootnoteReference"/>
          <w:rFonts w:asciiTheme="minorHAnsi" w:hAnsiTheme="minorHAnsi"/>
        </w:rPr>
        <w:footnoteReference w:id="7"/>
      </w:r>
      <w:r w:rsidR="00D319FC">
        <w:rPr>
          <w:rFonts w:asciiTheme="minorHAnsi" w:hAnsiTheme="minorHAnsi" w:cstheme="minorHAnsi"/>
        </w:rPr>
        <w:t xml:space="preserve"> </w:t>
      </w:r>
      <w:r w:rsidR="00D319FC">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&lt;EndNote&gt;&lt;Cite&gt;&lt;Author&gt;Davis&lt;/Author&gt;&lt;Year&gt;2007&lt;/Year&gt;&lt;RecNum&gt;280&lt;/RecNum&gt;&lt;DisplayText&gt;(Davis and Yaeger 2007)&lt;/DisplayText&gt;&lt;record&gt;&lt;rec-number&gt;280&lt;/rec-number&gt;&lt;foreign-keys&gt;&lt;key app="EN" db-id="a90s5zadewrawxeer07v2f90xr5vxv022sat"&gt;280&lt;/key&gt;&lt;/foreign-keys&gt;&lt;ref-type name="Report"&gt;27&lt;/ref-type&gt;&lt;contributors&gt;&lt;authors&gt;&lt;author&gt;Harry C. Davis&lt;/author&gt;&lt;author&gt;Jennifer R. Yaeger&lt;/author&gt;&lt;/authors&gt;&lt;/contributors&gt;&lt;titles&gt;&lt;title&gt;Soil Survey of Morgan County, Tennessee. United States Department of Agriculture, Natural Resources Conservation Service&lt;/title&gt;&lt;/titles&gt;&lt;dates&gt;&lt;year&gt;2007&lt;/year&gt;&lt;/dates&gt;&lt;urls&gt;&lt;/urls&gt;&lt;/record&gt;&lt;/Cite&gt;&lt;/EndNote&gt;</w:instrText>
      </w:r>
      <w:r w:rsidR="00D319FC">
        <w:rPr>
          <w:rFonts w:asciiTheme="minorHAnsi" w:hAnsiTheme="minorHAnsi" w:cstheme="minorHAnsi"/>
        </w:rPr>
        <w:fldChar w:fldCharType="separate"/>
      </w:r>
      <w:r w:rsidR="00CE2DF2">
        <w:rPr>
          <w:rFonts w:asciiTheme="minorHAnsi" w:hAnsiTheme="minorHAnsi" w:cstheme="minorHAnsi"/>
          <w:noProof/>
        </w:rPr>
        <w:t>(</w:t>
      </w:r>
      <w:hyperlink w:anchor="_ENREF_44" w:tooltip="Davis, 2007 #280" w:history="1">
        <w:r w:rsidR="001E4C88">
          <w:rPr>
            <w:rFonts w:asciiTheme="minorHAnsi" w:hAnsiTheme="minorHAnsi" w:cstheme="minorHAnsi"/>
            <w:noProof/>
          </w:rPr>
          <w:t>Davis and Yaeger 2007</w:t>
        </w:r>
      </w:hyperlink>
      <w:r w:rsidR="00CE2DF2">
        <w:rPr>
          <w:rFonts w:asciiTheme="minorHAnsi" w:hAnsiTheme="minorHAnsi" w:cstheme="minorHAnsi"/>
          <w:noProof/>
        </w:rPr>
        <w:t>)</w:t>
      </w:r>
      <w:r w:rsidR="00D319FC">
        <w:rPr>
          <w:rFonts w:asciiTheme="minorHAnsi" w:hAnsiTheme="minorHAnsi" w:cstheme="minorHAnsi"/>
        </w:rPr>
        <w:fldChar w:fldCharType="end"/>
      </w:r>
      <w:r w:rsidR="00AE6059" w:rsidRPr="00694DED">
        <w:rPr>
          <w:rFonts w:asciiTheme="minorHAnsi" w:hAnsiTheme="minorHAnsi" w:cstheme="minorHAnsi"/>
        </w:rPr>
        <w:t>.</w:t>
      </w:r>
      <w:r w:rsidR="00D319FC">
        <w:rPr>
          <w:rFonts w:asciiTheme="minorHAnsi" w:hAnsiTheme="minorHAnsi" w:cstheme="minorHAnsi"/>
        </w:rPr>
        <w:t xml:space="preserve">  The </w:t>
      </w:r>
      <w:r w:rsidR="00593AC1">
        <w:rPr>
          <w:rFonts w:asciiTheme="minorHAnsi" w:hAnsiTheme="minorHAnsi" w:cstheme="minorHAnsi"/>
        </w:rPr>
        <w:t xml:space="preserve">mean temperature is 54°F and the </w:t>
      </w:r>
      <w:r w:rsidR="00D319FC">
        <w:rPr>
          <w:rFonts w:asciiTheme="minorHAnsi" w:hAnsiTheme="minorHAnsi" w:cstheme="minorHAnsi"/>
        </w:rPr>
        <w:t xml:space="preserve">frost-free growing season is 163 days long 50 </w:t>
      </w:r>
      <w:proofErr w:type="spellStart"/>
      <w:r w:rsidR="00D319FC">
        <w:rPr>
          <w:rFonts w:asciiTheme="minorHAnsi" w:hAnsiTheme="minorHAnsi" w:cstheme="minorHAnsi"/>
        </w:rPr>
        <w:t>percent</w:t>
      </w:r>
      <w:r w:rsidR="00D319FC">
        <w:rPr>
          <w:rFonts w:asciiTheme="minorHAnsi" w:hAnsiTheme="minorHAnsi"/>
          <w:vertAlign w:val="superscript"/>
        </w:rPr>
        <w:t>vii</w:t>
      </w:r>
      <w:proofErr w:type="spellEnd"/>
      <w:r w:rsidR="00D319FC">
        <w:rPr>
          <w:rFonts w:asciiTheme="minorHAnsi" w:hAnsiTheme="minorHAnsi" w:cstheme="minorHAnsi"/>
        </w:rPr>
        <w:t xml:space="preserve"> of the time.</w:t>
      </w:r>
      <w:r w:rsidR="00AE6059" w:rsidRPr="00694DED">
        <w:rPr>
          <w:rFonts w:asciiTheme="minorHAnsi" w:hAnsiTheme="minorHAnsi" w:cstheme="minorHAnsi"/>
        </w:rPr>
        <w:t xml:space="preserve"> </w:t>
      </w:r>
      <w:r w:rsidR="00694DED" w:rsidRPr="00694DED">
        <w:rPr>
          <w:rFonts w:asciiTheme="minorHAnsi" w:hAnsiTheme="minorHAnsi" w:cstheme="minorHAnsi"/>
        </w:rPr>
        <w:t xml:space="preserve"> </w:t>
      </w:r>
      <w:r w:rsidR="002B51B4" w:rsidRPr="002B51B4">
        <w:rPr>
          <w:rFonts w:asciiTheme="minorHAnsi" w:hAnsiTheme="minorHAnsi" w:cstheme="minorHAnsi"/>
        </w:rPr>
        <w:t xml:space="preserve">According to Smalley </w:t>
      </w:r>
      <w:r w:rsidR="002B51B4" w:rsidRPr="002B51B4">
        <w:rPr>
          <w:rFonts w:asciiTheme="minorHAnsi" w:hAnsiTheme="minorHAnsi" w:cstheme="minorHAnsi"/>
        </w:rPr>
        <w:fldChar w:fldCharType="begin"/>
      </w:r>
      <w:r w:rsidR="00A87D07">
        <w:rPr>
          <w:rFonts w:asciiTheme="minorHAnsi" w:hAnsiTheme="minorHAnsi" w:cstheme="minorHAnsi"/>
        </w:rPr>
        <w:instrText xml:space="preserve"> ADDIN EN.CITE &lt;EndNote&gt;&lt;Cite ExcludeAuth="1"&gt;&lt;Author&gt;Smalley&lt;/Author&gt;&lt;Year&gt;1984&lt;/Year&gt;&lt;RecNum&gt;277&lt;/RecNum&gt;&lt;DisplayText&gt;(1984)&lt;/DisplayText&gt;&lt;record&gt;&lt;rec-number&gt;277&lt;/rec-number&gt;&lt;foreign-keys&gt;&lt;key app="EN" db-id="a90s5zadewrawxeer07v2f90xr5vxv022sat"&gt;277&lt;/key&gt;&lt;/foreign-keys&gt;&lt;ref-type name="Report"&gt;27&lt;/ref-type&gt;&lt;contributors&gt;&lt;authors&gt;&lt;author&gt;Smalley, Glendon W.&lt;/author&gt;&lt;/authors&gt;&lt;/contributors&gt;&lt;titles&gt;&lt;title&gt;Classification and evaluation for forest sites in the Cumberland Mountains. Gen. Tech. Rep. SO-50. New Orleans, LA: U.S. Dept of Agriculture, Forest Service, Southern Forest Experiment Station. 89 p&lt;/title&gt;&lt;/titles&gt;&lt;dates&gt;&lt;year&gt;1984&lt;/year&gt;&lt;/dates&gt;&lt;urls&gt;&lt;/urls&gt;&lt;/record&gt;&lt;/Cite&gt;&lt;/EndNote&gt;</w:instrText>
      </w:r>
      <w:r w:rsidR="002B51B4" w:rsidRPr="002B51B4">
        <w:rPr>
          <w:rFonts w:asciiTheme="minorHAnsi" w:hAnsiTheme="minorHAnsi" w:cstheme="minorHAnsi"/>
        </w:rPr>
        <w:fldChar w:fldCharType="separate"/>
      </w:r>
      <w:r w:rsidR="00A87D07">
        <w:rPr>
          <w:rFonts w:asciiTheme="minorHAnsi" w:hAnsiTheme="minorHAnsi" w:cstheme="minorHAnsi"/>
          <w:noProof/>
        </w:rPr>
        <w:t>(</w:t>
      </w:r>
      <w:hyperlink w:anchor="_ENREF_123" w:tooltip="Smalley, 1984 #277" w:history="1">
        <w:r w:rsidR="001E4C88">
          <w:rPr>
            <w:rFonts w:asciiTheme="minorHAnsi" w:hAnsiTheme="minorHAnsi" w:cstheme="minorHAnsi"/>
            <w:noProof/>
          </w:rPr>
          <w:t>1984</w:t>
        </w:r>
      </w:hyperlink>
      <w:r w:rsidR="00A87D07">
        <w:rPr>
          <w:rFonts w:asciiTheme="minorHAnsi" w:hAnsiTheme="minorHAnsi" w:cstheme="minorHAnsi"/>
          <w:noProof/>
        </w:rPr>
        <w:t>)</w:t>
      </w:r>
      <w:r w:rsidR="002B51B4" w:rsidRPr="002B51B4">
        <w:rPr>
          <w:rFonts w:asciiTheme="minorHAnsi" w:hAnsiTheme="minorHAnsi" w:cstheme="minorHAnsi"/>
        </w:rPr>
        <w:fldChar w:fldCharType="end"/>
      </w:r>
      <w:r w:rsidR="002B51B4" w:rsidRPr="002B51B4">
        <w:rPr>
          <w:rFonts w:asciiTheme="minorHAnsi" w:hAnsiTheme="minorHAnsi" w:cstheme="minorHAnsi"/>
        </w:rPr>
        <w:t>, soils are representative of a portion of the Muskingum-Gilpin-Jefferson soil association and are</w:t>
      </w:r>
      <w:r w:rsidR="002B51B4">
        <w:rPr>
          <w:rFonts w:asciiTheme="minorHAnsi" w:hAnsiTheme="minorHAnsi" w:cstheme="minorHAnsi"/>
        </w:rPr>
        <w:t xml:space="preserve"> mostly pale,  loamy, </w:t>
      </w:r>
      <w:r w:rsidR="00D27C65" w:rsidRPr="00D27C65">
        <w:rPr>
          <w:rFonts w:asciiTheme="minorHAnsi" w:hAnsiTheme="minorHAnsi" w:cstheme="minorHAnsi"/>
        </w:rPr>
        <w:t>friable</w:t>
      </w:r>
      <w:r w:rsidR="002B51B4">
        <w:rPr>
          <w:rFonts w:asciiTheme="minorHAnsi" w:hAnsiTheme="minorHAnsi" w:cstheme="minorHAnsi"/>
        </w:rPr>
        <w:t>,</w:t>
      </w:r>
      <w:r w:rsidR="00D27C65" w:rsidRPr="00D27C65">
        <w:rPr>
          <w:rFonts w:asciiTheme="minorHAnsi" w:hAnsiTheme="minorHAnsi" w:cstheme="minorHAnsi"/>
        </w:rPr>
        <w:t xml:space="preserve"> </w:t>
      </w:r>
      <w:r w:rsidR="00535261">
        <w:rPr>
          <w:rFonts w:asciiTheme="minorHAnsi" w:hAnsiTheme="minorHAnsi" w:cstheme="minorHAnsi"/>
        </w:rPr>
        <w:t>acidic, well-drained,</w:t>
      </w:r>
      <w:r w:rsidR="00AA540F">
        <w:rPr>
          <w:rFonts w:asciiTheme="minorHAnsi" w:hAnsiTheme="minorHAnsi" w:cstheme="minorHAnsi"/>
        </w:rPr>
        <w:t xml:space="preserve"> and vary in content of sandstone</w:t>
      </w:r>
      <w:r w:rsidR="00D27C65" w:rsidRPr="00D27C65">
        <w:rPr>
          <w:rFonts w:asciiTheme="minorHAnsi" w:hAnsiTheme="minorHAnsi" w:cstheme="minorHAnsi"/>
        </w:rPr>
        <w:t xml:space="preserve"> and shale fragments</w:t>
      </w:r>
      <w:r w:rsidR="00D27C65">
        <w:rPr>
          <w:rFonts w:asciiTheme="minorHAnsi" w:hAnsiTheme="minorHAnsi" w:cstheme="minorHAnsi"/>
        </w:rPr>
        <w:t>.</w:t>
      </w:r>
      <w:r w:rsidR="008204F3">
        <w:rPr>
          <w:rFonts w:asciiTheme="minorHAnsi" w:hAnsiTheme="minorHAnsi" w:cstheme="minorHAnsi"/>
        </w:rPr>
        <w:t xml:space="preserve">  </w:t>
      </w:r>
      <w:r w:rsidR="00A5752F">
        <w:rPr>
          <w:rFonts w:asciiTheme="minorHAnsi" w:hAnsiTheme="minorHAnsi" w:cstheme="minorHAnsi"/>
        </w:rPr>
        <w:t>C</w:t>
      </w:r>
      <w:r w:rsidR="008204F3">
        <w:rPr>
          <w:rFonts w:asciiTheme="minorHAnsi" w:hAnsiTheme="minorHAnsi" w:cstheme="minorHAnsi"/>
        </w:rPr>
        <w:t xml:space="preserve">ontour surface-mining operations in the past </w:t>
      </w:r>
      <w:r w:rsidR="00A5752F">
        <w:rPr>
          <w:rFonts w:asciiTheme="minorHAnsi" w:hAnsiTheme="minorHAnsi" w:cstheme="minorHAnsi"/>
        </w:rPr>
        <w:t>established a relatively extensive road network through the Wartburg Basin</w:t>
      </w:r>
      <w:r w:rsidR="00FB5C1A">
        <w:rPr>
          <w:rFonts w:asciiTheme="minorHAnsi" w:hAnsiTheme="minorHAnsi" w:cstheme="minorHAnsi"/>
        </w:rPr>
        <w:t>’s</w:t>
      </w:r>
      <w:r w:rsidR="00A5752F">
        <w:rPr>
          <w:rFonts w:asciiTheme="minorHAnsi" w:hAnsiTheme="minorHAnsi" w:cstheme="minorHAnsi"/>
        </w:rPr>
        <w:t xml:space="preserve"> rugged mountains and </w:t>
      </w:r>
      <w:r w:rsidR="008204F3">
        <w:rPr>
          <w:rFonts w:asciiTheme="minorHAnsi" w:hAnsiTheme="minorHAnsi" w:cstheme="minorHAnsi"/>
        </w:rPr>
        <w:t xml:space="preserve">created a new </w:t>
      </w:r>
      <w:r w:rsidR="00693B36">
        <w:rPr>
          <w:rFonts w:asciiTheme="minorHAnsi" w:hAnsiTheme="minorHAnsi" w:cstheme="minorHAnsi"/>
        </w:rPr>
        <w:t xml:space="preserve">mining-spoil based </w:t>
      </w:r>
      <w:r w:rsidR="00A5752F">
        <w:rPr>
          <w:rFonts w:asciiTheme="minorHAnsi" w:hAnsiTheme="minorHAnsi" w:cstheme="minorHAnsi"/>
        </w:rPr>
        <w:t>soil type containing 35-80 percent rock and coal fragments</w:t>
      </w:r>
      <w:r w:rsidR="008204F3">
        <w:rPr>
          <w:rFonts w:asciiTheme="minorHAnsi" w:hAnsiTheme="minorHAnsi" w:cstheme="minorHAnsi"/>
        </w:rPr>
        <w:t>.</w:t>
      </w:r>
    </w:p>
    <w:p w:rsidR="00B80E79" w:rsidRPr="00F012AA" w:rsidRDefault="00D27C65" w:rsidP="00D27C65">
      <w:pPr>
        <w:autoSpaceDE w:val="0"/>
        <w:autoSpaceDN w:val="0"/>
        <w:adjustRightInd w:val="0"/>
        <w:spacing w:after="0" w:line="480" w:lineRule="auto"/>
        <w:ind w:firstLine="720"/>
      </w:pPr>
      <w:r w:rsidRPr="00D27C65">
        <w:rPr>
          <w:rFonts w:asciiTheme="minorHAnsi" w:hAnsiTheme="minorHAnsi" w:cstheme="minorHAnsi"/>
        </w:rPr>
        <w:t xml:space="preserve"> </w:t>
      </w:r>
      <w:r w:rsidR="00580591" w:rsidRPr="00694DED">
        <w:rPr>
          <w:rFonts w:asciiTheme="minorHAnsi" w:hAnsiTheme="minorHAnsi" w:cstheme="minorHAnsi"/>
        </w:rPr>
        <w:t xml:space="preserve">The land was held by the Emory River Land Company during the </w:t>
      </w:r>
      <w:r w:rsidR="00C65F19" w:rsidRPr="00694DED">
        <w:rPr>
          <w:rFonts w:asciiTheme="minorHAnsi" w:hAnsiTheme="minorHAnsi" w:cstheme="minorHAnsi"/>
        </w:rPr>
        <w:t xml:space="preserve">time CFI plots were </w:t>
      </w:r>
      <w:proofErr w:type="gramStart"/>
      <w:r w:rsidR="00C65F19" w:rsidRPr="00694DED">
        <w:rPr>
          <w:rFonts w:asciiTheme="minorHAnsi" w:hAnsiTheme="minorHAnsi" w:cstheme="minorHAnsi"/>
        </w:rPr>
        <w:t>created/</w:t>
      </w:r>
      <w:r w:rsidR="00580591" w:rsidRPr="00694DED">
        <w:rPr>
          <w:rFonts w:asciiTheme="minorHAnsi" w:hAnsiTheme="minorHAnsi" w:cstheme="minorHAnsi"/>
        </w:rPr>
        <w:t>revisited</w:t>
      </w:r>
      <w:proofErr w:type="gramEnd"/>
      <w:r w:rsidR="00580591" w:rsidRPr="00694DED">
        <w:rPr>
          <w:rFonts w:asciiTheme="minorHAnsi" w:hAnsiTheme="minorHAnsi" w:cstheme="minorHAnsi"/>
        </w:rPr>
        <w:t xml:space="preserve"> and was later sold to The Forestland Group, LLC.  The data used in this analysis originated from 1994 CFI field sampling sheets supplied by The Forestland Group, on which plot condition and sampling data from the previous 1984 sampling were printed (see </w:t>
      </w:r>
      <w:r w:rsidR="006A6E57" w:rsidRPr="00694DED">
        <w:rPr>
          <w:rFonts w:asciiTheme="minorHAnsi" w:hAnsiTheme="minorHAnsi" w:cstheme="minorHAnsi"/>
        </w:rPr>
        <w:t xml:space="preserve">field sheet copy </w:t>
      </w:r>
      <w:r w:rsidR="006A6E57" w:rsidRPr="00CE75BF">
        <w:rPr>
          <w:rFonts w:asciiTheme="minorHAnsi" w:hAnsiTheme="minorHAnsi" w:cstheme="minorHAnsi"/>
        </w:rPr>
        <w:t xml:space="preserve">in </w:t>
      </w:r>
      <w:r w:rsidR="00230ADF" w:rsidRPr="00CE75BF">
        <w:rPr>
          <w:rFonts w:asciiTheme="minorHAnsi" w:hAnsiTheme="minorHAnsi" w:cstheme="minorHAnsi"/>
        </w:rPr>
        <w:t>a</w:t>
      </w:r>
      <w:r w:rsidR="00580591" w:rsidRPr="00CE75BF">
        <w:rPr>
          <w:rFonts w:asciiTheme="minorHAnsi" w:hAnsiTheme="minorHAnsi" w:cstheme="minorHAnsi"/>
        </w:rPr>
        <w:t>ppendix</w:t>
      </w:r>
      <w:r w:rsidR="004E746C" w:rsidRPr="00CE75BF">
        <w:rPr>
          <w:rFonts w:asciiTheme="minorHAnsi" w:hAnsiTheme="minorHAnsi" w:cstheme="minorHAnsi"/>
        </w:rPr>
        <w:t xml:space="preserve"> </w:t>
      </w:r>
      <w:r w:rsidR="00CE75BF" w:rsidRPr="00CE75BF">
        <w:rPr>
          <w:rFonts w:asciiTheme="minorHAnsi" w:hAnsiTheme="minorHAnsi" w:cstheme="minorHAnsi"/>
        </w:rPr>
        <w:t>A</w:t>
      </w:r>
      <w:r w:rsidR="00580591" w:rsidRPr="00CE75BF">
        <w:rPr>
          <w:rFonts w:asciiTheme="minorHAnsi" w:hAnsiTheme="minorHAnsi" w:cstheme="minorHAnsi"/>
        </w:rPr>
        <w:t>)</w:t>
      </w:r>
      <w:r w:rsidR="00123B08" w:rsidRPr="00CE75BF">
        <w:rPr>
          <w:rFonts w:asciiTheme="minorHAnsi" w:hAnsiTheme="minorHAnsi" w:cstheme="minorHAnsi"/>
        </w:rPr>
        <w:t>;</w:t>
      </w:r>
      <w:r w:rsidR="00123B08" w:rsidRPr="00694DED">
        <w:rPr>
          <w:rFonts w:asciiTheme="minorHAnsi" w:hAnsiTheme="minorHAnsi" w:cstheme="minorHAnsi"/>
        </w:rPr>
        <w:t xml:space="preserve"> plots from one of </w:t>
      </w:r>
      <w:r w:rsidR="00CC703D">
        <w:rPr>
          <w:rFonts w:asciiTheme="minorHAnsi" w:hAnsiTheme="minorHAnsi" w:cstheme="minorHAnsi"/>
        </w:rPr>
        <w:t>many</w:t>
      </w:r>
      <w:r w:rsidR="00123B08" w:rsidRPr="00694DED">
        <w:rPr>
          <w:rFonts w:asciiTheme="minorHAnsi" w:hAnsiTheme="minorHAnsi" w:cstheme="minorHAnsi"/>
        </w:rPr>
        <w:t xml:space="preserve"> compartments were </w:t>
      </w:r>
      <w:r w:rsidR="00CC703D">
        <w:rPr>
          <w:rFonts w:asciiTheme="minorHAnsi" w:hAnsiTheme="minorHAnsi" w:cstheme="minorHAnsi"/>
        </w:rPr>
        <w:t xml:space="preserve">initially </w:t>
      </w:r>
      <w:r w:rsidR="00123B08" w:rsidRPr="00694DED">
        <w:rPr>
          <w:rFonts w:asciiTheme="minorHAnsi" w:hAnsiTheme="minorHAnsi" w:cstheme="minorHAnsi"/>
        </w:rPr>
        <w:t>selected for modeling</w:t>
      </w:r>
      <w:r w:rsidR="00580591" w:rsidRPr="00694DED">
        <w:rPr>
          <w:rFonts w:asciiTheme="minorHAnsi" w:hAnsiTheme="minorHAnsi" w:cstheme="minorHAnsi"/>
        </w:rPr>
        <w:t xml:space="preserve">.  </w:t>
      </w:r>
      <w:r w:rsidR="00B80E79" w:rsidRPr="00694DED">
        <w:rPr>
          <w:rFonts w:asciiTheme="minorHAnsi" w:hAnsiTheme="minorHAnsi" w:cstheme="minorHAnsi"/>
        </w:rPr>
        <w:t xml:space="preserve">The </w:t>
      </w:r>
      <w:r w:rsidR="00DD5A07" w:rsidRPr="00694DED">
        <w:rPr>
          <w:rFonts w:asciiTheme="minorHAnsi" w:hAnsiTheme="minorHAnsi" w:cstheme="minorHAnsi"/>
        </w:rPr>
        <w:t>1984</w:t>
      </w:r>
      <w:r w:rsidR="00B80E79" w:rsidRPr="00694DED">
        <w:rPr>
          <w:rFonts w:asciiTheme="minorHAnsi" w:hAnsiTheme="minorHAnsi" w:cstheme="minorHAnsi"/>
        </w:rPr>
        <w:t xml:space="preserve"> data w</w:t>
      </w:r>
      <w:r w:rsidR="00DD5A07">
        <w:rPr>
          <w:rFonts w:asciiTheme="minorHAnsi" w:hAnsiTheme="minorHAnsi" w:cstheme="minorHAnsi"/>
        </w:rPr>
        <w:t>ere</w:t>
      </w:r>
      <w:r w:rsidR="00B80E79" w:rsidRPr="00694DED">
        <w:rPr>
          <w:rFonts w:asciiTheme="minorHAnsi" w:hAnsiTheme="minorHAnsi" w:cstheme="minorHAnsi"/>
        </w:rPr>
        <w:t xml:space="preserve"> lost for one CFI plot</w:t>
      </w:r>
      <w:r w:rsidR="00B80E79">
        <w:rPr>
          <w:rFonts w:cs="TimesNewRomanPSMT"/>
        </w:rPr>
        <w:t xml:space="preserve"> </w:t>
      </w:r>
      <w:r w:rsidR="00230ADF">
        <w:rPr>
          <w:rFonts w:cs="TimesNewRomanPSMT"/>
        </w:rPr>
        <w:t xml:space="preserve">on a mining-spoil site, </w:t>
      </w:r>
      <w:r w:rsidR="00B80E79">
        <w:rPr>
          <w:rFonts w:cs="TimesNewRomanPSMT"/>
        </w:rPr>
        <w:t xml:space="preserve">leaving </w:t>
      </w:r>
      <w:r w:rsidR="00DD5A07">
        <w:rPr>
          <w:rFonts w:cs="TimesNewRomanPSMT"/>
        </w:rPr>
        <w:t>11</w:t>
      </w:r>
      <w:r w:rsidR="00B80E79">
        <w:rPr>
          <w:rFonts w:cs="TimesNewRomanPSMT"/>
        </w:rPr>
        <w:t xml:space="preserve"> plots.  </w:t>
      </w:r>
      <w:r w:rsidR="006B462E">
        <w:rPr>
          <w:rFonts w:cs="TimesNewRomanPSMT"/>
        </w:rPr>
        <w:lastRenderedPageBreak/>
        <w:t>T</w:t>
      </w:r>
      <w:r w:rsidR="00B80E79">
        <w:rPr>
          <w:rFonts w:cs="TimesNewRomanPSMT"/>
        </w:rPr>
        <w:t>wo nearly monotonic Yellow poplar dominated plots were paired to represent one stand in FVS</w:t>
      </w:r>
      <w:r w:rsidR="006B462E">
        <w:rPr>
          <w:rFonts w:cs="TimesNewRomanPSMT"/>
        </w:rPr>
        <w:t xml:space="preserve"> since</w:t>
      </w:r>
      <w:r w:rsidR="00B80E79">
        <w:rPr>
          <w:rFonts w:cs="TimesNewRomanPSMT"/>
        </w:rPr>
        <w:t xml:space="preserve"> they also shared similar stand structure and carbon stocks.  Likewise, the remaining CFI plots were modeled as individual stands whose </w:t>
      </w:r>
      <w:r w:rsidR="00DD5A07">
        <w:rPr>
          <w:rFonts w:cs="TimesNewRomanPSMT"/>
        </w:rPr>
        <w:t>tree lists</w:t>
      </w:r>
      <w:r w:rsidR="00B80E79">
        <w:rPr>
          <w:rFonts w:cs="TimesNewRomanPSMT"/>
        </w:rPr>
        <w:t xml:space="preserve"> were similarly paired with plots from other compartments that were the closest matches</w:t>
      </w:r>
      <w:r w:rsidR="00A42F7C">
        <w:rPr>
          <w:rFonts w:cs="TimesNewRomanPSMT"/>
        </w:rPr>
        <w:t xml:space="preserve"> </w:t>
      </w:r>
      <w:r w:rsidR="007A29DD">
        <w:rPr>
          <w:rFonts w:cs="TimesNewRomanPSMT"/>
        </w:rPr>
        <w:t>(</w:t>
      </w:r>
      <w:r w:rsidR="00A42F7C">
        <w:rPr>
          <w:rFonts w:cs="TimesNewRomanPSMT"/>
        </w:rPr>
        <w:t xml:space="preserve">in the </w:t>
      </w:r>
      <w:r w:rsidR="007716C6">
        <w:rPr>
          <w:rFonts w:cs="TimesNewRomanPSMT"/>
        </w:rPr>
        <w:t>1994</w:t>
      </w:r>
      <w:r w:rsidR="00A42F7C">
        <w:rPr>
          <w:rFonts w:cs="TimesNewRomanPSMT"/>
        </w:rPr>
        <w:t xml:space="preserve"> inventory</w:t>
      </w:r>
      <w:r w:rsidR="007A29DD">
        <w:rPr>
          <w:rFonts w:cs="TimesNewRomanPSMT"/>
        </w:rPr>
        <w:t>)</w:t>
      </w:r>
      <w:r w:rsidR="00B80E79">
        <w:rPr>
          <w:rFonts w:cs="TimesNewRomanPSMT"/>
        </w:rPr>
        <w:t xml:space="preserve">; </w:t>
      </w:r>
      <w:r w:rsidR="00B80E79" w:rsidRPr="00E76721">
        <w:rPr>
          <w:rFonts w:cs="TimesNewRomanPSMT"/>
        </w:rPr>
        <w:t>the intention was to inject variation into each simulated stand.  Such variability is carried throughout the simulations as each treatment instigates differential responses from the two conditions for each stand similar to what would be observed in real forests.</w:t>
      </w:r>
    </w:p>
    <w:p w:rsidR="00A42F7C" w:rsidRDefault="00580591" w:rsidP="00694DED">
      <w:pPr>
        <w:spacing w:line="480" w:lineRule="auto"/>
        <w:ind w:firstLine="720"/>
      </w:pPr>
      <w:r w:rsidRPr="000612D2">
        <w:rPr>
          <w:rFonts w:cs="TimesNewRomanPSMT"/>
        </w:rPr>
        <w:t xml:space="preserve">CFI plots spanned </w:t>
      </w:r>
      <w:r>
        <w:rPr>
          <w:rFonts w:cs="TimesNewRomanPSMT"/>
        </w:rPr>
        <w:t>13</w:t>
      </w:r>
      <w:r w:rsidRPr="000612D2">
        <w:rPr>
          <w:rFonts w:cs="TimesNewRomanPSMT"/>
        </w:rPr>
        <w:t xml:space="preserve"> compartments but those from </w:t>
      </w:r>
      <w:r w:rsidR="006B462E">
        <w:rPr>
          <w:rFonts w:cs="TimesNewRomanPSMT"/>
        </w:rPr>
        <w:t>one compartment</w:t>
      </w:r>
      <w:r w:rsidRPr="000612D2">
        <w:rPr>
          <w:rFonts w:cs="TimesNewRomanPSMT"/>
        </w:rPr>
        <w:t xml:space="preserve"> were originally chosen for analysis because </w:t>
      </w:r>
      <w:r w:rsidR="00C723CA">
        <w:rPr>
          <w:rFonts w:cs="TimesNewRomanPSMT"/>
        </w:rPr>
        <w:t xml:space="preserve">it </w:t>
      </w:r>
      <w:r w:rsidR="00DD5A07">
        <w:rPr>
          <w:rFonts w:cs="TimesNewRomanPSMT"/>
        </w:rPr>
        <w:t>had been</w:t>
      </w:r>
      <w:r w:rsidR="00C723CA">
        <w:rPr>
          <w:rFonts w:cs="TimesNewRomanPSMT"/>
        </w:rPr>
        <w:t xml:space="preserve"> sampled</w:t>
      </w:r>
      <w:r w:rsidRPr="000612D2">
        <w:rPr>
          <w:rFonts w:cs="TimesNewRomanPSMT"/>
        </w:rPr>
        <w:t xml:space="preserve"> </w:t>
      </w:r>
      <w:r w:rsidR="00DA2808">
        <w:rPr>
          <w:rFonts w:cs="TimesNewRomanPSMT"/>
        </w:rPr>
        <w:t xml:space="preserve">(including regeneration) </w:t>
      </w:r>
      <w:r w:rsidR="00C723CA" w:rsidRPr="00F214C9">
        <w:rPr>
          <w:rFonts w:cs="TimesNewRomanPSMT"/>
        </w:rPr>
        <w:t xml:space="preserve">to a high degree of precision </w:t>
      </w:r>
      <w:r w:rsidR="00C723CA">
        <w:rPr>
          <w:rFonts w:cs="TimesNewRomanPSMT"/>
        </w:rPr>
        <w:t>and accuracy</w:t>
      </w:r>
      <w:r w:rsidR="00C723CA" w:rsidRPr="000612D2">
        <w:rPr>
          <w:rFonts w:cs="TimesNewRomanPSMT"/>
        </w:rPr>
        <w:t xml:space="preserve"> </w:t>
      </w:r>
      <w:r w:rsidRPr="000612D2">
        <w:rPr>
          <w:rFonts w:cs="TimesNewRomanPSMT"/>
        </w:rPr>
        <w:t xml:space="preserve">nine years after </w:t>
      </w:r>
      <w:r w:rsidR="00856FBA">
        <w:rPr>
          <w:rFonts w:cs="TimesNewRomanPSMT"/>
        </w:rPr>
        <w:t xml:space="preserve">the </w:t>
      </w:r>
      <w:r w:rsidRPr="00F214C9">
        <w:rPr>
          <w:rFonts w:cs="TimesNewRomanPSMT"/>
        </w:rPr>
        <w:t xml:space="preserve">CFI sampling </w:t>
      </w:r>
      <w:r>
        <w:rPr>
          <w:rFonts w:cs="TimesNewRomanPSMT"/>
        </w:rPr>
        <w:t>in 1994</w:t>
      </w:r>
      <w:r w:rsidR="00B80E79">
        <w:rPr>
          <w:rFonts w:cs="TimesNewRomanPSMT"/>
        </w:rPr>
        <w:t xml:space="preserve">.  </w:t>
      </w:r>
      <w:r w:rsidRPr="00F214C9">
        <w:rPr>
          <w:rFonts w:cs="TimesNewRomanPSMT"/>
        </w:rPr>
        <w:t>The database of this 2003 i</w:t>
      </w:r>
      <w:r w:rsidR="00C723CA">
        <w:rPr>
          <w:rFonts w:cs="TimesNewRomanPSMT"/>
        </w:rPr>
        <w:t xml:space="preserve">nventory was used for </w:t>
      </w:r>
      <w:r w:rsidRPr="00F214C9">
        <w:rPr>
          <w:rFonts w:cs="TimesNewRomanPSMT"/>
        </w:rPr>
        <w:t xml:space="preserve">its </w:t>
      </w:r>
      <w:r>
        <w:rPr>
          <w:rFonts w:cs="TimesNewRomanPSMT"/>
        </w:rPr>
        <w:t>seedling and sapling</w:t>
      </w:r>
      <w:r w:rsidRPr="00F214C9">
        <w:rPr>
          <w:rFonts w:cs="TimesNewRomanPSMT"/>
        </w:rPr>
        <w:t xml:space="preserve"> data </w:t>
      </w:r>
      <w:r>
        <w:t xml:space="preserve">because the SN-variant is not yet capable of predicting a seedling and sapling sample from a large tree plot tree list, as is the case in </w:t>
      </w:r>
      <w:r w:rsidR="006B462E">
        <w:t>some</w:t>
      </w:r>
      <w:r w:rsidR="00B80E79">
        <w:t xml:space="preserve"> </w:t>
      </w:r>
      <w:r w:rsidR="00C65F19">
        <w:t xml:space="preserve">western </w:t>
      </w:r>
      <w:r w:rsidR="00B80E79">
        <w:t>FVS</w:t>
      </w:r>
      <w:r w:rsidR="00015329">
        <w:t xml:space="preserve"> </w:t>
      </w:r>
      <w:r>
        <w:t>variants.</w:t>
      </w:r>
      <w:r>
        <w:rPr>
          <w:rFonts w:cs="TimesNewRomanPSMT"/>
        </w:rPr>
        <w:t xml:space="preserve">  </w:t>
      </w:r>
      <w:r w:rsidRPr="00F214C9">
        <w:rPr>
          <w:rFonts w:cs="TimesNewRomanPSMT"/>
        </w:rPr>
        <w:t xml:space="preserve">While the CFI plots were used in the </w:t>
      </w:r>
      <w:r>
        <w:rPr>
          <w:rFonts w:cs="TimesNewRomanPSMT"/>
        </w:rPr>
        <w:t>2003 sampling</w:t>
      </w:r>
      <w:r w:rsidRPr="00F214C9">
        <w:rPr>
          <w:rFonts w:cs="TimesNewRomanPSMT"/>
        </w:rPr>
        <w:t xml:space="preserve"> design calculations, they were not sought out </w:t>
      </w:r>
      <w:r>
        <w:rPr>
          <w:rFonts w:cs="TimesNewRomanPSMT"/>
        </w:rPr>
        <w:t xml:space="preserve">for </w:t>
      </w:r>
      <w:r w:rsidR="00DA2808">
        <w:rPr>
          <w:rFonts w:cs="TimesNewRomanPSMT"/>
        </w:rPr>
        <w:t>re-measurement</w:t>
      </w:r>
      <w:r>
        <w:rPr>
          <w:rFonts w:cs="TimesNewRomanPSMT"/>
        </w:rPr>
        <w:t xml:space="preserve"> since</w:t>
      </w:r>
      <w:r w:rsidRPr="00F214C9">
        <w:rPr>
          <w:rFonts w:cs="TimesNewRomanPSMT"/>
        </w:rPr>
        <w:t xml:space="preserve"> the new survey </w:t>
      </w:r>
      <w:r w:rsidR="00B80E79">
        <w:rPr>
          <w:rFonts w:cs="TimesNewRomanPSMT"/>
        </w:rPr>
        <w:t xml:space="preserve">instituted </w:t>
      </w:r>
      <w:r w:rsidR="00DA2808">
        <w:rPr>
          <w:rFonts w:cs="TimesNewRomanPSMT"/>
        </w:rPr>
        <w:t xml:space="preserve">a new sampling grid of </w:t>
      </w:r>
      <w:r w:rsidR="00B80E79">
        <w:rPr>
          <w:rFonts w:cs="TimesNewRomanPSMT"/>
        </w:rPr>
        <w:t>v</w:t>
      </w:r>
      <w:r w:rsidR="00DA2808">
        <w:rPr>
          <w:rFonts w:cs="TimesNewRomanPSMT"/>
        </w:rPr>
        <w:t>ariable-radius plots</w:t>
      </w:r>
      <w:r w:rsidR="001E7CC6">
        <w:rPr>
          <w:rFonts w:cs="TimesNewRomanPSMT"/>
        </w:rPr>
        <w:t xml:space="preserve"> for merchantable trees</w:t>
      </w:r>
      <w:r w:rsidR="00C723CA">
        <w:rPr>
          <w:rFonts w:cs="TimesNewRomanPSMT"/>
        </w:rPr>
        <w:t>.</w:t>
      </w:r>
      <w:r w:rsidR="00A42F7C">
        <w:rPr>
          <w:rFonts w:cs="TimesNewRomanPSMT"/>
        </w:rPr>
        <w:t xml:space="preserve"> </w:t>
      </w:r>
      <w:r w:rsidR="00A42F7C" w:rsidRPr="00A42F7C">
        <w:t xml:space="preserve"> </w:t>
      </w:r>
      <w:r w:rsidR="001941A9">
        <w:t>The CFI data w</w:t>
      </w:r>
      <w:r w:rsidR="00535261">
        <w:t>ere</w:t>
      </w:r>
      <w:r w:rsidR="001941A9">
        <w:t xml:space="preserve"> critical to this study in several ways.  The collection of merchantability metrics permitted sound (non-rotten) timber volume estimation by tree grade, which was essential for tracking the disposition of harvested wood.</w:t>
      </w:r>
      <w:r w:rsidR="001941A9" w:rsidRPr="008D2CFF">
        <w:t xml:space="preserve"> </w:t>
      </w:r>
      <w:r w:rsidR="001941A9">
        <w:t xml:space="preserve"> In addition, DBHs from previously sampled trees allowed for calibration of the growth model to local growth rates.  Tree status, source of present injury, and risk of mortality or defect were also recorded for each tree, enabling the simulation of real-world management.</w:t>
      </w:r>
    </w:p>
    <w:p w:rsidR="001941A9" w:rsidRDefault="00A42F7C" w:rsidP="001941A9">
      <w:pPr>
        <w:spacing w:line="480" w:lineRule="auto"/>
        <w:ind w:firstLine="720"/>
      </w:pPr>
      <w:r>
        <w:t xml:space="preserve">The relation between </w:t>
      </w:r>
      <w:r w:rsidRPr="004D1581">
        <w:t>initial above-ground live (AGL) carbon stocks per acre (ac</w:t>
      </w:r>
      <w:r w:rsidRPr="004D1581">
        <w:rPr>
          <w:vertAlign w:val="superscript"/>
        </w:rPr>
        <w:t>-1</w:t>
      </w:r>
      <w:r w:rsidRPr="004D1581">
        <w:t>) and the applicable CAR common practice</w:t>
      </w:r>
      <w:r w:rsidR="007716C6">
        <w:t xml:space="preserve"> (CP)</w:t>
      </w:r>
      <w:r w:rsidR="00856FBA">
        <w:t xml:space="preserve"> </w:t>
      </w:r>
      <w:r w:rsidR="00693B36" w:rsidRPr="004D1581">
        <w:t>statistic</w:t>
      </w:r>
      <w:r w:rsidRPr="004D1581">
        <w:t xml:space="preserve"> determines the requisite approach to follow for </w:t>
      </w:r>
      <w:r>
        <w:t xml:space="preserve">estimating a </w:t>
      </w:r>
      <w:r w:rsidRPr="004D1581">
        <w:t>baseline</w:t>
      </w:r>
      <w:r w:rsidR="00856FBA">
        <w:t xml:space="preserve"> carbon stock</w:t>
      </w:r>
      <w:r>
        <w:t xml:space="preserve">, the </w:t>
      </w:r>
      <w:r w:rsidR="00856FBA">
        <w:t xml:space="preserve">value </w:t>
      </w:r>
      <w:r>
        <w:t>that annual project stocks are compared to in the computation of annual carbon removals</w:t>
      </w:r>
      <w:r w:rsidRPr="004D1581">
        <w:t xml:space="preserve">.  </w:t>
      </w:r>
      <w:r>
        <w:t xml:space="preserve">Utilizing the latter set of CFI measurements with higher initial AGL stocks </w:t>
      </w:r>
      <w:r w:rsidRPr="004D1581">
        <w:t>ac</w:t>
      </w:r>
      <w:r w:rsidRPr="004D1581">
        <w:rPr>
          <w:vertAlign w:val="superscript"/>
        </w:rPr>
        <w:t>-1</w:t>
      </w:r>
      <w:r>
        <w:t xml:space="preserve"> would have provided a helpful jumpstart in earned credits</w:t>
      </w:r>
      <w:r w:rsidRPr="001834E5">
        <w:t xml:space="preserve"> </w:t>
      </w:r>
      <w:r>
        <w:t>from having initial AGL stocks above t</w:t>
      </w:r>
      <w:r w:rsidR="00856FBA">
        <w:t xml:space="preserve">he CP </w:t>
      </w:r>
      <w:r>
        <w:t xml:space="preserve">statistic.  Conversely, the 1984 data were </w:t>
      </w:r>
      <w:r>
        <w:lastRenderedPageBreak/>
        <w:t>less likely to earn this head-start at the outset and in effect w</w:t>
      </w:r>
      <w:r w:rsidR="00CC703D">
        <w:t>ere</w:t>
      </w:r>
      <w:r>
        <w:t xml:space="preserve"> better suited to address the proof of concept question.  Thus, the forest </w:t>
      </w:r>
      <w:r w:rsidR="00E96FCE">
        <w:t xml:space="preserve">simulation </w:t>
      </w:r>
      <w:r>
        <w:t>model was constructed from the 1984 inventory</w:t>
      </w:r>
      <w:r w:rsidR="00C26DCF">
        <w:t>, which was assumed to be conducted in 201</w:t>
      </w:r>
      <w:r w:rsidR="00CC703D">
        <w:t>1</w:t>
      </w:r>
      <w:r w:rsidR="00C26DCF">
        <w:t xml:space="preserve"> for this hypothetical project.</w:t>
      </w:r>
    </w:p>
    <w:p w:rsidR="00580591" w:rsidRPr="00E832EF" w:rsidRDefault="00580591" w:rsidP="00E832EF">
      <w:pPr>
        <w:autoSpaceDE w:val="0"/>
        <w:autoSpaceDN w:val="0"/>
        <w:adjustRightInd w:val="0"/>
        <w:spacing w:after="0" w:line="480" w:lineRule="auto"/>
        <w:ind w:firstLine="720"/>
        <w:rPr>
          <w:rFonts w:asciiTheme="minorHAnsi" w:hAnsiTheme="minorHAnsi" w:cstheme="minorHAnsi"/>
        </w:rPr>
      </w:pPr>
      <w:r w:rsidRPr="00E832EF">
        <w:rPr>
          <w:rFonts w:asciiTheme="minorHAnsi" w:hAnsiTheme="minorHAnsi" w:cstheme="minorHAnsi"/>
        </w:rPr>
        <w:t xml:space="preserve">All CFI plots were classified by topographical position, stand type, and stand size as displayed in </w:t>
      </w:r>
      <w:r w:rsidR="00230ADF">
        <w:rPr>
          <w:rFonts w:asciiTheme="minorHAnsi" w:hAnsiTheme="minorHAnsi" w:cstheme="minorHAnsi"/>
        </w:rPr>
        <w:t>a</w:t>
      </w:r>
      <w:r w:rsidR="001941A9" w:rsidRPr="00E832EF">
        <w:rPr>
          <w:rFonts w:asciiTheme="minorHAnsi" w:hAnsiTheme="minorHAnsi" w:cstheme="minorHAnsi"/>
        </w:rPr>
        <w:t xml:space="preserve">ppendix </w:t>
      </w:r>
      <w:r w:rsidR="00223669">
        <w:rPr>
          <w:rFonts w:asciiTheme="minorHAnsi" w:hAnsiTheme="minorHAnsi" w:cstheme="minorHAnsi"/>
        </w:rPr>
        <w:t>B</w:t>
      </w:r>
      <w:r w:rsidRPr="00E832EF">
        <w:rPr>
          <w:rFonts w:asciiTheme="minorHAnsi" w:hAnsiTheme="minorHAnsi" w:cstheme="minorHAnsi"/>
        </w:rPr>
        <w:t xml:space="preserve">.  </w:t>
      </w:r>
      <w:r w:rsidR="00E832EF">
        <w:rPr>
          <w:rFonts w:asciiTheme="minorHAnsi" w:hAnsiTheme="minorHAnsi" w:cstheme="minorHAnsi"/>
        </w:rPr>
        <w:t>They</w:t>
      </w:r>
      <w:r w:rsidRPr="00E832EF">
        <w:rPr>
          <w:rFonts w:asciiTheme="minorHAnsi" w:hAnsiTheme="minorHAnsi" w:cstheme="minorHAnsi"/>
        </w:rPr>
        <w:t xml:space="preserve"> were </w:t>
      </w:r>
      <w:r w:rsidR="00693B36" w:rsidRPr="00E832EF">
        <w:rPr>
          <w:rFonts w:asciiTheme="minorHAnsi" w:hAnsiTheme="minorHAnsi" w:cstheme="minorHAnsi"/>
        </w:rPr>
        <w:t xml:space="preserve">on </w:t>
      </w:r>
      <w:r w:rsidR="00230ADF">
        <w:rPr>
          <w:rFonts w:asciiTheme="minorHAnsi" w:hAnsiTheme="minorHAnsi" w:cstheme="minorHAnsi"/>
        </w:rPr>
        <w:t xml:space="preserve">moderate to </w:t>
      </w:r>
      <w:r w:rsidR="00693B36" w:rsidRPr="00E832EF">
        <w:rPr>
          <w:rFonts w:asciiTheme="minorHAnsi" w:hAnsiTheme="minorHAnsi" w:cstheme="minorHAnsi"/>
        </w:rPr>
        <w:t xml:space="preserve">steep slopes </w:t>
      </w:r>
      <w:r w:rsidRPr="00E832EF">
        <w:rPr>
          <w:rFonts w:asciiTheme="minorHAnsi" w:hAnsiTheme="minorHAnsi" w:cstheme="minorHAnsi"/>
        </w:rPr>
        <w:t>between approximately 1,200 and 2,600 feet</w:t>
      </w:r>
      <w:r w:rsidR="009F3943" w:rsidRPr="00E832EF">
        <w:rPr>
          <w:rFonts w:asciiTheme="minorHAnsi" w:hAnsiTheme="minorHAnsi" w:cstheme="minorHAnsi"/>
        </w:rPr>
        <w:t xml:space="preserve"> (</w:t>
      </w:r>
      <w:r w:rsidR="005077DB" w:rsidRPr="00E832EF">
        <w:rPr>
          <w:rFonts w:asciiTheme="minorHAnsi" w:hAnsiTheme="minorHAnsi" w:cstheme="minorHAnsi"/>
        </w:rPr>
        <w:t>′</w:t>
      </w:r>
      <w:r w:rsidR="009F3943" w:rsidRPr="00E832EF">
        <w:rPr>
          <w:rFonts w:asciiTheme="minorHAnsi" w:hAnsiTheme="minorHAnsi" w:cstheme="minorHAnsi"/>
        </w:rPr>
        <w:t>)</w:t>
      </w:r>
      <w:r w:rsidR="00693B36" w:rsidRPr="00E832EF">
        <w:rPr>
          <w:rFonts w:asciiTheme="minorHAnsi" w:hAnsiTheme="minorHAnsi" w:cstheme="minorHAnsi"/>
        </w:rPr>
        <w:t xml:space="preserve"> in elevation</w:t>
      </w:r>
      <w:r w:rsidR="001E141B" w:rsidRPr="00E832EF">
        <w:rPr>
          <w:rFonts w:asciiTheme="minorHAnsi" w:hAnsiTheme="minorHAnsi" w:cstheme="minorHAnsi"/>
        </w:rPr>
        <w:t xml:space="preserve">, congruent with general conditions in the Cumberland Mountains </w:t>
      </w:r>
      <w:r w:rsidR="00FE5BCD">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&lt;EndNote&gt;&lt;Cite&gt;&lt;Author&gt;Smalley&lt;/Author&gt;&lt;Year&gt;1984&lt;/Year&gt;&lt;RecNum&gt;277&lt;/RecNum&gt;&lt;DisplayText&gt;(Smalley 1984)&lt;/DisplayText&gt;&lt;record&gt;&lt;rec-number&gt;277&lt;/rec-number&gt;&lt;foreign-keys&gt;&lt;key app="EN" db-id="a90s5zadewrawxeer07v2f90xr5vxv022sat"&gt;277&lt;/key&gt;&lt;/foreign-keys&gt;&lt;ref-type name="Report"&gt;27&lt;/ref-type&gt;&lt;contributors&gt;&lt;authors&gt;&lt;author&gt;Smalley, Glendon W.&lt;/author&gt;&lt;/authors&gt;&lt;/contributors&gt;&lt;titles&gt;&lt;title&gt;Classification and evaluation for forest sites in the Cumberland Mountains. Gen. Tech. Rep. SO-50. New Orleans, LA: U.S. Dept of Agriculture, Forest Service, Southern Forest Experiment Station. 89 p&lt;/title&gt;&lt;/titles&gt;&lt;dates&gt;&lt;year&gt;1984&lt;/year&gt;&lt;/dates&gt;&lt;urls&gt;&lt;/urls&gt;&lt;/record&gt;&lt;/Cite&gt;&lt;/EndNote&gt;</w:instrText>
      </w:r>
      <w:r w:rsidR="00FE5BCD">
        <w:rPr>
          <w:rFonts w:asciiTheme="minorHAnsi" w:hAnsiTheme="minorHAnsi" w:cstheme="minorHAnsi"/>
        </w:rPr>
        <w:fldChar w:fldCharType="separate"/>
      </w:r>
      <w:r w:rsidR="00A87D07">
        <w:rPr>
          <w:rFonts w:asciiTheme="minorHAnsi" w:hAnsiTheme="minorHAnsi" w:cstheme="minorHAnsi"/>
          <w:noProof/>
        </w:rPr>
        <w:t>(</w:t>
      </w:r>
      <w:hyperlink w:anchor="_ENREF_123" w:tooltip="Smalley, 1984 #277" w:history="1">
        <w:r w:rsidR="001E4C88">
          <w:rPr>
            <w:rFonts w:asciiTheme="minorHAnsi" w:hAnsiTheme="minorHAnsi" w:cstheme="minorHAnsi"/>
            <w:noProof/>
          </w:rPr>
          <w:t>Smalley 1984</w:t>
        </w:r>
      </w:hyperlink>
      <w:r w:rsidR="00A87D07">
        <w:rPr>
          <w:rFonts w:asciiTheme="minorHAnsi" w:hAnsiTheme="minorHAnsi" w:cstheme="minorHAnsi"/>
          <w:noProof/>
        </w:rPr>
        <w:t>)</w:t>
      </w:r>
      <w:r w:rsidR="00FE5BCD">
        <w:rPr>
          <w:rFonts w:asciiTheme="minorHAnsi" w:hAnsiTheme="minorHAnsi" w:cstheme="minorHAnsi"/>
        </w:rPr>
        <w:fldChar w:fldCharType="end"/>
      </w:r>
      <w:r w:rsidR="001E141B" w:rsidRPr="00E832EF">
        <w:rPr>
          <w:rFonts w:asciiTheme="minorHAnsi" w:hAnsiTheme="minorHAnsi" w:cstheme="minorHAnsi"/>
        </w:rPr>
        <w:t>,</w:t>
      </w:r>
      <w:r w:rsidRPr="00E832EF">
        <w:rPr>
          <w:rFonts w:asciiTheme="minorHAnsi" w:hAnsiTheme="minorHAnsi" w:cstheme="minorHAnsi"/>
        </w:rPr>
        <w:t xml:space="preserve"> and </w:t>
      </w:r>
      <w:r w:rsidR="001E141B" w:rsidRPr="00E832EF">
        <w:rPr>
          <w:rFonts w:asciiTheme="minorHAnsi" w:hAnsiTheme="minorHAnsi" w:cstheme="minorHAnsi"/>
        </w:rPr>
        <w:t xml:space="preserve">were </w:t>
      </w:r>
      <w:r w:rsidRPr="00E832EF">
        <w:rPr>
          <w:rFonts w:asciiTheme="minorHAnsi" w:hAnsiTheme="minorHAnsi" w:cstheme="minorHAnsi"/>
        </w:rPr>
        <w:t xml:space="preserve">classed as “dry uplands” (upper slopes, southerly mid-slopes, or ridgetops) or “moist uplands” (lower slopes, northerly mid-slopes, coves, ravines, or lower bottoms).  </w:t>
      </w:r>
      <w:r w:rsidR="00E832EF" w:rsidRPr="00E832EF">
        <w:rPr>
          <w:rFonts w:asciiTheme="minorHAnsi" w:hAnsiTheme="minorHAnsi" w:cstheme="minorHAnsi"/>
        </w:rPr>
        <w:t xml:space="preserve">Plot conditions corresponded with the Upper Mountain Slope and the </w:t>
      </w:r>
      <w:proofErr w:type="spellStart"/>
      <w:r w:rsidR="00E832EF" w:rsidRPr="00E832EF">
        <w:rPr>
          <w:rFonts w:asciiTheme="minorHAnsi" w:hAnsiTheme="minorHAnsi" w:cstheme="minorHAnsi"/>
        </w:rPr>
        <w:t>Colluvial</w:t>
      </w:r>
      <w:proofErr w:type="spellEnd"/>
      <w:r w:rsidR="00E832EF" w:rsidRPr="00E832EF">
        <w:rPr>
          <w:rFonts w:asciiTheme="minorHAnsi" w:hAnsiTheme="minorHAnsi" w:cstheme="minorHAnsi"/>
        </w:rPr>
        <w:t xml:space="preserve"> Mountain Slopes, Benches, and Coves </w:t>
      </w:r>
      <w:proofErr w:type="spellStart"/>
      <w:r w:rsidR="00E832EF" w:rsidRPr="00E832EF">
        <w:rPr>
          <w:rFonts w:asciiTheme="minorHAnsi" w:hAnsiTheme="minorHAnsi" w:cstheme="minorHAnsi"/>
        </w:rPr>
        <w:t>landtype</w:t>
      </w:r>
      <w:proofErr w:type="spellEnd"/>
      <w:r w:rsidR="00E832EF" w:rsidRPr="00E832EF">
        <w:rPr>
          <w:rFonts w:asciiTheme="minorHAnsi" w:hAnsiTheme="minorHAnsi" w:cstheme="minorHAnsi"/>
        </w:rPr>
        <w:t xml:space="preserve"> associations</w:t>
      </w:r>
      <w:r w:rsidR="00FE5BCD">
        <w:rPr>
          <w:rFonts w:asciiTheme="minorHAnsi" w:hAnsiTheme="minorHAnsi" w:cstheme="minorHAnsi"/>
        </w:rPr>
        <w:t xml:space="preserve"> </w:t>
      </w:r>
      <w:r w:rsidR="00FE5BCD">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&lt;EndNote&gt;&lt;Cite&gt;&lt;Author&gt;Smalley&lt;/Author&gt;&lt;Year&gt;1984&lt;/Year&gt;&lt;RecNum&gt;277&lt;/RecNum&gt;&lt;DisplayText&gt;(Smalley 1984)&lt;/DisplayText&gt;&lt;record&gt;&lt;rec-number&gt;277&lt;/rec-number&gt;&lt;foreign-keys&gt;&lt;key app="EN" db-id="a90s5zadewrawxeer07v2f90xr5vxv022sat"&gt;277&lt;/key&gt;&lt;/foreign-keys&gt;&lt;ref-type name="Report"&gt;27&lt;/ref-type&gt;&lt;contributors&gt;&lt;authors&gt;&lt;author&gt;Smalley, Glendon W.&lt;/author&gt;&lt;/authors&gt;&lt;/contributors&gt;&lt;titles&gt;&lt;title&gt;Classification and evaluation for forest sites in the Cumberland Mountains. Gen. Tech. Rep. SO-50. New Orleans, LA: U.S. Dept of Agriculture, Forest Service, Southern Forest Experiment Station. 89 p&lt;/title&gt;&lt;/titles&gt;&lt;dates&gt;&lt;year&gt;1984&lt;/year&gt;&lt;/dates&gt;&lt;urls&gt;&lt;/urls&gt;&lt;/record&gt;&lt;/Cite&gt;&lt;/EndNote&gt;</w:instrText>
      </w:r>
      <w:r w:rsidR="00FE5BCD">
        <w:rPr>
          <w:rFonts w:asciiTheme="minorHAnsi" w:hAnsiTheme="minorHAnsi" w:cstheme="minorHAnsi"/>
        </w:rPr>
        <w:fldChar w:fldCharType="separate"/>
      </w:r>
      <w:r w:rsidR="00A87D07">
        <w:rPr>
          <w:rFonts w:asciiTheme="minorHAnsi" w:hAnsiTheme="minorHAnsi" w:cstheme="minorHAnsi"/>
          <w:noProof/>
        </w:rPr>
        <w:t>(</w:t>
      </w:r>
      <w:hyperlink w:anchor="_ENREF_123" w:tooltip="Smalley, 1984 #277" w:history="1">
        <w:r w:rsidR="001E4C88">
          <w:rPr>
            <w:rFonts w:asciiTheme="minorHAnsi" w:hAnsiTheme="minorHAnsi" w:cstheme="minorHAnsi"/>
            <w:noProof/>
          </w:rPr>
          <w:t>Smalley 1984</w:t>
        </w:r>
      </w:hyperlink>
      <w:r w:rsidR="00A87D07">
        <w:rPr>
          <w:rFonts w:asciiTheme="minorHAnsi" w:hAnsiTheme="minorHAnsi" w:cstheme="minorHAnsi"/>
          <w:noProof/>
        </w:rPr>
        <w:t>)</w:t>
      </w:r>
      <w:r w:rsidR="00FE5BCD">
        <w:rPr>
          <w:rFonts w:asciiTheme="minorHAnsi" w:hAnsiTheme="minorHAnsi" w:cstheme="minorHAnsi"/>
        </w:rPr>
        <w:fldChar w:fldCharType="end"/>
      </w:r>
      <w:r w:rsidR="00E832EF" w:rsidRPr="00E832EF">
        <w:rPr>
          <w:rFonts w:asciiTheme="minorHAnsi" w:hAnsiTheme="minorHAnsi" w:cstheme="minorHAnsi"/>
        </w:rPr>
        <w:t xml:space="preserve">.  </w:t>
      </w:r>
      <w:r w:rsidRPr="00E832EF">
        <w:rPr>
          <w:rFonts w:asciiTheme="minorHAnsi" w:hAnsiTheme="minorHAnsi" w:cstheme="minorHAnsi"/>
        </w:rPr>
        <w:t>There were equal numbers of Oak-Hickory and Yellow Poplar stand types (</w:t>
      </w:r>
      <w:r w:rsidR="00222852">
        <w:rPr>
          <w:rFonts w:asciiTheme="minorHAnsi" w:hAnsiTheme="minorHAnsi" w:cstheme="minorHAnsi"/>
        </w:rPr>
        <w:t>four</w:t>
      </w:r>
      <w:r w:rsidR="00856FBA" w:rsidRPr="00E832EF">
        <w:rPr>
          <w:rFonts w:asciiTheme="minorHAnsi" w:hAnsiTheme="minorHAnsi" w:cstheme="minorHAnsi"/>
        </w:rPr>
        <w:t xml:space="preserve"> each</w:t>
      </w:r>
      <w:r w:rsidRPr="00E832EF">
        <w:rPr>
          <w:rFonts w:asciiTheme="minorHAnsi" w:hAnsiTheme="minorHAnsi" w:cstheme="minorHAnsi"/>
        </w:rPr>
        <w:t>) and of Northern Hardwood and White P</w:t>
      </w:r>
      <w:r w:rsidR="00203C65" w:rsidRPr="00E832EF">
        <w:rPr>
          <w:rFonts w:asciiTheme="minorHAnsi" w:hAnsiTheme="minorHAnsi" w:cstheme="minorHAnsi"/>
        </w:rPr>
        <w:t>ine-Hardwood stand types (</w:t>
      </w:r>
      <w:r w:rsidR="00222852">
        <w:rPr>
          <w:rFonts w:asciiTheme="minorHAnsi" w:hAnsiTheme="minorHAnsi" w:cstheme="minorHAnsi"/>
        </w:rPr>
        <w:t>one</w:t>
      </w:r>
      <w:r w:rsidR="00856FBA" w:rsidRPr="00E832EF">
        <w:rPr>
          <w:rFonts w:asciiTheme="minorHAnsi" w:hAnsiTheme="minorHAnsi" w:cstheme="minorHAnsi"/>
        </w:rPr>
        <w:t xml:space="preserve"> each</w:t>
      </w:r>
      <w:r w:rsidR="00203C65" w:rsidRPr="00E832EF">
        <w:rPr>
          <w:rFonts w:asciiTheme="minorHAnsi" w:hAnsiTheme="minorHAnsi" w:cstheme="minorHAnsi"/>
        </w:rPr>
        <w:t xml:space="preserve">).  Although these labels </w:t>
      </w:r>
      <w:r w:rsidRPr="00E832EF">
        <w:rPr>
          <w:rFonts w:asciiTheme="minorHAnsi" w:hAnsiTheme="minorHAnsi" w:cstheme="minorHAnsi"/>
        </w:rPr>
        <w:t xml:space="preserve">are not synonymous with classifications used presently by the </w:t>
      </w:r>
      <w:r w:rsidR="009F68FC">
        <w:rPr>
          <w:rFonts w:asciiTheme="minorHAnsi" w:hAnsiTheme="minorHAnsi" w:cstheme="minorHAnsi"/>
        </w:rPr>
        <w:t>USFS</w:t>
      </w:r>
      <w:r w:rsidR="0057247E" w:rsidRPr="00E832EF">
        <w:rPr>
          <w:rFonts w:asciiTheme="minorHAnsi" w:hAnsiTheme="minorHAnsi" w:cstheme="minorHAnsi"/>
        </w:rPr>
        <w:t>, they provide a general description of the</w:t>
      </w:r>
      <w:r w:rsidR="00203C65" w:rsidRPr="00E832EF">
        <w:rPr>
          <w:rFonts w:asciiTheme="minorHAnsi" w:hAnsiTheme="minorHAnsi" w:cstheme="minorHAnsi"/>
        </w:rPr>
        <w:t xml:space="preserve"> </w:t>
      </w:r>
      <w:r w:rsidR="0057247E" w:rsidRPr="00E832EF">
        <w:rPr>
          <w:rFonts w:asciiTheme="minorHAnsi" w:hAnsiTheme="minorHAnsi" w:cstheme="minorHAnsi"/>
        </w:rPr>
        <w:t>surrounding forest’s composition</w:t>
      </w:r>
      <w:r w:rsidRPr="00E832EF">
        <w:rPr>
          <w:rFonts w:asciiTheme="minorHAnsi" w:hAnsiTheme="minorHAnsi" w:cstheme="minorHAnsi"/>
        </w:rPr>
        <w:t xml:space="preserve">.  </w:t>
      </w:r>
      <w:r w:rsidR="00203C65" w:rsidRPr="00E832EF">
        <w:rPr>
          <w:rFonts w:asciiTheme="minorHAnsi" w:hAnsiTheme="minorHAnsi" w:cstheme="minorHAnsi"/>
        </w:rPr>
        <w:t xml:space="preserve">The classifications given by the </w:t>
      </w:r>
      <w:r w:rsidR="001E141B" w:rsidRPr="00E832EF">
        <w:rPr>
          <w:rFonts w:asciiTheme="minorHAnsi" w:hAnsiTheme="minorHAnsi" w:cstheme="minorHAnsi"/>
        </w:rPr>
        <w:t xml:space="preserve">USFS’s </w:t>
      </w:r>
      <w:r w:rsidR="00203C65" w:rsidRPr="00E832EF">
        <w:rPr>
          <w:rFonts w:asciiTheme="minorHAnsi" w:hAnsiTheme="minorHAnsi" w:cstheme="minorHAnsi"/>
        </w:rPr>
        <w:t>Forest Inventory and Analysis (FIA) forest cover typing algorithm</w:t>
      </w:r>
      <w:r w:rsidR="00FE0526" w:rsidRPr="00E832EF">
        <w:rPr>
          <w:rFonts w:asciiTheme="minorHAnsi" w:hAnsiTheme="minorHAnsi" w:cstheme="minorHAnsi"/>
        </w:rPr>
        <w:t xml:space="preserve"> and other stand characteristics </w:t>
      </w:r>
      <w:r w:rsidR="00203C65" w:rsidRPr="00E832EF">
        <w:rPr>
          <w:rFonts w:asciiTheme="minorHAnsi" w:hAnsiTheme="minorHAnsi" w:cstheme="minorHAnsi"/>
        </w:rPr>
        <w:t xml:space="preserve">are also shown in </w:t>
      </w:r>
      <w:r w:rsidR="00230ADF">
        <w:rPr>
          <w:rFonts w:asciiTheme="minorHAnsi" w:hAnsiTheme="minorHAnsi" w:cstheme="minorHAnsi"/>
        </w:rPr>
        <w:t>a</w:t>
      </w:r>
      <w:r w:rsidR="00203C65" w:rsidRPr="00E832EF">
        <w:rPr>
          <w:rFonts w:asciiTheme="minorHAnsi" w:hAnsiTheme="minorHAnsi" w:cstheme="minorHAnsi"/>
        </w:rPr>
        <w:t xml:space="preserve">ppendix </w:t>
      </w:r>
      <w:r w:rsidR="00223669">
        <w:rPr>
          <w:rFonts w:asciiTheme="minorHAnsi" w:hAnsiTheme="minorHAnsi" w:cstheme="minorHAnsi"/>
        </w:rPr>
        <w:t>B</w:t>
      </w:r>
      <w:r w:rsidR="00203C65" w:rsidRPr="00E832EF">
        <w:rPr>
          <w:rFonts w:asciiTheme="minorHAnsi" w:hAnsiTheme="minorHAnsi" w:cstheme="minorHAnsi"/>
        </w:rPr>
        <w:t>.</w:t>
      </w:r>
      <w:r w:rsidR="009F68FC">
        <w:rPr>
          <w:rFonts w:asciiTheme="minorHAnsi" w:hAnsiTheme="minorHAnsi" w:cstheme="minorHAnsi"/>
        </w:rPr>
        <w:t xml:space="preserve">  The fact that some of these plots contain or are </w:t>
      </w:r>
      <w:r w:rsidR="00010C68">
        <w:rPr>
          <w:rFonts w:asciiTheme="minorHAnsi" w:hAnsiTheme="minorHAnsi" w:cstheme="minorHAnsi"/>
        </w:rPr>
        <w:t>co-</w:t>
      </w:r>
      <w:r w:rsidR="009F68FC">
        <w:rPr>
          <w:rFonts w:asciiTheme="minorHAnsi" w:hAnsiTheme="minorHAnsi" w:cstheme="minorHAnsi"/>
        </w:rPr>
        <w:t>dominated by species that are mostly found in higher latitudes owes to the diversity of micro</w:t>
      </w:r>
      <w:r w:rsidR="00E61AF2">
        <w:rPr>
          <w:rFonts w:asciiTheme="minorHAnsi" w:hAnsiTheme="minorHAnsi" w:cstheme="minorHAnsi"/>
        </w:rPr>
        <w:t>-</w:t>
      </w:r>
      <w:r w:rsidR="009F68FC">
        <w:rPr>
          <w:rFonts w:asciiTheme="minorHAnsi" w:hAnsiTheme="minorHAnsi" w:cstheme="minorHAnsi"/>
        </w:rPr>
        <w:t>environmental conditions in the Cumberland Mountains</w:t>
      </w:r>
      <w:r w:rsidR="00E3229F">
        <w:rPr>
          <w:rFonts w:asciiTheme="minorHAnsi" w:hAnsiTheme="minorHAnsi" w:cstheme="minorHAnsi"/>
        </w:rPr>
        <w:t xml:space="preserve"> </w:t>
      </w:r>
      <w:r w:rsidR="00E3229F">
        <w:rPr>
          <w:rFonts w:cs="TimesNewRomanPSMT"/>
        </w:rPr>
        <w:fldChar w:fldCharType="begin"/>
      </w:r>
      <w:r w:rsidR="007722C4">
        <w:rPr>
          <w:rFonts w:cs="TimesNewRomanPSMT"/>
        </w:rPr>
        <w:instrText xml:space="preserve"> ADDIN EN.CITE &lt;EndNote&gt;&lt;Cite&gt;&lt;Author&gt;Hart&lt;/Author&gt;&lt;Year&gt;2008&lt;/Year&gt;&lt;RecNum&gt;68&lt;/RecNum&gt;&lt;DisplayText&gt;(Hart and Grissino-Mayer 2008)&lt;/DisplayText&gt;&lt;record&gt;&lt;rec-number&gt;68&lt;/rec-number&gt;&lt;foreign-keys&gt;&lt;key app="EN" db-id="a90s5zadewrawxeer07v2f90xr5vxv022sat"&gt;68&lt;/key&gt;&lt;/foreign-keys&gt;&lt;ref-type name="Journal Article"&gt;17&lt;/ref-type&gt;&lt;contributors&gt;&lt;authors&gt;&lt;author&gt;Hart, Justin L.&lt;/author&gt;&lt;author&gt;Grissino-Mayer, Henri D.&lt;/author&gt;&lt;/authors&gt;&lt;/contributors&gt;&lt;titles&gt;&lt;title&gt;Vegetation patterns and dendroecology of a mixed hardwood forest on the Cumberland Plateau: Implications for stand development&lt;/title&gt;&lt;secondary-title&gt;Forest Ecology and Management&lt;/secondary-title&gt;&lt;/titles&gt;&lt;periodical&gt;&lt;full-title&gt;Forest Ecology and Management&lt;/full-title&gt;&lt;abbr-1&gt;For. Ecol. Manage.&lt;/abbr-1&gt;&lt;/periodical&gt;&lt;pages&gt;1960-1975&lt;/pages&gt;&lt;volume&gt;255&lt;/volume&gt;&lt;number&gt;5-6&lt;/number&gt;&lt;keywords&gt;&lt;keyword&gt;Disturbance history&lt;/keyword&gt;&lt;keyword&gt;Quercus&lt;/keyword&gt;&lt;keyword&gt;Secondary stands&lt;/keyword&gt;&lt;keyword&gt;Species composition&lt;/keyword&gt;&lt;keyword&gt;Stand structure&lt;/keyword&gt;&lt;keyword&gt;Succession&lt;/keyword&gt;&lt;/keywords&gt;&lt;dates&gt;&lt;year&gt;2008&lt;/year&gt;&lt;/dates&gt;&lt;isbn&gt;0378-1127&lt;/isbn&gt;&lt;urls&gt;&lt;related-urls&gt;&lt;url&gt;http://www.sciencedirect.com/science/article/B6T6X-4RN48BR-4/2/bdae4c3d94425b0726bd4411bbf32487&lt;/url&gt;&lt;/related-urls&gt;&lt;/urls&gt;&lt;/record&gt;&lt;/Cite&gt;&lt;/EndNote&gt;</w:instrText>
      </w:r>
      <w:r w:rsidR="00E3229F">
        <w:rPr>
          <w:rFonts w:cs="TimesNewRomanPSMT"/>
        </w:rPr>
        <w:fldChar w:fldCharType="separate"/>
      </w:r>
      <w:r w:rsidR="007722C4">
        <w:rPr>
          <w:rFonts w:cs="TimesNewRomanPSMT"/>
          <w:noProof/>
        </w:rPr>
        <w:t>(</w:t>
      </w:r>
      <w:hyperlink w:anchor="_ENREF_67" w:tooltip="Hart, 2008 #68" w:history="1">
        <w:r w:rsidR="001E4C88">
          <w:rPr>
            <w:rFonts w:cs="TimesNewRomanPSMT"/>
            <w:noProof/>
          </w:rPr>
          <w:t>Hart and Grissino-Mayer 2008</w:t>
        </w:r>
      </w:hyperlink>
      <w:r w:rsidR="007722C4">
        <w:rPr>
          <w:rFonts w:cs="TimesNewRomanPSMT"/>
          <w:noProof/>
        </w:rPr>
        <w:t>)</w:t>
      </w:r>
      <w:r w:rsidR="00E3229F">
        <w:rPr>
          <w:rFonts w:cs="TimesNewRomanPSMT"/>
        </w:rPr>
        <w:fldChar w:fldCharType="end"/>
      </w:r>
      <w:r w:rsidR="009F68FC">
        <w:rPr>
          <w:rFonts w:asciiTheme="minorHAnsi" w:hAnsiTheme="minorHAnsi" w:cstheme="minorHAnsi"/>
        </w:rPr>
        <w:t>.</w:t>
      </w:r>
    </w:p>
    <w:p w:rsidR="00DB1889" w:rsidRDefault="00580591" w:rsidP="00DB1889">
      <w:pPr>
        <w:autoSpaceDE w:val="0"/>
        <w:autoSpaceDN w:val="0"/>
        <w:adjustRightInd w:val="0"/>
        <w:spacing w:line="480" w:lineRule="auto"/>
        <w:ind w:firstLine="720"/>
        <w:rPr>
          <w:rFonts w:cs="TimesNewRomanPSMT"/>
        </w:rPr>
      </w:pPr>
      <w:r>
        <w:rPr>
          <w:rFonts w:cs="TimesNewRomanPSMT"/>
        </w:rPr>
        <w:t xml:space="preserve">Unfortunately, </w:t>
      </w:r>
      <w:r w:rsidR="00A77C75">
        <w:rPr>
          <w:rFonts w:cs="TimesNewRomanPSMT"/>
        </w:rPr>
        <w:t>increment boring and total height measurement w</w:t>
      </w:r>
      <w:r w:rsidR="00F45128">
        <w:rPr>
          <w:rFonts w:cs="TimesNewRomanPSMT"/>
        </w:rPr>
        <w:t>ere</w:t>
      </w:r>
      <w:r w:rsidR="00A77C75">
        <w:rPr>
          <w:rFonts w:cs="TimesNewRomanPSMT"/>
        </w:rPr>
        <w:t xml:space="preserve"> not part of the sampling procedure</w:t>
      </w:r>
      <w:r w:rsidR="0064252D">
        <w:rPr>
          <w:rFonts w:cs="TimesNewRomanPSMT"/>
        </w:rPr>
        <w:t>,</w:t>
      </w:r>
      <w:r w:rsidR="00410EBF">
        <w:rPr>
          <w:rFonts w:cs="TimesNewRomanPSMT"/>
        </w:rPr>
        <w:t xml:space="preserve"> so site indices</w:t>
      </w:r>
      <w:r w:rsidRPr="003B61AB">
        <w:rPr>
          <w:rFonts w:cs="TimesNewRomanPSMT"/>
        </w:rPr>
        <w:t xml:space="preserve"> were </w:t>
      </w:r>
      <w:r w:rsidR="00F45128">
        <w:rPr>
          <w:rFonts w:cs="TimesNewRomanPSMT"/>
        </w:rPr>
        <w:t>partly</w:t>
      </w:r>
      <w:r w:rsidR="00410EBF">
        <w:rPr>
          <w:rFonts w:cs="TimesNewRomanPSMT"/>
        </w:rPr>
        <w:t xml:space="preserve"> </w:t>
      </w:r>
      <w:r w:rsidRPr="003B61AB">
        <w:rPr>
          <w:rFonts w:cs="TimesNewRomanPSMT"/>
        </w:rPr>
        <w:t xml:space="preserve">inferred from those published in the National Resource Conservation Service soil survey of the area </w:t>
      </w:r>
      <w:r w:rsidR="00856FBA">
        <w:rPr>
          <w:rFonts w:cs="TimesNewRomanPSMT"/>
        </w:rPr>
        <w:fldChar w:fldCharType="begin"/>
      </w:r>
      <w:r w:rsidR="00CE2DF2">
        <w:rPr>
          <w:rFonts w:cs="TimesNewRomanPSMT"/>
        </w:rPr>
        <w:instrText xml:space="preserve"> ADDIN EN.CITE &lt;EndNote&gt;&lt;Cite&gt;&lt;Author&gt;Davis&lt;/Author&gt;&lt;Year&gt;2007&lt;/Year&gt;&lt;RecNum&gt;280&lt;/RecNum&gt;&lt;DisplayText&gt;(Davis and Yaeger 2007)&lt;/DisplayText&gt;&lt;record&gt;&lt;rec-number&gt;280&lt;/rec-number&gt;&lt;foreign-keys&gt;&lt;key app="EN" db-id="a90s5zadewrawxeer07v2f90xr5vxv022sat"&gt;280&lt;/key&gt;&lt;/foreign-keys&gt;&lt;ref-type name="Report"&gt;27&lt;/ref-type&gt;&lt;contributors&gt;&lt;authors&gt;&lt;author&gt;Harry C. Davis&lt;/author&gt;&lt;author&gt;Jennifer R. Yaeger&lt;/author&gt;&lt;/authors&gt;&lt;/contributors&gt;&lt;titles&gt;&lt;title&gt;Soil Survey of Morgan County, Tennessee. United States Department of Agriculture, Natural Resources Conservation Service&lt;/title&gt;&lt;/titles&gt;&lt;dates&gt;&lt;year&gt;2007&lt;/year&gt;&lt;/dates&gt;&lt;urls&gt;&lt;/urls&gt;&lt;/record&gt;&lt;/Cite&gt;&lt;/EndNote&gt;</w:instrText>
      </w:r>
      <w:r w:rsidR="00856FBA">
        <w:rPr>
          <w:rFonts w:cs="TimesNewRomanPSMT"/>
        </w:rPr>
        <w:fldChar w:fldCharType="separate"/>
      </w:r>
      <w:r w:rsidR="00CE2DF2">
        <w:rPr>
          <w:rFonts w:cs="TimesNewRomanPSMT"/>
          <w:noProof/>
        </w:rPr>
        <w:t>(</w:t>
      </w:r>
      <w:hyperlink w:anchor="_ENREF_44" w:tooltip="Davis, 2007 #280" w:history="1">
        <w:r w:rsidR="001E4C88">
          <w:rPr>
            <w:rFonts w:cs="TimesNewRomanPSMT"/>
            <w:noProof/>
          </w:rPr>
          <w:t>Davis and Yaeger 2007</w:t>
        </w:r>
      </w:hyperlink>
      <w:r w:rsidR="00CE2DF2">
        <w:rPr>
          <w:rFonts w:cs="TimesNewRomanPSMT"/>
          <w:noProof/>
        </w:rPr>
        <w:t>)</w:t>
      </w:r>
      <w:r w:rsidR="00856FBA">
        <w:rPr>
          <w:rFonts w:cs="TimesNewRomanPSMT"/>
        </w:rPr>
        <w:fldChar w:fldCharType="end"/>
      </w:r>
      <w:r w:rsidRPr="003B61AB">
        <w:rPr>
          <w:rFonts w:cs="TimesNewRomanPSMT"/>
        </w:rPr>
        <w:t xml:space="preserve"> by locating the soil map unit on which each plot l</w:t>
      </w:r>
      <w:r w:rsidR="00212D82">
        <w:rPr>
          <w:rFonts w:cs="TimesNewRomanPSMT"/>
        </w:rPr>
        <w:t>ay</w:t>
      </w:r>
      <w:r w:rsidRPr="003B61AB">
        <w:rPr>
          <w:rFonts w:cs="TimesNewRomanPSMT"/>
        </w:rPr>
        <w:t xml:space="preserve">.  </w:t>
      </w:r>
      <w:r>
        <w:rPr>
          <w:rFonts w:cs="TimesNewRomanPSMT"/>
        </w:rPr>
        <w:t>While</w:t>
      </w:r>
      <w:r w:rsidR="00FE662D">
        <w:rPr>
          <w:rFonts w:cs="TimesNewRomanPSMT"/>
        </w:rPr>
        <w:t xml:space="preserve"> the site indices of species </w:t>
      </w:r>
      <w:r w:rsidR="00015329" w:rsidRPr="003B61AB">
        <w:rPr>
          <w:rFonts w:cs="TimesNewRomanPSMT"/>
        </w:rPr>
        <w:t>found</w:t>
      </w:r>
      <w:r w:rsidR="00015329">
        <w:rPr>
          <w:rFonts w:cs="TimesNewRomanPSMT"/>
        </w:rPr>
        <w:t xml:space="preserve"> by</w:t>
      </w:r>
      <w:r w:rsidR="00212D82">
        <w:rPr>
          <w:rFonts w:cs="TimesNewRomanPSMT"/>
        </w:rPr>
        <w:t xml:space="preserve"> NRCS</w:t>
      </w:r>
      <w:r w:rsidRPr="003B61AB">
        <w:rPr>
          <w:rFonts w:cs="TimesNewRomanPSMT"/>
        </w:rPr>
        <w:t xml:space="preserve"> to be good site trees are provided for each taxonomic soil class, map units of this area are soil complexes comprised of more than one taxonomic class of soil but are not delineated at such a scale.  As the soil classes differed appreciably in potential productivity, the species composition of the plot was relied upon as an indicator of which set of site indices was relevant</w:t>
      </w:r>
      <w:r w:rsidR="00410EBF">
        <w:rPr>
          <w:rFonts w:cs="TimesNewRomanPSMT"/>
        </w:rPr>
        <w:t>;</w:t>
      </w:r>
      <w:r w:rsidR="00A77C75">
        <w:rPr>
          <w:rFonts w:cs="TimesNewRomanPSMT"/>
        </w:rPr>
        <w:t xml:space="preserve"> site index </w:t>
      </w:r>
      <w:r w:rsidR="00A77C75">
        <w:rPr>
          <w:rFonts w:cs="TimesNewRomanPSMT"/>
        </w:rPr>
        <w:lastRenderedPageBreak/>
        <w:t>approximations</w:t>
      </w:r>
      <w:r w:rsidR="00410EBF">
        <w:rPr>
          <w:rFonts w:cs="TimesNewRomanPSMT"/>
        </w:rPr>
        <w:t xml:space="preserve"> were further refined in the process of estimating missing heights</w:t>
      </w:r>
      <w:r w:rsidR="001941A9">
        <w:rPr>
          <w:rFonts w:cs="TimesNewRomanPSMT"/>
        </w:rPr>
        <w:t xml:space="preserve"> (in next section).</w:t>
      </w:r>
      <w:r w:rsidR="00DB1889">
        <w:rPr>
          <w:rFonts w:cs="TimesNewRomanPSMT"/>
        </w:rPr>
        <w:t xml:space="preserve">  </w:t>
      </w:r>
      <w:r w:rsidR="00D16B01">
        <w:rPr>
          <w:rFonts w:cs="TimesNewRomanPSMT"/>
        </w:rPr>
        <w:t>It should be noted that</w:t>
      </w:r>
      <w:r w:rsidR="00DB1889">
        <w:rPr>
          <w:rFonts w:cs="TimesNewRomanPSMT"/>
        </w:rPr>
        <w:t xml:space="preserve"> one validation study of NE-TWIGS, the basis of the northeastern FVS variant growth equations, somewhat overestimated biomass in stands in the same region and of similar stand structure as those modeled in this study but was found to predict volumes to within 10-15 percent of actual volumes </w:t>
      </w:r>
      <w:r w:rsidR="00DB1889" w:rsidRPr="00222852">
        <w:rPr>
          <w:rFonts w:cs="TimesNewRomanPSMT"/>
        </w:rPr>
        <w:fldChar w:fldCharType="begin"/>
      </w:r>
      <w:r w:rsidR="00A87D07">
        <w:rPr>
          <w:rFonts w:cs="TimesNewRomanPSMT"/>
        </w:rPr>
        <w:instrText xml:space="preserve"> ADDIN EN.CITE &lt;EndNote&gt;&lt;Cite&gt;&lt;Author&gt;Yaussy&lt;/Author&gt;&lt;Year&gt;2000&lt;/Year&gt;&lt;RecNum&gt;25&lt;/RecNum&gt;&lt;DisplayText&gt;(Yaussy 2000)&lt;/DisplayText&gt;&lt;record&gt;&lt;rec-number&gt;25&lt;/rec-number&gt;&lt;foreign-keys&gt;&lt;key app="EN" db-id="a90s5zadewrawxeer07v2f90xr5vxv022sat"&gt;25&lt;/key&gt;&lt;key app="ENWeb" db-id="S3c-7ArtqgcAACfG-zs"&gt;27&lt;/key&gt;&lt;/foreign-keys&gt;&lt;ref-type name="Journal Article"&gt;17&lt;/ref-type&gt;&lt;contributors&gt;&lt;authors&gt;&lt;author&gt;Yaussy, Daniel A.&lt;/author&gt;&lt;/authors&gt;&lt;/contributors&gt;&lt;titles&gt;&lt;title&gt;Comparison of an empirical forest growth and yield simulator and a forest gap simulator using actual 30-year growth from two even-aged forests in Kentucky&lt;/title&gt;&lt;secondary-title&gt;Forest Ecology and Management&lt;/secondary-title&gt;&lt;/titles&gt;&lt;periodical&gt;&lt;full-title&gt;Forest Ecology and Management&lt;/full-title&gt;&lt;abbr-1&gt;For. Ecol. Manage.&lt;/abbr-1&gt;&lt;/periodical&gt;&lt;pages&gt;385-398&lt;/pages&gt;&lt;volume&gt;126&lt;/volume&gt;&lt;number&gt;3&lt;/number&gt;&lt;keywords&gt;&lt;keyword&gt;NE-TWIGS&lt;/keyword&gt;&lt;keyword&gt;ZELIG&lt;/keyword&gt;&lt;keyword&gt;Validation&lt;/keyword&gt;&lt;/keywords&gt;&lt;dates&gt;&lt;year&gt;2000&lt;/year&gt;&lt;/dates&gt;&lt;isbn&gt;0378-1127&lt;/isbn&gt;&lt;urls&gt;&lt;related-urls&gt;&lt;url&gt;http://www.sciencedirect.com/science/article/B6T6X-3Y80F8M-C/2/03c4bbdfc17f5c62a19e3fa934e629e2&lt;/url&gt;&lt;/related-urls&gt;&lt;/urls&gt;&lt;/record&gt;&lt;/Cite&gt;&lt;/EndNote&gt;</w:instrText>
      </w:r>
      <w:r w:rsidR="00DB1889" w:rsidRPr="00222852">
        <w:rPr>
          <w:rFonts w:cs="TimesNewRomanPSMT"/>
        </w:rPr>
        <w:fldChar w:fldCharType="separate"/>
      </w:r>
      <w:r w:rsidR="00A87D07">
        <w:rPr>
          <w:rFonts w:cs="TimesNewRomanPSMT"/>
          <w:noProof/>
        </w:rPr>
        <w:t>(</w:t>
      </w:r>
      <w:hyperlink w:anchor="_ENREF_147" w:tooltip="Yaussy, 2000 #25" w:history="1">
        <w:r w:rsidR="001E4C88">
          <w:rPr>
            <w:rFonts w:cs="TimesNewRomanPSMT"/>
            <w:noProof/>
          </w:rPr>
          <w:t>Yaussy 2000</w:t>
        </w:r>
      </w:hyperlink>
      <w:r w:rsidR="00A87D07">
        <w:rPr>
          <w:rFonts w:cs="TimesNewRomanPSMT"/>
          <w:noProof/>
        </w:rPr>
        <w:t>)</w:t>
      </w:r>
      <w:r w:rsidR="00DB1889" w:rsidRPr="00222852">
        <w:rPr>
          <w:rFonts w:cs="TimesNewRomanPSMT"/>
        </w:rPr>
        <w:fldChar w:fldCharType="end"/>
      </w:r>
      <w:r w:rsidR="00DB1889" w:rsidRPr="00222852">
        <w:rPr>
          <w:rFonts w:cs="TimesNewRomanPSMT"/>
        </w:rPr>
        <w:t>.</w:t>
      </w:r>
      <w:r w:rsidR="00DB1889">
        <w:rPr>
          <w:rFonts w:cs="TimesNewRomanPSMT"/>
        </w:rPr>
        <w:t xml:space="preserve">  Assuming the </w:t>
      </w:r>
      <w:proofErr w:type="spellStart"/>
      <w:r w:rsidR="00D16B01">
        <w:rPr>
          <w:rFonts w:cs="TimesNewRomanPSMT"/>
        </w:rPr>
        <w:t>Sn</w:t>
      </w:r>
      <w:proofErr w:type="spellEnd"/>
      <w:r w:rsidR="00D16B01">
        <w:rPr>
          <w:rFonts w:cs="TimesNewRomanPSMT"/>
        </w:rPr>
        <w:t>-</w:t>
      </w:r>
      <w:r w:rsidR="00DB1889">
        <w:rPr>
          <w:rFonts w:cs="TimesNewRomanPSMT"/>
        </w:rPr>
        <w:t>variant is equally apt at simulating upland hardwood growth and capable of the same overstating</w:t>
      </w:r>
      <w:r w:rsidR="008A4CD8">
        <w:rPr>
          <w:rFonts w:cs="TimesNewRomanPSMT"/>
        </w:rPr>
        <w:t xml:space="preserve"> </w:t>
      </w:r>
      <w:r w:rsidR="00DB1889">
        <w:rPr>
          <w:rFonts w:cs="TimesNewRomanPSMT"/>
        </w:rPr>
        <w:t>bias, it seemed reasonable to reduce the site indices of the most productive plots by 5</w:t>
      </w:r>
      <w:r w:rsidR="00D16B01" w:rsidRPr="00D16B01">
        <w:rPr>
          <w:rFonts w:cs="TimesNewRomanPSMT"/>
        </w:rPr>
        <w:t>′</w:t>
      </w:r>
      <w:r w:rsidR="00DB1889">
        <w:rPr>
          <w:rFonts w:cs="TimesNewRomanPSMT"/>
        </w:rPr>
        <w:t xml:space="preserve">, which may be manifested by </w:t>
      </w:r>
      <w:r w:rsidR="00D16B01">
        <w:rPr>
          <w:rFonts w:cs="TimesNewRomanPSMT"/>
        </w:rPr>
        <w:t>the warming climate</w:t>
      </w:r>
      <w:r w:rsidR="00DB1889">
        <w:rPr>
          <w:rFonts w:cs="TimesNewRomanPSMT"/>
        </w:rPr>
        <w:t xml:space="preserve">. </w:t>
      </w:r>
    </w:p>
    <w:p w:rsidR="004E746C" w:rsidRDefault="00580591" w:rsidP="004E746C">
      <w:pPr>
        <w:spacing w:line="480" w:lineRule="auto"/>
        <w:ind w:firstLine="720"/>
        <w:rPr>
          <w:rFonts w:cs="TimesNewRomanPSMT"/>
        </w:rPr>
      </w:pPr>
      <w:r>
        <w:t>Individual CFI plots were comprised of nested plots (concentric circles of differing radii from plot center) in which sampling was based on size class.  All sawtimber size trees (</w:t>
      </w:r>
      <w:r w:rsidR="00EA4B18">
        <w:rPr>
          <w:rFonts w:cs="Calibri"/>
        </w:rPr>
        <w:t>≥</w:t>
      </w:r>
      <w:r>
        <w:t>11</w:t>
      </w:r>
      <w:r w:rsidR="005077DB" w:rsidRPr="005077DB">
        <w:t>″</w:t>
      </w:r>
      <w:r>
        <w:t>DBH and above) were measured on 1/5 acres (ac) plots and all poletimber (5-10.9</w:t>
      </w:r>
      <w:r w:rsidR="005077DB" w:rsidRPr="005077DB">
        <w:t>″</w:t>
      </w:r>
      <w:r>
        <w:t xml:space="preserve">DBH) on 1/20ac plots.  </w:t>
      </w:r>
      <w:r w:rsidR="00FA5FE2">
        <w:t>Field sheets included a</w:t>
      </w:r>
      <w:r>
        <w:t xml:space="preserve"> tally box for advance </w:t>
      </w:r>
      <w:r w:rsidR="00303F41">
        <w:t>reproduction</w:t>
      </w:r>
      <w:r w:rsidR="00ED4AEB">
        <w:t xml:space="preserve"> in 1/100</w:t>
      </w:r>
      <w:r>
        <w:t xml:space="preserve">ac plots </w:t>
      </w:r>
      <w:r w:rsidR="00FA5FE2">
        <w:t xml:space="preserve">but </w:t>
      </w:r>
      <w:r>
        <w:t>surveyors were not instructed to measure their diameters</w:t>
      </w:r>
      <w:r w:rsidR="00FA5FE2">
        <w:t xml:space="preserve"> or heights</w:t>
      </w:r>
      <w:r w:rsidR="00303F41">
        <w:t xml:space="preserve">.  </w:t>
      </w:r>
      <w:r w:rsidR="00FA5FE2">
        <w:t>Hence, f</w:t>
      </w:r>
      <w:r w:rsidRPr="00F214C9">
        <w:rPr>
          <w:rFonts w:cs="TimesNewRomanPSMT"/>
        </w:rPr>
        <w:t>our</w:t>
      </w:r>
      <w:r>
        <w:rPr>
          <w:rFonts w:cs="TimesNewRomanPSMT"/>
        </w:rPr>
        <w:t xml:space="preserve"> </w:t>
      </w:r>
      <w:r w:rsidRPr="00F214C9">
        <w:rPr>
          <w:rFonts w:cs="TimesNewRomanPSMT"/>
        </w:rPr>
        <w:t>fixed-</w:t>
      </w:r>
      <w:r>
        <w:rPr>
          <w:rFonts w:cs="TimesNewRomanPSMT"/>
        </w:rPr>
        <w:t>area</w:t>
      </w:r>
      <w:r w:rsidRPr="00F214C9">
        <w:rPr>
          <w:rFonts w:cs="TimesNewRomanPSMT"/>
        </w:rPr>
        <w:t xml:space="preserve"> regeneration plots</w:t>
      </w:r>
      <w:r w:rsidRPr="004A69C7">
        <w:t xml:space="preserve"> </w:t>
      </w:r>
      <w:r>
        <w:t xml:space="preserve">sampled in 2003 were chosen as substitute CFI regeneration plots to populate each CFI plot’s </w:t>
      </w:r>
      <w:r w:rsidR="00C43207">
        <w:t>small-tree</w:t>
      </w:r>
      <w:r>
        <w:t xml:space="preserve"> list.  </w:t>
      </w:r>
      <w:r>
        <w:rPr>
          <w:rFonts w:cs="TimesNewRomanPSMT"/>
        </w:rPr>
        <w:t xml:space="preserve">In most cases where a </w:t>
      </w:r>
      <w:r w:rsidRPr="00F214C9">
        <w:rPr>
          <w:rFonts w:cs="TimesNewRomanPSMT"/>
        </w:rPr>
        <w:t xml:space="preserve">cruise point landed very close to </w:t>
      </w:r>
      <w:r>
        <w:rPr>
          <w:rFonts w:cs="TimesNewRomanPSMT"/>
        </w:rPr>
        <w:t xml:space="preserve">a </w:t>
      </w:r>
      <w:r w:rsidRPr="00F214C9">
        <w:rPr>
          <w:rFonts w:cs="TimesNewRomanPSMT"/>
        </w:rPr>
        <w:t>CFI plot</w:t>
      </w:r>
      <w:r>
        <w:rPr>
          <w:rFonts w:cs="TimesNewRomanPSMT"/>
        </w:rPr>
        <w:t>,</w:t>
      </w:r>
      <w:r w:rsidRPr="00F214C9">
        <w:rPr>
          <w:rFonts w:cs="TimesNewRomanPSMT"/>
        </w:rPr>
        <w:t xml:space="preserve"> the corresponding </w:t>
      </w:r>
      <w:r>
        <w:rPr>
          <w:rFonts w:cs="TimesNewRomanPSMT"/>
        </w:rPr>
        <w:t>regeneration</w:t>
      </w:r>
      <w:r w:rsidRPr="00F214C9">
        <w:rPr>
          <w:rFonts w:cs="TimesNewRomanPSMT"/>
        </w:rPr>
        <w:t xml:space="preserve"> tallies were added to the tree list </w:t>
      </w:r>
      <w:r>
        <w:rPr>
          <w:rFonts w:cs="TimesNewRomanPSMT"/>
        </w:rPr>
        <w:t>of that</w:t>
      </w:r>
      <w:r w:rsidRPr="00F214C9">
        <w:rPr>
          <w:rFonts w:cs="TimesNewRomanPSMT"/>
        </w:rPr>
        <w:t xml:space="preserve"> plot.  Otherwise, </w:t>
      </w:r>
      <w:r>
        <w:rPr>
          <w:rFonts w:cs="TimesNewRomanPSMT"/>
        </w:rPr>
        <w:t xml:space="preserve">regeneration </w:t>
      </w:r>
      <w:r w:rsidRPr="00F214C9">
        <w:rPr>
          <w:rFonts w:cs="TimesNewRomanPSMT"/>
        </w:rPr>
        <w:t xml:space="preserve">plots </w:t>
      </w:r>
      <w:r>
        <w:rPr>
          <w:rFonts w:cs="TimesNewRomanPSMT"/>
        </w:rPr>
        <w:t>were selected if the parent plot was found to match the co</w:t>
      </w:r>
      <w:r w:rsidR="00DB1889">
        <w:rPr>
          <w:rFonts w:cs="TimesNewRomanPSMT"/>
        </w:rPr>
        <w:t>nditions of the given CFI plot.</w:t>
      </w:r>
    </w:p>
    <w:p w:rsidR="00580591" w:rsidRDefault="00580591" w:rsidP="00315CD5">
      <w:pPr>
        <w:spacing w:line="480" w:lineRule="auto"/>
        <w:ind w:firstLine="720"/>
      </w:pPr>
      <w:r>
        <w:rPr>
          <w:rFonts w:cs="TimesNewRomanPSMT"/>
        </w:rPr>
        <w:t>Regeneration plots were also nested, in which seedlings (</w:t>
      </w:r>
      <w:r>
        <w:t>under 1</w:t>
      </w:r>
      <w:r w:rsidR="005077DB" w:rsidRPr="005077DB">
        <w:t>″</w:t>
      </w:r>
      <w:r>
        <w:t xml:space="preserve">DBH) that fell in a 1/1000 ac plot were counted by species </w:t>
      </w:r>
      <w:r w:rsidR="008A4CD8">
        <w:t>while</w:t>
      </w:r>
      <w:r>
        <w:t xml:space="preserve"> saplings were counted in 1/200 ac plots by species.  </w:t>
      </w:r>
      <w:r w:rsidRPr="00F214C9">
        <w:t xml:space="preserve">In </w:t>
      </w:r>
      <w:r>
        <w:t xml:space="preserve">such </w:t>
      </w:r>
      <w:proofErr w:type="spellStart"/>
      <w:r>
        <w:t>micro</w:t>
      </w:r>
      <w:r w:rsidRPr="00F214C9">
        <w:t>plots</w:t>
      </w:r>
      <w:proofErr w:type="spellEnd"/>
      <w:r w:rsidRPr="00F214C9">
        <w:t xml:space="preserve">, </w:t>
      </w:r>
      <w:r w:rsidR="00B26E98">
        <w:t>stems</w:t>
      </w:r>
      <w:r w:rsidRPr="00F214C9">
        <w:t xml:space="preserve"> were tallied by the number</w:t>
      </w:r>
      <w:r w:rsidRPr="00B747B7">
        <w:t xml:space="preserve"> of seedlings </w:t>
      </w:r>
      <w:r>
        <w:t xml:space="preserve">in </w:t>
      </w:r>
      <w:r w:rsidRPr="00B747B7">
        <w:t xml:space="preserve">3 different height classes </w:t>
      </w:r>
      <w:r w:rsidR="00EA4B18">
        <w:t>(&lt;1</w:t>
      </w:r>
      <w:r w:rsidR="005077DB">
        <w:rPr>
          <w:rFonts w:cs="Calibri"/>
        </w:rPr>
        <w:t>′</w:t>
      </w:r>
      <w:r w:rsidR="00EA4B18">
        <w:t>; 1-3.9</w:t>
      </w:r>
      <w:r w:rsidR="005077DB">
        <w:rPr>
          <w:rFonts w:cs="Calibri"/>
        </w:rPr>
        <w:t>′</w:t>
      </w:r>
      <w:r>
        <w:t xml:space="preserve">; and </w:t>
      </w:r>
      <w:r w:rsidR="00EA4B18">
        <w:rPr>
          <w:rFonts w:cs="Calibri"/>
        </w:rPr>
        <w:t>≥</w:t>
      </w:r>
      <w:r w:rsidR="005077DB">
        <w:t>4</w:t>
      </w:r>
      <w:r w:rsidR="005077DB">
        <w:rPr>
          <w:rFonts w:cs="Calibri"/>
        </w:rPr>
        <w:t>′</w:t>
      </w:r>
      <w:r>
        <w:t xml:space="preserve">) and the number of </w:t>
      </w:r>
      <w:r w:rsidR="00B26E98">
        <w:t>saplings</w:t>
      </w:r>
      <w:r>
        <w:t xml:space="preserve"> </w:t>
      </w:r>
      <w:r w:rsidR="00470D67">
        <w:t xml:space="preserve">one inch </w:t>
      </w:r>
      <w:r>
        <w:t>DBH or more, distinguishing between which would likely become part of the future overstory (acceptable growing stock</w:t>
      </w:r>
      <w:r w:rsidRPr="00550B99">
        <w:t>) or not (unacceptable growing stock)</w:t>
      </w:r>
      <w:r>
        <w:t xml:space="preserve"> </w:t>
      </w:r>
      <w:r w:rsidRPr="00550B99">
        <w:t xml:space="preserve">as a result of form, species or competition. </w:t>
      </w:r>
      <w:r>
        <w:t xml:space="preserve"> </w:t>
      </w:r>
      <w:r w:rsidR="00B26E98">
        <w:t>A</w:t>
      </w:r>
      <w:r w:rsidRPr="00E258B9">
        <w:t>ll</w:t>
      </w:r>
      <w:r w:rsidRPr="00B747B7">
        <w:t xml:space="preserve"> </w:t>
      </w:r>
      <w:r>
        <w:t>seedlings</w:t>
      </w:r>
      <w:r w:rsidRPr="00B747B7">
        <w:t xml:space="preserve"> in the medium h</w:t>
      </w:r>
      <w:r>
        <w:t>eigh</w:t>
      </w:r>
      <w:r w:rsidRPr="00B747B7">
        <w:t xml:space="preserve">t class were assumed to </w:t>
      </w:r>
      <w:r w:rsidR="0057247E">
        <w:t>be 1.4</w:t>
      </w:r>
      <w:r w:rsidR="0057247E">
        <w:rPr>
          <w:rFonts w:cs="Calibri"/>
        </w:rPr>
        <w:t>′</w:t>
      </w:r>
      <w:r>
        <w:t xml:space="preserve"> </w:t>
      </w:r>
      <w:r w:rsidRPr="00B747B7">
        <w:t xml:space="preserve">because it is near the low end of the </w:t>
      </w:r>
      <w:r>
        <w:t>height class</w:t>
      </w:r>
      <w:r w:rsidRPr="00B747B7">
        <w:t xml:space="preserve"> and is the </w:t>
      </w:r>
      <w:r>
        <w:t>SN</w:t>
      </w:r>
      <w:r w:rsidR="00FD2D85">
        <w:t>-variant’s</w:t>
      </w:r>
      <w:r>
        <w:t xml:space="preserve"> </w:t>
      </w:r>
      <w:r w:rsidRPr="00B747B7">
        <w:t>s</w:t>
      </w:r>
      <w:r>
        <w:t>uggested minimum height for oak and maple advance regeneration.  All trees greater than 4</w:t>
      </w:r>
      <w:r w:rsidR="0057247E">
        <w:rPr>
          <w:rFonts w:cs="Calibri"/>
        </w:rPr>
        <w:t>′</w:t>
      </w:r>
      <w:r>
        <w:t xml:space="preserve"> </w:t>
      </w:r>
      <w:r w:rsidRPr="00B747B7">
        <w:t>class</w:t>
      </w:r>
      <w:r w:rsidR="00E20CB8">
        <w:t>ifi</w:t>
      </w:r>
      <w:r>
        <w:t xml:space="preserve">ed as acceptable growing stock were not given </w:t>
      </w:r>
      <w:r w:rsidRPr="00B747B7">
        <w:t xml:space="preserve">heights </w:t>
      </w:r>
      <w:r>
        <w:t xml:space="preserve">and were </w:t>
      </w:r>
      <w:r w:rsidR="00E20CB8">
        <w:t>allowed to be defined</w:t>
      </w:r>
      <w:r>
        <w:t xml:space="preserve"> by the </w:t>
      </w:r>
      <w:r>
        <w:lastRenderedPageBreak/>
        <w:t>height-diameter relationship employed by FVS</w:t>
      </w:r>
      <w:r w:rsidR="00E20CB8">
        <w:t xml:space="preserve"> because this relationship</w:t>
      </w:r>
      <w:r>
        <w:t xml:space="preserve"> </w:t>
      </w:r>
      <w:r w:rsidR="00303F41">
        <w:t xml:space="preserve">was found to </w:t>
      </w:r>
      <w:r>
        <w:t xml:space="preserve">accurately </w:t>
      </w:r>
      <w:r w:rsidR="00E20CB8">
        <w:t>predict</w:t>
      </w:r>
      <w:r w:rsidR="00B26E98">
        <w:t xml:space="preserve"> heights when compared with </w:t>
      </w:r>
      <w:r w:rsidRPr="00B747B7">
        <w:t xml:space="preserve">CFI </w:t>
      </w:r>
      <w:r>
        <w:t xml:space="preserve">data </w:t>
      </w:r>
      <w:r w:rsidR="00E20CB8">
        <w:t xml:space="preserve">obtained </w:t>
      </w:r>
      <w:r>
        <w:t>from</w:t>
      </w:r>
      <w:r w:rsidRPr="008B0E84">
        <w:t xml:space="preserve"> </w:t>
      </w:r>
      <w:r w:rsidRPr="00B747B7">
        <w:t>Duke Forest</w:t>
      </w:r>
      <w:r w:rsidR="00E20CB8">
        <w:t xml:space="preserve"> (Durham, NC)</w:t>
      </w:r>
      <w:r w:rsidRPr="00B747B7">
        <w:t>.</w:t>
      </w:r>
      <w:r>
        <w:t xml:space="preserve">  Because the majority of </w:t>
      </w:r>
      <w:r w:rsidR="00EA4B18">
        <w:t>saplings</w:t>
      </w:r>
      <w:r>
        <w:t xml:space="preserve"> classed as unacceptable growing stock were Red maple, these trees were given heights equal those of the medium </w:t>
      </w:r>
      <w:r w:rsidR="004331B5">
        <w:t xml:space="preserve">seedling </w:t>
      </w:r>
      <w:r>
        <w:t>height (1.</w:t>
      </w:r>
      <w:r w:rsidR="00303F41">
        <w:t>4</w:t>
      </w:r>
      <w:r w:rsidR="0057247E">
        <w:rPr>
          <w:rFonts w:cs="Calibri"/>
        </w:rPr>
        <w:t>′</w:t>
      </w:r>
      <w:r>
        <w:t xml:space="preserve">) to ensure that they were given </w:t>
      </w:r>
      <w:r w:rsidR="00ED4AEB">
        <w:t>less of an advantage at</w:t>
      </w:r>
      <w:r>
        <w:t xml:space="preserve"> becoming part of the overstory.</w:t>
      </w:r>
      <w:r w:rsidRPr="0064636F">
        <w:t xml:space="preserve"> </w:t>
      </w:r>
      <w:r>
        <w:t xml:space="preserve"> </w:t>
      </w:r>
      <w:r w:rsidR="00B26E98">
        <w:t>The d</w:t>
      </w:r>
      <w:r>
        <w:t>iameters of s</w:t>
      </w:r>
      <w:r w:rsidRPr="00F600D4">
        <w:t xml:space="preserve">eedlings </w:t>
      </w:r>
      <w:r>
        <w:t xml:space="preserve">and saplings were </w:t>
      </w:r>
      <w:r w:rsidR="00B26E98">
        <w:t xml:space="preserve">approximated since they were </w:t>
      </w:r>
      <w:r>
        <w:t>not measured</w:t>
      </w:r>
      <w:r w:rsidR="00B26E98">
        <w:t>.</w:t>
      </w:r>
    </w:p>
    <w:p w:rsidR="00A90A39" w:rsidRDefault="00315CD5" w:rsidP="00A90A39">
      <w:pPr>
        <w:spacing w:before="100" w:beforeAutospacing="1" w:after="100" w:afterAutospacing="1" w:line="480" w:lineRule="auto"/>
        <w:ind w:firstLine="720"/>
      </w:pPr>
      <w:r>
        <w:t>Upper m</w:t>
      </w:r>
      <w:r w:rsidR="00664FE6" w:rsidRPr="00D21083">
        <w:t>erchantable heights</w:t>
      </w:r>
      <w:r w:rsidR="00664FE6">
        <w:t xml:space="preserve"> were measured </w:t>
      </w:r>
      <w:r w:rsidR="00664FE6" w:rsidRPr="00D21083">
        <w:t xml:space="preserve">to a four inch </w:t>
      </w:r>
      <w:r w:rsidR="00664FE6">
        <w:t xml:space="preserve">top diameter outside bark (DOB) </w:t>
      </w:r>
      <w:r w:rsidR="00664FE6" w:rsidRPr="00D21083">
        <w:t xml:space="preserve">with a clinometer and pentaprism </w:t>
      </w:r>
      <w:r w:rsidR="00664FE6">
        <w:t>caliper.  Precision is vaguely mentioned for merchantable heights in the CFI field manual but called for them to be “measured to the nearest two feet”</w:t>
      </w:r>
      <w:r w:rsidR="00E96FCE" w:rsidRPr="00E96FCE">
        <w:t xml:space="preserve"> </w:t>
      </w:r>
      <w:r w:rsidR="00E96FCE">
        <w:fldChar w:fldCharType="begin"/>
      </w:r>
      <w:r w:rsidR="00A87D07">
        <w:instrText xml:space="preserve"> ADDIN EN.CITE &lt;EndNote&gt;&lt;Cite&gt;&lt;Author&gt;Batteson&lt;/Author&gt;&lt;Year&gt;1976&lt;/Year&gt;&lt;RecNum&gt;272&lt;/RecNum&gt;&lt;DisplayText&gt;(Batteson and Hitchcock 1976)&lt;/DisplayText&gt;&lt;record&gt;&lt;rec-number&gt;272&lt;/rec-number&gt;&lt;foreign-keys&gt;&lt;key app="EN" db-id="a90s5zadewrawxeer07v2f90xr5vxv022sat"&gt;272&lt;/key&gt;&lt;/foreign-keys&gt;&lt;ref-type name="Standard"&gt;58&lt;/ref-type&gt;&lt;contributors&gt;&lt;authors&gt;&lt;author&gt;Batteson, A.R&lt;/author&gt;&lt;author&gt;Hitchcock, H.C.&lt;/author&gt;&lt;/authors&gt;&lt;/contributors&gt;&lt;titles&gt;&lt;title&gt;Tennessee Valley Authority Continuous Forest Inventory Field Manual for County-Units in the Tennessee Valley. Division of Forestry, Fisheries, and Wildlife Development, TVA, Norris, TN. 77p.&lt;/title&gt;&lt;/titles&gt;&lt;dates&gt;&lt;year&gt;1976&lt;/year&gt;&lt;/dates&gt;&lt;urls&gt;&lt;/urls&gt;&lt;/record&gt;&lt;/Cite&gt;&lt;/EndNote&gt;</w:instrText>
      </w:r>
      <w:r w:rsidR="00E96FCE">
        <w:fldChar w:fldCharType="separate"/>
      </w:r>
      <w:r w:rsidR="00A87D07">
        <w:rPr>
          <w:noProof/>
        </w:rPr>
        <w:t>(</w:t>
      </w:r>
      <w:hyperlink w:anchor="_ENREF_23" w:tooltip="Batteson, 1976 #272" w:history="1">
        <w:r w:rsidR="001E4C88">
          <w:rPr>
            <w:noProof/>
          </w:rPr>
          <w:t>Batteson and Hitchcock 1976</w:t>
        </w:r>
      </w:hyperlink>
      <w:r w:rsidR="00A87D07">
        <w:rPr>
          <w:noProof/>
        </w:rPr>
        <w:t>)</w:t>
      </w:r>
      <w:r w:rsidR="00E96FCE">
        <w:fldChar w:fldCharType="end"/>
      </w:r>
      <w:r w:rsidR="00664FE6">
        <w:t>; though, heights were measured in one foot</w:t>
      </w:r>
      <w:r w:rsidR="00CA66E2">
        <w:t xml:space="preserve"> (ft.)</w:t>
      </w:r>
      <w:r w:rsidR="00664FE6">
        <w:t xml:space="preserve"> increments.  Thus, upper merchantable height data were as</w:t>
      </w:r>
      <w:r w:rsidR="00664FE6" w:rsidRPr="00D21083">
        <w:t xml:space="preserve">sumed to </w:t>
      </w:r>
      <w:r w:rsidR="00664FE6">
        <w:t>be accurate to ±</w:t>
      </w:r>
      <w:r w:rsidR="00E96FCE">
        <w:t xml:space="preserve"> </w:t>
      </w:r>
      <w:r w:rsidR="00664FE6">
        <w:t xml:space="preserve">one ft.  </w:t>
      </w:r>
      <w:r w:rsidR="00664FE6" w:rsidRPr="00D21083">
        <w:t xml:space="preserve">The pentaprism </w:t>
      </w:r>
      <w:r w:rsidR="00664FE6">
        <w:t xml:space="preserve">caliper </w:t>
      </w:r>
      <w:r w:rsidR="00664FE6" w:rsidRPr="00D21083">
        <w:t xml:space="preserve">not only allowed surveyors to ensure merchantable heights were precisely measured to the correct top diameter, but more importantly, it allowed for measurements of the </w:t>
      </w:r>
      <w:r w:rsidR="00664FE6">
        <w:t>variable top-</w:t>
      </w:r>
      <w:r w:rsidR="00664FE6" w:rsidRPr="00D21083">
        <w:t>diameter dividing a stem’s sawlog and pulpwood portions</w:t>
      </w:r>
      <w:r w:rsidR="00664FE6">
        <w:t xml:space="preserve">.  </w:t>
      </w:r>
      <w:r>
        <w:t xml:space="preserve">Although these top diameters were meant to be inside bark (DIB) estimates, there was no indication that the cruisers were equipped with a bark gauge in addition to the pentaprism </w:t>
      </w:r>
      <w:r w:rsidR="008A4CD8">
        <w:t xml:space="preserve">caliper </w:t>
      </w:r>
      <w:r>
        <w:t xml:space="preserve">to estimate DIB of upper merchantable heights.  </w:t>
      </w:r>
      <w:r w:rsidRPr="00D21083">
        <w:t xml:space="preserve">The resulting estimates of sawtimber </w:t>
      </w:r>
      <w:r>
        <w:t>merchantable heights</w:t>
      </w:r>
      <w:r w:rsidRPr="00D21083">
        <w:t xml:space="preserve"> enabled sawlog volume t</w:t>
      </w:r>
      <w:r w:rsidR="00DE5CE2">
        <w:t>o be more accurately quantified</w:t>
      </w:r>
      <w:r>
        <w:t>.  Because sawtimber merchantable heights were closer to the surveyor than upper heights, they were assumed to be exact measurements.</w:t>
      </w:r>
      <w:r w:rsidR="00DE5CE2">
        <w:t xml:space="preserve">  </w:t>
      </w:r>
      <w:r>
        <w:t>While t</w:t>
      </w:r>
      <w:r w:rsidR="00664FE6">
        <w:t>imber volume equations employed herein wer</w:t>
      </w:r>
      <w:r w:rsidR="00CA66E2">
        <w:t>e derived from trees cut one f</w:t>
      </w:r>
      <w:r w:rsidR="00664FE6">
        <w:t>t</w:t>
      </w:r>
      <w:r w:rsidR="00CA66E2">
        <w:t>.</w:t>
      </w:r>
      <w:r w:rsidR="00664FE6">
        <w:t xml:space="preserve"> off the ground and implicitly assume mercha</w:t>
      </w:r>
      <w:r w:rsidR="00CA66E2">
        <w:t>ntable heights include a one f</w:t>
      </w:r>
      <w:r w:rsidR="00664FE6">
        <w:t>t</w:t>
      </w:r>
      <w:r w:rsidR="00CA66E2">
        <w:t>.</w:t>
      </w:r>
      <w:r w:rsidR="00664FE6">
        <w:t xml:space="preserve"> stump</w:t>
      </w:r>
      <w:r>
        <w:t xml:space="preserve">, </w:t>
      </w:r>
      <w:r w:rsidR="00664FE6">
        <w:t>survey documents</w:t>
      </w:r>
      <w:r>
        <w:t xml:space="preserve"> did not indicate</w:t>
      </w:r>
      <w:r w:rsidR="00664FE6">
        <w:t xml:space="preserve"> whether stumps were included or excluded in CFI height measurements.  By contrast, merchantable height of sawtimber is defined by </w:t>
      </w:r>
      <w:proofErr w:type="spellStart"/>
      <w:r w:rsidR="00664FE6">
        <w:t>Cassens</w:t>
      </w:r>
      <w:proofErr w:type="spellEnd"/>
      <w:r w:rsidR="00664FE6">
        <w:t xml:space="preserve"> </w:t>
      </w:r>
      <w:r w:rsidR="00664FE6" w:rsidRPr="009956CE">
        <w:fldChar w:fldCharType="begin"/>
      </w:r>
      <w:r w:rsidR="00A87D07">
        <w:instrText xml:space="preserve"> ADDIN EN.CITE &lt;EndNote&gt;&lt;Cite ExcludeAuth="1"&gt;&lt;Author&gt;Cassens&lt;/Author&gt;&lt;Year&gt;2001&lt;/Year&gt;&lt;RecNum&gt;209&lt;/RecNum&gt;&lt;DisplayText&gt;(2001)&lt;/DisplayText&gt;&lt;record&gt;&lt;rec-number&gt;209&lt;/rec-number&gt;&lt;foreign-keys&gt;&lt;key app="EN" db-id="a90s5zadewrawxeer07v2f90xr5vxv022sat"&gt;209&lt;/key&gt;&lt;/foreign-keys&gt;&lt;ref-type name="Report"&gt;27&lt;/ref-type&gt;&lt;contributors&gt;&lt;authors&gt;&lt;author&gt;Daniel Cassens&lt;/author&gt;&lt;/authors&gt;&lt;/contributors&gt;&lt;titles&gt;&lt;title&gt;Log and Tree Scaling Techniques. Publication FNR-191. West Lafayette, Indiana: Purdue University Cooperative Extension Service. 16 p&lt;/title&gt;&lt;/titles&gt;&lt;dates&gt;&lt;year&gt;2001&lt;/year&gt;&lt;/dates&gt;&lt;urls&gt;&lt;/urls&gt;&lt;/record&gt;&lt;/Cite&gt;&lt;/EndNote&gt;</w:instrText>
      </w:r>
      <w:r w:rsidR="00664FE6" w:rsidRPr="009956CE">
        <w:fldChar w:fldCharType="separate"/>
      </w:r>
      <w:r w:rsidR="00A87D07">
        <w:rPr>
          <w:noProof/>
        </w:rPr>
        <w:t>(</w:t>
      </w:r>
      <w:hyperlink w:anchor="_ENREF_36" w:tooltip="Cassens, 2001 #209" w:history="1">
        <w:r w:rsidR="001E4C88">
          <w:rPr>
            <w:noProof/>
          </w:rPr>
          <w:t>2001</w:t>
        </w:r>
      </w:hyperlink>
      <w:r w:rsidR="00A87D07">
        <w:rPr>
          <w:noProof/>
        </w:rPr>
        <w:t>)</w:t>
      </w:r>
      <w:r w:rsidR="00664FE6" w:rsidRPr="009956CE">
        <w:fldChar w:fldCharType="end"/>
      </w:r>
      <w:r w:rsidR="00664FE6">
        <w:t xml:space="preserve"> as “</w:t>
      </w:r>
      <w:r w:rsidR="00664FE6" w:rsidRPr="00E0201F">
        <w:t>that portion of a tree</w:t>
      </w:r>
      <w:r w:rsidR="00664FE6">
        <w:t xml:space="preserve"> </w:t>
      </w:r>
      <w:r w:rsidR="00664FE6" w:rsidRPr="00E0201F">
        <w:t>from stump height to a point on the stem at which</w:t>
      </w:r>
      <w:r w:rsidR="00664FE6">
        <w:t xml:space="preserve"> </w:t>
      </w:r>
      <w:r w:rsidR="00664FE6" w:rsidRPr="00E0201F">
        <w:t>merchanta</w:t>
      </w:r>
      <w:r w:rsidR="00664FE6">
        <w:t>bility for saw</w:t>
      </w:r>
      <w:r w:rsidR="00664FE6" w:rsidRPr="00E0201F">
        <w:t>timber is limited by branches,</w:t>
      </w:r>
      <w:r w:rsidR="00664FE6">
        <w:t xml:space="preserve"> </w:t>
      </w:r>
      <w:r w:rsidR="00664FE6" w:rsidRPr="00E0201F">
        <w:t>deformity, or minimum diameter</w:t>
      </w:r>
      <w:r w:rsidR="00664FE6">
        <w:t>”</w:t>
      </w:r>
      <w:r w:rsidR="00664FE6" w:rsidRPr="00E0201F">
        <w:t xml:space="preserve">. </w:t>
      </w:r>
      <w:r w:rsidR="00664FE6">
        <w:t xml:space="preserve"> Given that many small sawtimber trees in the data have sawtimber heights of 16</w:t>
      </w:r>
      <w:r w:rsidR="00664FE6">
        <w:rPr>
          <w:rFonts w:cs="Calibri"/>
        </w:rPr>
        <w:t>′</w:t>
      </w:r>
      <w:r w:rsidR="00664FE6">
        <w:t xml:space="preserve">, the universal butt log </w:t>
      </w:r>
      <w:proofErr w:type="gramStart"/>
      <w:r w:rsidR="00664FE6">
        <w:t>length,</w:t>
      </w:r>
      <w:proofErr w:type="gramEnd"/>
      <w:r w:rsidR="00664FE6">
        <w:t xml:space="preserve"> it was assumed that merchantable heights </w:t>
      </w:r>
      <w:r w:rsidR="00856FBA">
        <w:t>were representative of</w:t>
      </w:r>
      <w:r w:rsidR="00664FE6">
        <w:t xml:space="preserve"> timber above the stump.</w:t>
      </w:r>
    </w:p>
    <w:p w:rsidR="000B3C94" w:rsidRPr="002B58DD" w:rsidRDefault="000266C4" w:rsidP="00591524">
      <w:pPr>
        <w:numPr>
          <w:ilvl w:val="2"/>
          <w:numId w:val="16"/>
        </w:numPr>
        <w:spacing w:line="480" w:lineRule="auto"/>
        <w:rPr>
          <w:b/>
          <w:bCs/>
          <w:i/>
        </w:rPr>
      </w:pPr>
      <w:r>
        <w:rPr>
          <w:b/>
          <w:i/>
        </w:rPr>
        <w:lastRenderedPageBreak/>
        <w:t>A</w:t>
      </w:r>
      <w:r w:rsidR="000B3C94" w:rsidRPr="002B58DD">
        <w:rPr>
          <w:b/>
          <w:i/>
        </w:rPr>
        <w:t xml:space="preserve">djustments </w:t>
      </w:r>
      <w:r>
        <w:rPr>
          <w:b/>
          <w:i/>
        </w:rPr>
        <w:t>and S</w:t>
      </w:r>
      <w:r w:rsidR="00085B48" w:rsidRPr="002B58DD">
        <w:rPr>
          <w:b/>
          <w:i/>
        </w:rPr>
        <w:t xml:space="preserve">urrogates </w:t>
      </w:r>
      <w:r w:rsidR="000B3C94" w:rsidRPr="002B58DD">
        <w:rPr>
          <w:b/>
          <w:i/>
        </w:rPr>
        <w:t>for Modeling</w:t>
      </w:r>
    </w:p>
    <w:p w:rsidR="007107F8" w:rsidRPr="00E12067" w:rsidRDefault="00A22CFA" w:rsidP="007107F8">
      <w:pPr>
        <w:autoSpaceDE w:val="0"/>
        <w:autoSpaceDN w:val="0"/>
        <w:adjustRightInd w:val="0"/>
        <w:spacing w:line="480" w:lineRule="auto"/>
        <w:ind w:firstLine="720"/>
        <w:rPr>
          <w:rFonts w:asciiTheme="minorHAnsi" w:hAnsiTheme="minorHAnsi" w:cstheme="minorHAnsi"/>
        </w:rPr>
      </w:pPr>
      <w:r>
        <w:t>N</w:t>
      </w:r>
      <w:r w:rsidR="000B3C94">
        <w:t xml:space="preserve">ew trees, </w:t>
      </w:r>
      <w:r w:rsidR="00375D0E">
        <w:t>or</w:t>
      </w:r>
      <w:r w:rsidR="000B3C94">
        <w:t xml:space="preserve"> ingrowth, appear</w:t>
      </w:r>
      <w:r w:rsidR="0039458C">
        <w:t>ed</w:t>
      </w:r>
      <w:r w:rsidR="000B3C94">
        <w:t xml:space="preserve"> in every plot’s second inventory.  These trees were missing in the previous sampling because the breakpoint diameter of the </w:t>
      </w:r>
      <w:r w:rsidR="00375D0E">
        <w:t>given</w:t>
      </w:r>
      <w:r w:rsidR="000B3C94">
        <w:t xml:space="preserve"> plot was greater than the tree’s DBH, preclud</w:t>
      </w:r>
      <w:r w:rsidR="00375D0E">
        <w:t>ing it from being recorded</w:t>
      </w:r>
      <w:r w:rsidR="00794027">
        <w:t>; no</w:t>
      </w:r>
      <w:r w:rsidR="000B3C94">
        <w:t xml:space="preserve"> ingrowth had grown into the plot from outside the plot radius</w:t>
      </w:r>
      <w:r w:rsidR="00794027">
        <w:t>.  I</w:t>
      </w:r>
      <w:r w:rsidR="000B3C94">
        <w:t>ngrowth becomes problematic when comparing inventories because large changes in poletimber</w:t>
      </w:r>
      <w:r w:rsidR="007C71C8">
        <w:t xml:space="preserve"> volume</w:t>
      </w:r>
      <w:r w:rsidR="000B3C94">
        <w:t>, sawtimber</w:t>
      </w:r>
      <w:r w:rsidR="007C71C8">
        <w:t xml:space="preserve"> volume</w:t>
      </w:r>
      <w:r w:rsidR="000B3C94">
        <w:t>, and</w:t>
      </w:r>
      <w:r w:rsidR="007C71C8">
        <w:t xml:space="preserve"> other</w:t>
      </w:r>
      <w:r w:rsidR="000B3C94">
        <w:t xml:space="preserve"> total stand measures may</w:t>
      </w:r>
      <w:r w:rsidR="00D106B4">
        <w:t xml:space="preserve"> occur as </w:t>
      </w:r>
      <w:r w:rsidR="000B3C94">
        <w:t>trees in a small or medium size</w:t>
      </w:r>
      <w:r w:rsidR="0048623D">
        <w:t>-</w:t>
      </w:r>
      <w:r w:rsidR="000B3C94">
        <w:t>class</w:t>
      </w:r>
      <w:r w:rsidR="0048623D">
        <w:t xml:space="preserve"> grow into </w:t>
      </w:r>
      <w:r w:rsidR="007C71C8">
        <w:t>a larger</w:t>
      </w:r>
      <w:r w:rsidR="0048623D">
        <w:t xml:space="preserve"> size-</w:t>
      </w:r>
      <w:r w:rsidR="00375D0E">
        <w:t>class</w:t>
      </w:r>
      <w:r w:rsidR="00D106B4">
        <w:t xml:space="preserve"> where</w:t>
      </w:r>
      <w:r w:rsidR="008A6AAC">
        <w:t xml:space="preserve"> </w:t>
      </w:r>
      <w:r w:rsidR="00D106B4">
        <w:t xml:space="preserve">trees represent fewer trees </w:t>
      </w:r>
      <w:r w:rsidR="007E2178" w:rsidRPr="007E2178">
        <w:t>ac</w:t>
      </w:r>
      <w:r w:rsidR="007E2178" w:rsidRPr="007E2178">
        <w:rPr>
          <w:vertAlign w:val="superscript"/>
        </w:rPr>
        <w:t>-1</w:t>
      </w:r>
      <w:r w:rsidR="0048623D">
        <w:t xml:space="preserve"> than those of the smaller size-</w:t>
      </w:r>
      <w:r w:rsidR="008A6AAC">
        <w:t>class</w:t>
      </w:r>
      <w:r w:rsidR="00375D0E">
        <w:t xml:space="preserve">.  This complication </w:t>
      </w:r>
      <w:r w:rsidR="00A806D2">
        <w:t>emerges</w:t>
      </w:r>
      <w:r w:rsidR="00375D0E">
        <w:t xml:space="preserve"> regardless of whether</w:t>
      </w:r>
      <w:r w:rsidR="000B3C94">
        <w:t xml:space="preserve"> such trees were</w:t>
      </w:r>
      <w:r w:rsidR="00375D0E">
        <w:t xml:space="preserve"> ignored or</w:t>
      </w:r>
      <w:r w:rsidR="000B3C94">
        <w:t xml:space="preserve"> </w:t>
      </w:r>
      <w:r w:rsidR="00375D0E">
        <w:t xml:space="preserve">tallied </w:t>
      </w:r>
      <w:r w:rsidR="000B3C94">
        <w:t>in the past inventory</w:t>
      </w:r>
      <w:r w:rsidR="008A6AAC">
        <w:t xml:space="preserve">. </w:t>
      </w:r>
      <w:r w:rsidR="00BA6D7C">
        <w:t xml:space="preserve"> </w:t>
      </w:r>
      <w:r w:rsidR="00FA5FE2">
        <w:t>In effect, t</w:t>
      </w:r>
      <w:r w:rsidR="00A806D2">
        <w:t>he treatment of ingrowth</w:t>
      </w:r>
      <w:r w:rsidR="00FA5FE2">
        <w:t xml:space="preserve"> had</w:t>
      </w:r>
      <w:r w:rsidR="000B3C94">
        <w:t xml:space="preserve"> major implications in the determination of baseline carbon stocks</w:t>
      </w:r>
      <w:r w:rsidR="007C71C8">
        <w:t xml:space="preserve">, since the </w:t>
      </w:r>
      <w:r w:rsidR="006E2567">
        <w:t xml:space="preserve">minimum-baseline level of AGL </w:t>
      </w:r>
      <w:r w:rsidR="007C71C8">
        <w:t>carbon</w:t>
      </w:r>
      <w:r w:rsidR="006E2567">
        <w:t xml:space="preserve"> stocks</w:t>
      </w:r>
      <w:r w:rsidR="007C71C8">
        <w:t xml:space="preserve"> </w:t>
      </w:r>
      <w:r w:rsidR="008841B8">
        <w:t>had to be</w:t>
      </w:r>
      <w:r w:rsidR="006E2567">
        <w:t xml:space="preserve"> set to initial </w:t>
      </w:r>
      <w:r w:rsidR="007C71C8">
        <w:t>stocks</w:t>
      </w:r>
      <w:r w:rsidR="00611176">
        <w:t xml:space="preserve"> in accordance with the protocol</w:t>
      </w:r>
      <w:r w:rsidR="000B3C94">
        <w:t xml:space="preserve">.  </w:t>
      </w:r>
      <w:r w:rsidR="008841B8">
        <w:t>To err on the side of conservatism</w:t>
      </w:r>
      <w:r w:rsidR="000B3C94">
        <w:t xml:space="preserve">, </w:t>
      </w:r>
      <w:r w:rsidR="00A806D2">
        <w:t xml:space="preserve">surrogates for </w:t>
      </w:r>
      <w:r w:rsidR="000B3C94">
        <w:t xml:space="preserve">all ingrowth </w:t>
      </w:r>
      <w:r w:rsidR="00A806D2">
        <w:t xml:space="preserve">appearing </w:t>
      </w:r>
      <w:r w:rsidR="000453D2">
        <w:t xml:space="preserve">only </w:t>
      </w:r>
      <w:r w:rsidR="000B3C94">
        <w:t>in 1994 w</w:t>
      </w:r>
      <w:r w:rsidR="00A806D2">
        <w:t>ere</w:t>
      </w:r>
      <w:r w:rsidR="000B3C94">
        <w:t xml:space="preserve"> </w:t>
      </w:r>
      <w:r w:rsidR="00A806D2">
        <w:t>created for</w:t>
      </w:r>
      <w:r w:rsidR="000B3C94">
        <w:t xml:space="preserve"> the </w:t>
      </w:r>
      <w:r w:rsidR="00A806D2">
        <w:t>1984</w:t>
      </w:r>
      <w:r w:rsidR="000B3C94">
        <w:t xml:space="preserve"> inventory and given DBH</w:t>
      </w:r>
      <w:r w:rsidR="00A806D2">
        <w:t>s</w:t>
      </w:r>
      <w:r w:rsidR="000B3C94">
        <w:t xml:space="preserve"> that reflected diameter increments </w:t>
      </w:r>
      <w:r w:rsidR="00794027">
        <w:t xml:space="preserve">of a similarly sized tree of that species </w:t>
      </w:r>
      <w:r w:rsidR="000B3C94">
        <w:t>observed on the same plot</w:t>
      </w:r>
      <w:r w:rsidR="00794027">
        <w:t xml:space="preserve"> or one with similar conditions.</w:t>
      </w:r>
    </w:p>
    <w:p w:rsidR="00531D08" w:rsidRDefault="007107F8" w:rsidP="005C5D60">
      <w:pPr>
        <w:autoSpaceDE w:val="0"/>
        <w:autoSpaceDN w:val="0"/>
        <w:adjustRightInd w:val="0"/>
        <w:spacing w:line="480" w:lineRule="auto"/>
        <w:ind w:firstLine="720"/>
        <w:rPr>
          <w:rFonts w:asciiTheme="minorHAnsi" w:hAnsiTheme="minorHAnsi" w:cstheme="minorHAnsi"/>
        </w:rPr>
      </w:pPr>
      <w:r>
        <w:rPr>
          <w:rFonts w:asciiTheme="minorHAnsi" w:hAnsiTheme="minorHAnsi" w:cstheme="minorHAnsi"/>
        </w:rPr>
        <w:t>Because the initial seedlings and saplings</w:t>
      </w:r>
      <w:r w:rsidRPr="00E12067">
        <w:rPr>
          <w:rFonts w:asciiTheme="minorHAnsi" w:hAnsiTheme="minorHAnsi" w:cstheme="minorHAnsi"/>
        </w:rPr>
        <w:t xml:space="preserve"> </w:t>
      </w:r>
      <w:r>
        <w:rPr>
          <w:rFonts w:asciiTheme="minorHAnsi" w:hAnsiTheme="minorHAnsi" w:cstheme="minorHAnsi"/>
        </w:rPr>
        <w:t xml:space="preserve">in each stand </w:t>
      </w:r>
      <w:r w:rsidRPr="00E12067">
        <w:rPr>
          <w:rFonts w:asciiTheme="minorHAnsi" w:hAnsiTheme="minorHAnsi" w:cstheme="minorHAnsi"/>
        </w:rPr>
        <w:t xml:space="preserve">were imputed from </w:t>
      </w:r>
      <w:r w:rsidR="0048623D">
        <w:rPr>
          <w:rFonts w:asciiTheme="minorHAnsi" w:hAnsiTheme="minorHAnsi" w:cstheme="minorHAnsi"/>
        </w:rPr>
        <w:t>the</w:t>
      </w:r>
      <w:r w:rsidRPr="00E12067">
        <w:rPr>
          <w:rFonts w:asciiTheme="minorHAnsi" w:hAnsiTheme="minorHAnsi" w:cstheme="minorHAnsi"/>
        </w:rPr>
        <w:t xml:space="preserve"> separate inventory</w:t>
      </w:r>
      <w:r>
        <w:rPr>
          <w:rFonts w:asciiTheme="minorHAnsi" w:hAnsiTheme="minorHAnsi" w:cstheme="minorHAnsi"/>
        </w:rPr>
        <w:t xml:space="preserve"> </w:t>
      </w:r>
      <w:r w:rsidR="0048623D">
        <w:rPr>
          <w:rFonts w:asciiTheme="minorHAnsi" w:hAnsiTheme="minorHAnsi" w:cstheme="minorHAnsi"/>
        </w:rPr>
        <w:t xml:space="preserve">at a later stage of </w:t>
      </w:r>
      <w:r w:rsidR="006E2567">
        <w:rPr>
          <w:rFonts w:asciiTheme="minorHAnsi" w:hAnsiTheme="minorHAnsi" w:cstheme="minorHAnsi"/>
        </w:rPr>
        <w:t xml:space="preserve">stand </w:t>
      </w:r>
      <w:r w:rsidR="0048623D">
        <w:rPr>
          <w:rFonts w:asciiTheme="minorHAnsi" w:hAnsiTheme="minorHAnsi" w:cstheme="minorHAnsi"/>
        </w:rPr>
        <w:t>maturity</w:t>
      </w:r>
      <w:r>
        <w:rPr>
          <w:rFonts w:asciiTheme="minorHAnsi" w:hAnsiTheme="minorHAnsi" w:cstheme="minorHAnsi"/>
        </w:rPr>
        <w:t>, their numbers</w:t>
      </w:r>
      <w:r w:rsidRPr="00E12067">
        <w:rPr>
          <w:rFonts w:asciiTheme="minorHAnsi" w:hAnsiTheme="minorHAnsi" w:cstheme="minorHAnsi"/>
        </w:rPr>
        <w:t xml:space="preserve"> </w:t>
      </w:r>
      <w:r>
        <w:rPr>
          <w:rFonts w:asciiTheme="minorHAnsi" w:hAnsiTheme="minorHAnsi" w:cstheme="minorHAnsi"/>
        </w:rPr>
        <w:t xml:space="preserve">were </w:t>
      </w:r>
      <w:r w:rsidRPr="00E12067">
        <w:rPr>
          <w:rFonts w:asciiTheme="minorHAnsi" w:hAnsiTheme="minorHAnsi" w:cstheme="minorHAnsi"/>
        </w:rPr>
        <w:t xml:space="preserve">systematically </w:t>
      </w:r>
      <w:r w:rsidR="007A29DD">
        <w:rPr>
          <w:rFonts w:asciiTheme="minorHAnsi" w:hAnsiTheme="minorHAnsi" w:cstheme="minorHAnsi"/>
        </w:rPr>
        <w:t>reduced</w:t>
      </w:r>
      <w:r w:rsidRPr="00E12067">
        <w:rPr>
          <w:rFonts w:asciiTheme="minorHAnsi" w:hAnsiTheme="minorHAnsi" w:cstheme="minorHAnsi"/>
        </w:rPr>
        <w:t xml:space="preserve">.  </w:t>
      </w:r>
      <w:r>
        <w:rPr>
          <w:rFonts w:asciiTheme="minorHAnsi" w:hAnsiTheme="minorHAnsi" w:cstheme="minorHAnsi"/>
        </w:rPr>
        <w:t>T</w:t>
      </w:r>
      <w:r w:rsidRPr="00E12067">
        <w:rPr>
          <w:rFonts w:asciiTheme="minorHAnsi" w:hAnsiTheme="minorHAnsi" w:cstheme="minorHAnsi"/>
        </w:rPr>
        <w:t xml:space="preserve">heir </w:t>
      </w:r>
      <w:r>
        <w:rPr>
          <w:rFonts w:asciiTheme="minorHAnsi" w:hAnsiTheme="minorHAnsi" w:cstheme="minorHAnsi"/>
        </w:rPr>
        <w:t xml:space="preserve">large </w:t>
      </w:r>
      <w:r w:rsidRPr="00E12067">
        <w:rPr>
          <w:rFonts w:asciiTheme="minorHAnsi" w:hAnsiTheme="minorHAnsi" w:cstheme="minorHAnsi"/>
        </w:rPr>
        <w:t xml:space="preserve">numbers were </w:t>
      </w:r>
      <w:r>
        <w:rPr>
          <w:rFonts w:asciiTheme="minorHAnsi" w:hAnsiTheme="minorHAnsi" w:cstheme="minorHAnsi"/>
        </w:rPr>
        <w:t xml:space="preserve">deflated until </w:t>
      </w:r>
      <w:r w:rsidRPr="00E12067">
        <w:rPr>
          <w:rFonts w:asciiTheme="minorHAnsi" w:hAnsiTheme="minorHAnsi" w:cstheme="minorHAnsi"/>
        </w:rPr>
        <w:t xml:space="preserve">approximate parity </w:t>
      </w:r>
      <w:r>
        <w:rPr>
          <w:rFonts w:asciiTheme="minorHAnsi" w:hAnsiTheme="minorHAnsi" w:cstheme="minorHAnsi"/>
        </w:rPr>
        <w:t xml:space="preserve">was achieved </w:t>
      </w:r>
      <w:r w:rsidRPr="00E12067">
        <w:rPr>
          <w:rFonts w:asciiTheme="minorHAnsi" w:hAnsiTheme="minorHAnsi" w:cstheme="minorHAnsi"/>
        </w:rPr>
        <w:t xml:space="preserve">between relative stand density based on Stand Density Index </w:t>
      </w:r>
      <w:r w:rsidR="004D2CE1">
        <w:rPr>
          <w:rFonts w:asciiTheme="minorHAnsi" w:hAnsiTheme="minorHAnsi" w:cstheme="minorHAnsi"/>
        </w:rPr>
        <w:t>(SDI</w:t>
      </w:r>
      <w:r>
        <w:rPr>
          <w:rFonts w:asciiTheme="minorHAnsi" w:hAnsiTheme="minorHAnsi" w:cstheme="minorHAnsi"/>
        </w:rPr>
        <w:t xml:space="preserve">) </w:t>
      </w:r>
      <w:r w:rsidRPr="00E12067">
        <w:rPr>
          <w:rFonts w:asciiTheme="minorHAnsi" w:hAnsiTheme="minorHAnsi" w:cstheme="minorHAnsi"/>
        </w:rPr>
        <w:t xml:space="preserve">and </w:t>
      </w:r>
      <w:r>
        <w:rPr>
          <w:rFonts w:asciiTheme="minorHAnsi" w:hAnsiTheme="minorHAnsi" w:cstheme="minorHAnsi"/>
        </w:rPr>
        <w:t>the</w:t>
      </w:r>
      <w:r w:rsidRPr="00E12067">
        <w:rPr>
          <w:rFonts w:asciiTheme="minorHAnsi" w:hAnsiTheme="minorHAnsi" w:cstheme="minorHAnsi"/>
        </w:rPr>
        <w:t xml:space="preserve"> </w:t>
      </w:r>
      <w:r>
        <w:rPr>
          <w:rFonts w:asciiTheme="minorHAnsi" w:hAnsiTheme="minorHAnsi" w:cstheme="minorHAnsi"/>
        </w:rPr>
        <w:t>relative stand density</w:t>
      </w:r>
      <w:r w:rsidRPr="00E12067">
        <w:rPr>
          <w:rFonts w:asciiTheme="minorHAnsi" w:hAnsiTheme="minorHAnsi" w:cstheme="minorHAnsi"/>
        </w:rPr>
        <w:t xml:space="preserve"> </w:t>
      </w:r>
      <w:r w:rsidR="004331B5">
        <w:rPr>
          <w:rFonts w:asciiTheme="minorHAnsi" w:hAnsiTheme="minorHAnsi" w:cstheme="minorHAnsi"/>
        </w:rPr>
        <w:t>measure created</w:t>
      </w:r>
      <w:r w:rsidR="00A967ED">
        <w:rPr>
          <w:rFonts w:asciiTheme="minorHAnsi" w:hAnsiTheme="minorHAnsi" w:cstheme="minorHAnsi"/>
        </w:rPr>
        <w:t xml:space="preserve"> specifically</w:t>
      </w:r>
      <w:r>
        <w:rPr>
          <w:rFonts w:asciiTheme="minorHAnsi" w:hAnsiTheme="minorHAnsi" w:cstheme="minorHAnsi"/>
        </w:rPr>
        <w:t xml:space="preserve"> </w:t>
      </w:r>
      <w:r w:rsidR="005168F4">
        <w:rPr>
          <w:rFonts w:asciiTheme="minorHAnsi" w:hAnsiTheme="minorHAnsi" w:cstheme="minorHAnsi"/>
        </w:rPr>
        <w:t xml:space="preserve">for </w:t>
      </w:r>
      <w:r w:rsidR="00A967ED">
        <w:rPr>
          <w:rFonts w:asciiTheme="minorHAnsi" w:hAnsiTheme="minorHAnsi" w:cstheme="minorHAnsi"/>
        </w:rPr>
        <w:t>these</w:t>
      </w:r>
      <w:r w:rsidR="005168F4">
        <w:rPr>
          <w:rFonts w:asciiTheme="minorHAnsi" w:hAnsiTheme="minorHAnsi" w:cstheme="minorHAnsi"/>
        </w:rPr>
        <w:t xml:space="preserve"> forests</w:t>
      </w:r>
      <w:r w:rsidR="007C71C8">
        <w:rPr>
          <w:rFonts w:asciiTheme="minorHAnsi" w:hAnsiTheme="minorHAnsi" w:cstheme="minorHAnsi"/>
        </w:rPr>
        <w:t xml:space="preserve"> </w:t>
      </w:r>
      <w:r w:rsidR="007C71C8">
        <w:rPr>
          <w:rFonts w:asciiTheme="minorHAnsi" w:hAnsiTheme="minorHAnsi" w:cstheme="minorHAnsi"/>
        </w:rPr>
        <w:fldChar w:fldCharType="begin"/>
      </w:r>
      <w:r w:rsidR="0056578C">
        <w:rPr>
          <w:rFonts w:asciiTheme="minorHAnsi" w:hAnsiTheme="minorHAnsi" w:cstheme="minorHAnsi"/>
        </w:rPr>
        <w:instrText xml:space="preserve"> ADDIN EN.CITE &lt;EndNote&gt;&lt;Cite&gt;&lt;Author&gt;Brose&lt;/Author&gt;&lt;Year&gt;2008&lt;/Year&gt;&lt;RecNum&gt;139&lt;/RecNum&gt;&lt;DisplayText&gt;(Brose et al. 2008)&lt;/DisplayText&gt;&lt;record&gt;&lt;rec-number&gt;139&lt;/rec-number&gt;&lt;foreign-keys&gt;&lt;key app="EN" db-id="a90s5zadewrawxeer07v2f90xr5vxv022sat"&gt;139&lt;/key&gt;&lt;/foreign-keys&gt;&lt;ref-type name="Report"&gt;27&lt;/ref-type&gt;&lt;contributors&gt;&lt;authors&gt;&lt;author&gt;Brose, Patrick H.&lt;/author&gt;&lt;author&gt;Gottschalk, Kurt W. &lt;/author&gt;&lt;author&gt;Horsley, Stephen B. &lt;/author&gt;&lt;author&gt;Knopp, Peter D. &lt;/author&gt;&lt;author&gt;Kochenderfer, James N. &lt;/author&gt;&lt;author&gt;McGuinness, Barbara J.&lt;/author&gt;&lt;author&gt;Miller, Gary W. &lt;/author&gt;&lt;author&gt;Ristau, Todd E. &lt;/author&gt;&lt;author&gt;Stoleson, Scott H. &lt;/author&gt;&lt;author&gt;Stout, Susan L. &lt;/author&gt;&lt;/authors&gt;&lt;/contributors&gt;&lt;titles&gt;&lt;title&gt;Prescribing regeneration treatments for mixed-oak forests in the Mid-Atlantic region&lt;/title&gt;&lt;/titles&gt;&lt;dates&gt;&lt;year&gt;2008&lt;/year&gt;&lt;/dates&gt;&lt;publisher&gt;Gen. Tech. Rep. NRS-33. Newtown Square, PA: U.S. Department of Agriculture, Forest Service, Northern Research Station. 100 p&lt;/publisher&gt;&lt;urls&gt;&lt;/urls&gt;&lt;/record&gt;&lt;/Cite&gt;&lt;/EndNote&gt;</w:instrText>
      </w:r>
      <w:r w:rsidR="007C71C8">
        <w:rPr>
          <w:rFonts w:asciiTheme="minorHAnsi" w:hAnsiTheme="minorHAnsi" w:cstheme="minorHAnsi"/>
        </w:rPr>
        <w:fldChar w:fldCharType="separate"/>
      </w:r>
      <w:r w:rsidR="00A87D07">
        <w:rPr>
          <w:rFonts w:asciiTheme="minorHAnsi" w:hAnsiTheme="minorHAnsi" w:cstheme="minorHAnsi"/>
          <w:noProof/>
        </w:rPr>
        <w:t>(</w:t>
      </w:r>
      <w:hyperlink w:anchor="_ENREF_29" w:tooltip="Brose, 2008 #139" w:history="1">
        <w:r w:rsidR="001E4C88">
          <w:rPr>
            <w:rFonts w:asciiTheme="minorHAnsi" w:hAnsiTheme="minorHAnsi" w:cstheme="minorHAnsi"/>
            <w:noProof/>
          </w:rPr>
          <w:t>Brose et al. 2008</w:t>
        </w:r>
      </w:hyperlink>
      <w:r w:rsidR="00A87D07">
        <w:rPr>
          <w:rFonts w:asciiTheme="minorHAnsi" w:hAnsiTheme="minorHAnsi" w:cstheme="minorHAnsi"/>
          <w:noProof/>
        </w:rPr>
        <w:t>)</w:t>
      </w:r>
      <w:r w:rsidR="007C71C8">
        <w:rPr>
          <w:rFonts w:asciiTheme="minorHAnsi" w:hAnsiTheme="minorHAnsi" w:cstheme="minorHAnsi"/>
        </w:rPr>
        <w:fldChar w:fldCharType="end"/>
      </w:r>
      <w:r w:rsidR="005168F4">
        <w:rPr>
          <w:rFonts w:asciiTheme="minorHAnsi" w:hAnsiTheme="minorHAnsi" w:cstheme="minorHAnsi"/>
        </w:rPr>
        <w:t>,</w:t>
      </w:r>
      <w:r>
        <w:rPr>
          <w:rFonts w:asciiTheme="minorHAnsi" w:hAnsiTheme="minorHAnsi" w:cstheme="minorHAnsi"/>
        </w:rPr>
        <w:t xml:space="preserve"> in an effort to temporarily calibrate the </w:t>
      </w:r>
      <w:r w:rsidR="00A967ED">
        <w:rPr>
          <w:rFonts w:asciiTheme="minorHAnsi" w:hAnsiTheme="minorHAnsi" w:cstheme="minorHAnsi"/>
        </w:rPr>
        <w:t>SDI</w:t>
      </w:r>
      <w:r w:rsidR="006E2567">
        <w:rPr>
          <w:rFonts w:asciiTheme="minorHAnsi" w:hAnsiTheme="minorHAnsi" w:cstheme="minorHAnsi"/>
        </w:rPr>
        <w:t xml:space="preserve">-based </w:t>
      </w:r>
      <w:r w:rsidR="00A967ED">
        <w:rPr>
          <w:rFonts w:asciiTheme="minorHAnsi" w:hAnsiTheme="minorHAnsi" w:cstheme="minorHAnsi"/>
        </w:rPr>
        <w:t xml:space="preserve">FVS </w:t>
      </w:r>
      <w:r>
        <w:rPr>
          <w:rFonts w:asciiTheme="minorHAnsi" w:hAnsiTheme="minorHAnsi" w:cstheme="minorHAnsi"/>
        </w:rPr>
        <w:t>mortality model</w:t>
      </w:r>
      <w:r w:rsidR="006E2567">
        <w:rPr>
          <w:rFonts w:asciiTheme="minorHAnsi" w:hAnsiTheme="minorHAnsi" w:cstheme="minorHAnsi"/>
        </w:rPr>
        <w:t xml:space="preserve"> with empirical density models used in practice</w:t>
      </w:r>
      <w:r w:rsidR="00A967ED">
        <w:rPr>
          <w:rStyle w:val="FootnoteReference"/>
          <w:rFonts w:asciiTheme="minorHAnsi" w:hAnsiTheme="minorHAnsi"/>
        </w:rPr>
        <w:footnoteReference w:id="8"/>
      </w:r>
      <w:r w:rsidR="006D3D16">
        <w:rPr>
          <w:rFonts w:asciiTheme="minorHAnsi" w:hAnsiTheme="minorHAnsi" w:cstheme="minorHAnsi"/>
        </w:rPr>
        <w:t>.</w:t>
      </w:r>
      <w:r>
        <w:rPr>
          <w:rFonts w:asciiTheme="minorHAnsi" w:hAnsiTheme="minorHAnsi" w:cstheme="minorHAnsi"/>
        </w:rPr>
        <w:t xml:space="preserve">  Such adjustments were necessary in some stands to prevent signifi</w:t>
      </w:r>
      <w:r w:rsidR="00AA72B5">
        <w:rPr>
          <w:rFonts w:asciiTheme="minorHAnsi" w:hAnsiTheme="minorHAnsi" w:cstheme="minorHAnsi"/>
        </w:rPr>
        <w:t xml:space="preserve">cant augmentation of </w:t>
      </w:r>
      <w:r w:rsidR="004331B5">
        <w:rPr>
          <w:rFonts w:asciiTheme="minorHAnsi" w:hAnsiTheme="minorHAnsi" w:cstheme="minorHAnsi"/>
        </w:rPr>
        <w:t>density</w:t>
      </w:r>
      <w:r w:rsidR="00AA72B5">
        <w:rPr>
          <w:rFonts w:asciiTheme="minorHAnsi" w:hAnsiTheme="minorHAnsi" w:cstheme="minorHAnsi"/>
        </w:rPr>
        <w:t xml:space="preserve"> constraints</w:t>
      </w:r>
      <w:r>
        <w:rPr>
          <w:rFonts w:asciiTheme="minorHAnsi" w:hAnsiTheme="minorHAnsi" w:cstheme="minorHAnsi"/>
        </w:rPr>
        <w:t xml:space="preserve">, which tried to automatically accommodate for the </w:t>
      </w:r>
      <w:r w:rsidR="008C395F">
        <w:rPr>
          <w:rFonts w:asciiTheme="minorHAnsi" w:hAnsiTheme="minorHAnsi" w:cstheme="minorHAnsi"/>
        </w:rPr>
        <w:t xml:space="preserve">artificially high </w:t>
      </w:r>
      <w:r>
        <w:rPr>
          <w:rFonts w:asciiTheme="minorHAnsi" w:hAnsiTheme="minorHAnsi" w:cstheme="minorHAnsi"/>
        </w:rPr>
        <w:t xml:space="preserve">initial densities.  </w:t>
      </w:r>
      <w:r w:rsidR="004E6265">
        <w:rPr>
          <w:rFonts w:asciiTheme="minorHAnsi" w:hAnsiTheme="minorHAnsi" w:cstheme="minorHAnsi"/>
        </w:rPr>
        <w:t xml:space="preserve">Despite these adjustments, stand </w:t>
      </w:r>
      <w:r w:rsidR="004E6265">
        <w:rPr>
          <w:rFonts w:asciiTheme="minorHAnsi" w:hAnsiTheme="minorHAnsi" w:cstheme="minorHAnsi"/>
        </w:rPr>
        <w:lastRenderedPageBreak/>
        <w:t xml:space="preserve">density rose quickly in growth-only </w:t>
      </w:r>
      <w:r w:rsidR="00776C39">
        <w:rPr>
          <w:rFonts w:asciiTheme="minorHAnsi" w:hAnsiTheme="minorHAnsi" w:cstheme="minorHAnsi"/>
        </w:rPr>
        <w:t xml:space="preserve">test </w:t>
      </w:r>
      <w:r w:rsidR="004E6265">
        <w:rPr>
          <w:rFonts w:asciiTheme="minorHAnsi" w:hAnsiTheme="minorHAnsi" w:cstheme="minorHAnsi"/>
        </w:rPr>
        <w:t>simulations and caused mortality to significantly impede sawtimber growth</w:t>
      </w:r>
      <w:r w:rsidR="009E46AA">
        <w:rPr>
          <w:rFonts w:asciiTheme="minorHAnsi" w:hAnsiTheme="minorHAnsi" w:cstheme="minorHAnsi"/>
        </w:rPr>
        <w:t>.</w:t>
      </w:r>
      <w:r w:rsidR="00776C39">
        <w:rPr>
          <w:rFonts w:asciiTheme="minorHAnsi" w:hAnsiTheme="minorHAnsi" w:cstheme="minorHAnsi"/>
        </w:rPr>
        <w:t xml:space="preserve"> </w:t>
      </w:r>
      <w:r w:rsidR="009E46AA">
        <w:rPr>
          <w:rFonts w:asciiTheme="minorHAnsi" w:hAnsiTheme="minorHAnsi" w:cstheme="minorHAnsi"/>
        </w:rPr>
        <w:t xml:space="preserve"> </w:t>
      </w:r>
      <w:r w:rsidR="00372134">
        <w:rPr>
          <w:rFonts w:asciiTheme="minorHAnsi" w:hAnsiTheme="minorHAnsi" w:cstheme="minorHAnsi"/>
        </w:rPr>
        <w:t>Still</w:t>
      </w:r>
      <w:r w:rsidR="009E46AA">
        <w:rPr>
          <w:rFonts w:asciiTheme="minorHAnsi" w:hAnsiTheme="minorHAnsi" w:cstheme="minorHAnsi"/>
        </w:rPr>
        <w:t>, a</w:t>
      </w:r>
      <w:r w:rsidR="00FD4844">
        <w:rPr>
          <w:rFonts w:asciiTheme="minorHAnsi" w:hAnsiTheme="minorHAnsi" w:cstheme="minorHAnsi"/>
        </w:rPr>
        <w:t xml:space="preserve"> jump in sawtimber volume </w:t>
      </w:r>
      <w:r w:rsidR="009E46AA">
        <w:rPr>
          <w:rFonts w:asciiTheme="minorHAnsi" w:hAnsiTheme="minorHAnsi" w:cstheme="minorHAnsi"/>
        </w:rPr>
        <w:t>occurred in the latter years of the forecast.  T</w:t>
      </w:r>
      <w:r w:rsidR="005733B7">
        <w:rPr>
          <w:rFonts w:asciiTheme="minorHAnsi" w:hAnsiTheme="minorHAnsi" w:cstheme="minorHAnsi"/>
        </w:rPr>
        <w:t>his was the result of the small-</w:t>
      </w:r>
      <w:r w:rsidR="009E46AA">
        <w:rPr>
          <w:rFonts w:asciiTheme="minorHAnsi" w:hAnsiTheme="minorHAnsi" w:cstheme="minorHAnsi"/>
        </w:rPr>
        <w:t>trees</w:t>
      </w:r>
      <w:r w:rsidR="00FD4844">
        <w:rPr>
          <w:rFonts w:asciiTheme="minorHAnsi" w:hAnsiTheme="minorHAnsi" w:cstheme="minorHAnsi"/>
        </w:rPr>
        <w:t xml:space="preserve"> in the initial tree-list growing into sawtimber trees</w:t>
      </w:r>
      <w:r w:rsidR="00AA72B5" w:rsidRPr="00AA72B5">
        <w:rPr>
          <w:rFonts w:asciiTheme="minorHAnsi" w:hAnsiTheme="minorHAnsi" w:cstheme="minorHAnsi"/>
        </w:rPr>
        <w:t xml:space="preserve"> </w:t>
      </w:r>
      <w:r w:rsidR="00AA72B5">
        <w:rPr>
          <w:rFonts w:asciiTheme="minorHAnsi" w:hAnsiTheme="minorHAnsi" w:cstheme="minorHAnsi"/>
        </w:rPr>
        <w:t>under complete suppression</w:t>
      </w:r>
      <w:r w:rsidR="008E5935">
        <w:rPr>
          <w:rFonts w:asciiTheme="minorHAnsi" w:hAnsiTheme="minorHAnsi" w:cstheme="minorHAnsi"/>
        </w:rPr>
        <w:t>.  T</w:t>
      </w:r>
      <w:r w:rsidR="005733B7">
        <w:rPr>
          <w:rFonts w:asciiTheme="minorHAnsi" w:hAnsiTheme="minorHAnsi" w:cstheme="minorHAnsi"/>
        </w:rPr>
        <w:t xml:space="preserve">he </w:t>
      </w:r>
      <w:proofErr w:type="spellStart"/>
      <w:r w:rsidR="008E5935">
        <w:rPr>
          <w:rFonts w:asciiTheme="minorHAnsi" w:hAnsiTheme="minorHAnsi" w:cstheme="minorHAnsi"/>
        </w:rPr>
        <w:t>Sn</w:t>
      </w:r>
      <w:proofErr w:type="spellEnd"/>
      <w:r w:rsidR="008E5935">
        <w:rPr>
          <w:rFonts w:asciiTheme="minorHAnsi" w:hAnsiTheme="minorHAnsi" w:cstheme="minorHAnsi"/>
        </w:rPr>
        <w:t xml:space="preserve">-variant (unadjusted) </w:t>
      </w:r>
      <w:r w:rsidR="008651D8">
        <w:rPr>
          <w:rFonts w:asciiTheme="minorHAnsi" w:hAnsiTheme="minorHAnsi" w:cstheme="minorHAnsi"/>
        </w:rPr>
        <w:t xml:space="preserve">erroneously </w:t>
      </w:r>
      <w:r w:rsidR="00653CE1">
        <w:rPr>
          <w:rFonts w:asciiTheme="minorHAnsi" w:hAnsiTheme="minorHAnsi" w:cstheme="minorHAnsi"/>
        </w:rPr>
        <w:t xml:space="preserve">allowed </w:t>
      </w:r>
      <w:r w:rsidR="0048623D">
        <w:rPr>
          <w:rFonts w:asciiTheme="minorHAnsi" w:hAnsiTheme="minorHAnsi" w:cstheme="minorHAnsi"/>
        </w:rPr>
        <w:t>small trees</w:t>
      </w:r>
      <w:r w:rsidR="00653CE1">
        <w:rPr>
          <w:rFonts w:asciiTheme="minorHAnsi" w:hAnsiTheme="minorHAnsi" w:cstheme="minorHAnsi"/>
        </w:rPr>
        <w:t xml:space="preserve"> to eventually reach the midstory and mature</w:t>
      </w:r>
      <w:r w:rsidR="0048623D">
        <w:rPr>
          <w:rFonts w:asciiTheme="minorHAnsi" w:hAnsiTheme="minorHAnsi" w:cstheme="minorHAnsi"/>
        </w:rPr>
        <w:t xml:space="preserve"> there</w:t>
      </w:r>
      <w:r w:rsidR="00967A6A">
        <w:rPr>
          <w:rFonts w:asciiTheme="minorHAnsi" w:hAnsiTheme="minorHAnsi" w:cstheme="minorHAnsi"/>
        </w:rPr>
        <w:t>,</w:t>
      </w:r>
      <w:r w:rsidR="00653CE1" w:rsidRPr="00653CE1">
        <w:rPr>
          <w:rFonts w:asciiTheme="minorHAnsi" w:hAnsiTheme="minorHAnsi" w:cstheme="minorHAnsi"/>
        </w:rPr>
        <w:t xml:space="preserve"> </w:t>
      </w:r>
      <w:r w:rsidR="00653CE1">
        <w:rPr>
          <w:rFonts w:asciiTheme="minorHAnsi" w:hAnsiTheme="minorHAnsi" w:cstheme="minorHAnsi"/>
        </w:rPr>
        <w:t>despite the absence of simulated canopy openings.</w:t>
      </w:r>
      <w:r w:rsidR="000345AA">
        <w:rPr>
          <w:rFonts w:asciiTheme="minorHAnsi" w:hAnsiTheme="minorHAnsi" w:cstheme="minorHAnsi"/>
        </w:rPr>
        <w:t xml:space="preserve"> </w:t>
      </w:r>
      <w:r w:rsidR="005733B7">
        <w:rPr>
          <w:rFonts w:asciiTheme="minorHAnsi" w:hAnsiTheme="minorHAnsi" w:cstheme="minorHAnsi"/>
        </w:rPr>
        <w:t xml:space="preserve"> To prevent this unwarranted small-tree height growth</w:t>
      </w:r>
      <w:r w:rsidR="00653CE1">
        <w:rPr>
          <w:rFonts w:asciiTheme="minorHAnsi" w:hAnsiTheme="minorHAnsi" w:cstheme="minorHAnsi"/>
        </w:rPr>
        <w:t xml:space="preserve">, a </w:t>
      </w:r>
      <w:r w:rsidR="00F07EEA">
        <w:rPr>
          <w:rFonts w:asciiTheme="minorHAnsi" w:hAnsiTheme="minorHAnsi" w:cstheme="minorHAnsi"/>
        </w:rPr>
        <w:t xml:space="preserve">pragmatic </w:t>
      </w:r>
      <w:r w:rsidR="00653CE1">
        <w:rPr>
          <w:rFonts w:asciiTheme="minorHAnsi" w:hAnsiTheme="minorHAnsi" w:cstheme="minorHAnsi"/>
        </w:rPr>
        <w:t xml:space="preserve">growth modifier was </w:t>
      </w:r>
      <w:r w:rsidR="00A54BEA">
        <w:rPr>
          <w:rFonts w:asciiTheme="minorHAnsi" w:hAnsiTheme="minorHAnsi" w:cstheme="minorHAnsi"/>
        </w:rPr>
        <w:t>administered</w:t>
      </w:r>
      <w:r w:rsidR="00653CE1">
        <w:rPr>
          <w:rFonts w:asciiTheme="minorHAnsi" w:hAnsiTheme="minorHAnsi" w:cstheme="minorHAnsi"/>
        </w:rPr>
        <w:t xml:space="preserve"> to </w:t>
      </w:r>
      <w:r w:rsidR="000345AA">
        <w:rPr>
          <w:rFonts w:asciiTheme="minorHAnsi" w:hAnsiTheme="minorHAnsi" w:cstheme="minorHAnsi"/>
        </w:rPr>
        <w:t xml:space="preserve">the </w:t>
      </w:r>
      <w:r w:rsidR="00C43207">
        <w:rPr>
          <w:rFonts w:asciiTheme="minorHAnsi" w:hAnsiTheme="minorHAnsi" w:cstheme="minorHAnsi"/>
        </w:rPr>
        <w:t>small-tree</w:t>
      </w:r>
      <w:r w:rsidR="000345AA">
        <w:rPr>
          <w:rFonts w:asciiTheme="minorHAnsi" w:hAnsiTheme="minorHAnsi" w:cstheme="minorHAnsi"/>
        </w:rPr>
        <w:t xml:space="preserve"> growth model </w:t>
      </w:r>
      <w:r w:rsidR="00653CE1">
        <w:rPr>
          <w:rFonts w:asciiTheme="minorHAnsi" w:hAnsiTheme="minorHAnsi" w:cstheme="minorHAnsi"/>
        </w:rPr>
        <w:t xml:space="preserve">based on the </w:t>
      </w:r>
      <w:r w:rsidR="005C5D60">
        <w:rPr>
          <w:rFonts w:asciiTheme="minorHAnsi" w:hAnsiTheme="minorHAnsi" w:cstheme="minorHAnsi"/>
        </w:rPr>
        <w:t xml:space="preserve">approximated </w:t>
      </w:r>
      <w:r w:rsidR="00653CE1">
        <w:rPr>
          <w:rFonts w:asciiTheme="minorHAnsi" w:hAnsiTheme="minorHAnsi" w:cstheme="minorHAnsi"/>
        </w:rPr>
        <w:t>height growth potential of oak recruits</w:t>
      </w:r>
      <w:r w:rsidR="0082707E">
        <w:rPr>
          <w:rFonts w:asciiTheme="minorHAnsi" w:hAnsiTheme="minorHAnsi" w:cstheme="minorHAnsi"/>
        </w:rPr>
        <w:t xml:space="preserve"> in </w:t>
      </w:r>
      <w:r w:rsidR="00F07EEA">
        <w:rPr>
          <w:rFonts w:asciiTheme="minorHAnsi" w:hAnsiTheme="minorHAnsi" w:cstheme="minorHAnsi"/>
        </w:rPr>
        <w:t>shade</w:t>
      </w:r>
      <w:r w:rsidR="00653CE1">
        <w:rPr>
          <w:rFonts w:asciiTheme="minorHAnsi" w:hAnsiTheme="minorHAnsi" w:cstheme="minorHAnsi"/>
        </w:rPr>
        <w:t xml:space="preserve">. </w:t>
      </w:r>
      <w:r w:rsidR="0048623D">
        <w:rPr>
          <w:rFonts w:asciiTheme="minorHAnsi" w:hAnsiTheme="minorHAnsi" w:cstheme="minorHAnsi"/>
        </w:rPr>
        <w:t xml:space="preserve"> Equation 1</w:t>
      </w:r>
      <w:r w:rsidR="0057247E">
        <w:rPr>
          <w:rFonts w:asciiTheme="minorHAnsi" w:hAnsiTheme="minorHAnsi" w:cstheme="minorHAnsi"/>
        </w:rPr>
        <w:t xml:space="preserve"> </w:t>
      </w:r>
      <w:r w:rsidR="00F07EEA">
        <w:rPr>
          <w:rFonts w:asciiTheme="minorHAnsi" w:hAnsiTheme="minorHAnsi" w:cstheme="minorHAnsi"/>
        </w:rPr>
        <w:t>characterizes the multiplier constructed for this purpose</w:t>
      </w:r>
      <w:r w:rsidR="00A54BEA">
        <w:rPr>
          <w:rFonts w:asciiTheme="minorHAnsi" w:hAnsiTheme="minorHAnsi" w:cstheme="minorHAnsi"/>
        </w:rPr>
        <w:t>, which determined</w:t>
      </w:r>
      <w:r w:rsidR="00F07EEA">
        <w:rPr>
          <w:rFonts w:asciiTheme="minorHAnsi" w:hAnsiTheme="minorHAnsi" w:cstheme="minorHAnsi"/>
        </w:rPr>
        <w:t xml:space="preserve"> the fraction of predicted </w:t>
      </w:r>
      <w:r w:rsidR="00C43207">
        <w:rPr>
          <w:rFonts w:asciiTheme="minorHAnsi" w:hAnsiTheme="minorHAnsi" w:cstheme="minorHAnsi"/>
        </w:rPr>
        <w:t>small-tree</w:t>
      </w:r>
      <w:r w:rsidR="00F07EEA">
        <w:rPr>
          <w:rFonts w:asciiTheme="minorHAnsi" w:hAnsiTheme="minorHAnsi" w:cstheme="minorHAnsi"/>
        </w:rPr>
        <w:t xml:space="preserve"> height growth</w:t>
      </w:r>
      <w:r w:rsidR="00A54BEA">
        <w:rPr>
          <w:rFonts w:asciiTheme="minorHAnsi" w:hAnsiTheme="minorHAnsi" w:cstheme="minorHAnsi"/>
        </w:rPr>
        <w:t xml:space="preserve"> that w</w:t>
      </w:r>
      <w:r w:rsidR="00841DB7">
        <w:rPr>
          <w:rFonts w:asciiTheme="minorHAnsi" w:hAnsiTheme="minorHAnsi" w:cstheme="minorHAnsi"/>
        </w:rPr>
        <w:t>as applied in each cycle</w:t>
      </w:r>
      <w:r w:rsidR="00F07EEA">
        <w:rPr>
          <w:rFonts w:asciiTheme="minorHAnsi" w:hAnsiTheme="minorHAnsi" w:cstheme="minorHAnsi"/>
        </w:rPr>
        <w:t>.</w:t>
      </w:r>
      <w:r w:rsidR="00841DB7">
        <w:rPr>
          <w:rFonts w:asciiTheme="minorHAnsi" w:hAnsiTheme="minorHAnsi" w:cstheme="minorHAnsi"/>
        </w:rPr>
        <w:t xml:space="preserve">  Considering that this modification </w:t>
      </w:r>
      <w:r w:rsidR="00AE1E34">
        <w:rPr>
          <w:rFonts w:asciiTheme="minorHAnsi" w:hAnsiTheme="minorHAnsi" w:cstheme="minorHAnsi"/>
        </w:rPr>
        <w:t>was only necessary for poletimber and sawtimber stands</w:t>
      </w:r>
      <w:r w:rsidR="00AE1E34" w:rsidRPr="00AE1E34">
        <w:rPr>
          <w:rFonts w:asciiTheme="minorHAnsi" w:hAnsiTheme="minorHAnsi" w:cstheme="minorHAnsi"/>
        </w:rPr>
        <w:t xml:space="preserve"> </w:t>
      </w:r>
      <w:r w:rsidR="00AE1E34">
        <w:rPr>
          <w:rFonts w:asciiTheme="minorHAnsi" w:hAnsiTheme="minorHAnsi" w:cstheme="minorHAnsi"/>
        </w:rPr>
        <w:t xml:space="preserve">with closed canopies, no multiplier was applied if stand age was less than 30 or if basal </w:t>
      </w:r>
      <w:r w:rsidR="00CA66E2">
        <w:rPr>
          <w:rFonts w:asciiTheme="minorHAnsi" w:hAnsiTheme="minorHAnsi" w:cstheme="minorHAnsi"/>
        </w:rPr>
        <w:t>area was less than 20 square f</w:t>
      </w:r>
      <w:r w:rsidR="00AE1E34">
        <w:rPr>
          <w:rFonts w:asciiTheme="minorHAnsi" w:hAnsiTheme="minorHAnsi" w:cstheme="minorHAnsi"/>
        </w:rPr>
        <w:t>t</w:t>
      </w:r>
      <w:r w:rsidR="00CA66E2">
        <w:rPr>
          <w:rFonts w:asciiTheme="minorHAnsi" w:hAnsiTheme="minorHAnsi" w:cstheme="minorHAnsi"/>
        </w:rPr>
        <w:t>.</w:t>
      </w:r>
      <w:r w:rsidR="00AE1E34">
        <w:rPr>
          <w:rFonts w:asciiTheme="minorHAnsi" w:hAnsiTheme="minorHAnsi" w:cstheme="minorHAnsi"/>
        </w:rPr>
        <w:t xml:space="preserve"> (ft</w:t>
      </w:r>
      <w:r w:rsidR="00AE1E34" w:rsidRPr="00AE1E34">
        <w:rPr>
          <w:rFonts w:asciiTheme="minorHAnsi" w:hAnsiTheme="minorHAnsi" w:cstheme="minorHAnsi"/>
          <w:vertAlign w:val="superscript"/>
        </w:rPr>
        <w:t>2</w:t>
      </w:r>
      <w:r w:rsidR="00AE1E34">
        <w:rPr>
          <w:rFonts w:asciiTheme="minorHAnsi" w:hAnsiTheme="minorHAnsi" w:cstheme="minorHAnsi"/>
        </w:rPr>
        <w:t>)</w:t>
      </w:r>
      <w:r w:rsidR="00310DB3">
        <w:t xml:space="preserve"> ac</w:t>
      </w:r>
      <w:r w:rsidR="00310DB3" w:rsidRPr="007A5F0D">
        <w:rPr>
          <w:vertAlign w:val="superscript"/>
        </w:rPr>
        <w:t>-1</w:t>
      </w:r>
      <w:r w:rsidR="00AE1E34">
        <w:rPr>
          <w:rFonts w:asciiTheme="minorHAnsi" w:hAnsiTheme="minorHAnsi" w:cstheme="minorHAnsi"/>
        </w:rPr>
        <w:t xml:space="preserve">. </w:t>
      </w:r>
      <w:r w:rsidR="005C5D60">
        <w:rPr>
          <w:rFonts w:asciiTheme="minorHAnsi" w:hAnsiTheme="minorHAnsi" w:cstheme="minorHAnsi"/>
        </w:rPr>
        <w:t xml:space="preserve"> The multiplier was ignored (i.e. applied growth was 100% of predicted growth) at values at or above 90 percent.  </w:t>
      </w:r>
      <m:oMath>
        <m:r>
          <w:rPr>
            <w:rFonts w:ascii="Cambria Math" w:hAnsi="Cambria Math" w:cstheme="minorHAnsi"/>
          </w:rPr>
          <m:t xml:space="preserve">Equation 1:         </m:t>
        </m:r>
        <m:r>
          <m:rPr>
            <m:sty m:val="p"/>
          </m:rPr>
          <w:rPr>
            <w:rFonts w:ascii="Cambria Math" w:hAnsi="Cambria Math" w:cstheme="minorHAnsi"/>
          </w:rPr>
          <m:t>Small–tree height growth multiplier</m:t>
        </m:r>
        <m:r>
          <w:rPr>
            <w:rFonts w:ascii="Cambria Math" w:hAnsi="Cambria Math" w:cstheme="minorHAnsi"/>
          </w:rPr>
          <m:t xml:space="preserve">=0.05 ∙ </m:t>
        </m:r>
        <m:d>
          <m:dPr>
            <m:begChr m:val="["/>
            <m:endChr m:val="]"/>
            <m:ctrlPr>
              <w:rPr>
                <w:rFonts w:ascii="Cambria Math" w:hAnsi="Cambria Math" w:cstheme="minorHAnsi"/>
                <w:i/>
              </w:rPr>
            </m:ctrlPr>
          </m:dPr>
          <m:e>
            <m:r>
              <w:rPr>
                <w:rFonts w:ascii="Cambria Math" w:hAnsi="Cambria Math" w:cstheme="minorHAnsi"/>
              </w:rPr>
              <m:t>1+</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425-</m:t>
                    </m:r>
                    <m:r>
                      <m:rPr>
                        <m:sty m:val="p"/>
                      </m:rPr>
                      <w:rPr>
                        <w:rFonts w:ascii="Cambria Math" w:hAnsi="Cambria Math" w:cstheme="minorHAnsi"/>
                      </w:rPr>
                      <m:t>SDI</m:t>
                    </m:r>
                  </m:num>
                  <m:den>
                    <m:r>
                      <w:rPr>
                        <w:rFonts w:ascii="Cambria Math" w:hAnsi="Cambria Math" w:cstheme="minorHAnsi"/>
                      </w:rPr>
                      <m:t>425</m:t>
                    </m:r>
                  </m:den>
                </m:f>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425</m:t>
                        </m:r>
                      </m:num>
                      <m:den>
                        <m:r>
                          <m:rPr>
                            <m:sty m:val="p"/>
                          </m:rPr>
                          <w:rPr>
                            <w:rFonts w:ascii="Cambria Math" w:hAnsi="Cambria Math" w:cstheme="minorHAnsi"/>
                          </w:rPr>
                          <m:t>CC</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82-</m:t>
                        </m:r>
                        <m:r>
                          <m:rPr>
                            <m:sty m:val="p"/>
                          </m:rPr>
                          <w:rPr>
                            <w:rFonts w:ascii="Cambria Math" w:hAnsi="Cambria Math" w:cstheme="minorHAnsi"/>
                          </w:rPr>
                          <m:t>CC</m:t>
                        </m:r>
                      </m:num>
                      <m:den>
                        <m:r>
                          <w:rPr>
                            <w:rFonts w:ascii="Cambria Math" w:hAnsi="Cambria Math" w:cstheme="minorHAnsi"/>
                          </w:rPr>
                          <m:t>82</m:t>
                        </m:r>
                      </m:den>
                    </m:f>
                  </m:e>
                </m:d>
              </m:e>
            </m:d>
          </m:e>
        </m:d>
      </m:oMath>
    </w:p>
    <w:p w:rsidR="008841B8" w:rsidRDefault="0028485C" w:rsidP="008841B8">
      <w:pPr>
        <w:autoSpaceDE w:val="0"/>
        <w:autoSpaceDN w:val="0"/>
        <w:adjustRightInd w:val="0"/>
        <w:spacing w:line="480" w:lineRule="auto"/>
        <w:ind w:firstLine="720"/>
        <w:rPr>
          <w:rFonts w:asciiTheme="minorHAnsi" w:hAnsiTheme="minorHAnsi" w:cstheme="minorHAnsi"/>
        </w:rPr>
      </w:pPr>
      <w:r>
        <w:rPr>
          <w:rFonts w:asciiTheme="minorHAnsi" w:hAnsiTheme="minorHAnsi" w:cstheme="minorHAnsi"/>
        </w:rPr>
        <w:t>This multiplier has a starting value of five percent before accounting for stand density or percent canopy cover (CC)</w:t>
      </w:r>
      <w:r w:rsidR="00651393">
        <w:rPr>
          <w:rFonts w:asciiTheme="minorHAnsi" w:hAnsiTheme="minorHAnsi" w:cstheme="minorHAnsi"/>
        </w:rPr>
        <w:t xml:space="preserve">.  </w:t>
      </w:r>
      <w:r>
        <w:rPr>
          <w:rFonts w:asciiTheme="minorHAnsi" w:hAnsiTheme="minorHAnsi" w:cstheme="minorHAnsi"/>
        </w:rPr>
        <w:t>The rest of this</w:t>
      </w:r>
      <w:r w:rsidR="00A7770A">
        <w:rPr>
          <w:rFonts w:asciiTheme="minorHAnsi" w:hAnsiTheme="minorHAnsi" w:cstheme="minorHAnsi"/>
        </w:rPr>
        <w:t xml:space="preserve"> equation </w:t>
      </w:r>
      <w:r>
        <w:rPr>
          <w:rFonts w:asciiTheme="minorHAnsi" w:hAnsiTheme="minorHAnsi" w:cstheme="minorHAnsi"/>
        </w:rPr>
        <w:t>consists of a relative density</w:t>
      </w:r>
      <w:r w:rsidR="00A7770A">
        <w:rPr>
          <w:rFonts w:asciiTheme="minorHAnsi" w:hAnsiTheme="minorHAnsi" w:cstheme="minorHAnsi"/>
        </w:rPr>
        <w:t xml:space="preserve"> </w:t>
      </w:r>
      <w:r w:rsidR="005F3B33">
        <w:rPr>
          <w:rFonts w:asciiTheme="minorHAnsi" w:hAnsiTheme="minorHAnsi" w:cstheme="minorHAnsi"/>
        </w:rPr>
        <w:t xml:space="preserve">(percent stocking) </w:t>
      </w:r>
      <w:r w:rsidR="00A7770A">
        <w:rPr>
          <w:rFonts w:asciiTheme="minorHAnsi" w:hAnsiTheme="minorHAnsi" w:cstheme="minorHAnsi"/>
        </w:rPr>
        <w:t xml:space="preserve">term multiplied by a </w:t>
      </w:r>
      <w:r>
        <w:rPr>
          <w:rFonts w:asciiTheme="minorHAnsi" w:hAnsiTheme="minorHAnsi" w:cstheme="minorHAnsi"/>
        </w:rPr>
        <w:t>relative CC term.  This relative CC term is made more influential by an internal multiplier equal to the ratio of th</w:t>
      </w:r>
      <w:r w:rsidR="00353FE0">
        <w:rPr>
          <w:rFonts w:asciiTheme="minorHAnsi" w:hAnsiTheme="minorHAnsi" w:cstheme="minorHAnsi"/>
        </w:rPr>
        <w:t>e equation’s</w:t>
      </w:r>
      <w:r>
        <w:rPr>
          <w:rFonts w:asciiTheme="minorHAnsi" w:hAnsiTheme="minorHAnsi" w:cstheme="minorHAnsi"/>
        </w:rPr>
        <w:t xml:space="preserve"> </w:t>
      </w:r>
      <w:r w:rsidR="00440F22">
        <w:rPr>
          <w:rFonts w:asciiTheme="minorHAnsi" w:hAnsiTheme="minorHAnsi" w:cstheme="minorHAnsi"/>
        </w:rPr>
        <w:t>fixed</w:t>
      </w:r>
      <w:r>
        <w:rPr>
          <w:rFonts w:asciiTheme="minorHAnsi" w:hAnsiTheme="minorHAnsi" w:cstheme="minorHAnsi"/>
        </w:rPr>
        <w:t xml:space="preserve"> SDI</w:t>
      </w:r>
      <w:r w:rsidR="00440F22">
        <w:rPr>
          <w:rFonts w:asciiTheme="minorHAnsi" w:hAnsiTheme="minorHAnsi" w:cstheme="minorHAnsi"/>
        </w:rPr>
        <w:t xml:space="preserve"> value to the CC value</w:t>
      </w:r>
      <w:r w:rsidR="002F7050">
        <w:rPr>
          <w:rFonts w:asciiTheme="minorHAnsi" w:hAnsiTheme="minorHAnsi" w:cstheme="minorHAnsi"/>
        </w:rPr>
        <w:t xml:space="preserve"> of the given cycle</w:t>
      </w:r>
      <w:r w:rsidR="00440F22">
        <w:rPr>
          <w:rFonts w:asciiTheme="minorHAnsi" w:hAnsiTheme="minorHAnsi" w:cstheme="minorHAnsi"/>
        </w:rPr>
        <w:t xml:space="preserve">, </w:t>
      </w:r>
      <w:r w:rsidR="002F7050">
        <w:rPr>
          <w:rFonts w:asciiTheme="minorHAnsi" w:hAnsiTheme="minorHAnsi" w:cstheme="minorHAnsi"/>
        </w:rPr>
        <w:t xml:space="preserve">reflecting the fact that </w:t>
      </w:r>
      <w:r w:rsidR="00C43207">
        <w:rPr>
          <w:rFonts w:asciiTheme="minorHAnsi" w:hAnsiTheme="minorHAnsi" w:cstheme="minorHAnsi"/>
        </w:rPr>
        <w:t>small-tree</w:t>
      </w:r>
      <w:r w:rsidR="002F7050">
        <w:rPr>
          <w:rFonts w:asciiTheme="minorHAnsi" w:hAnsiTheme="minorHAnsi" w:cstheme="minorHAnsi"/>
        </w:rPr>
        <w:t xml:space="preserve"> growth is </w:t>
      </w:r>
      <w:r w:rsidR="008651D8">
        <w:rPr>
          <w:rFonts w:asciiTheme="minorHAnsi" w:hAnsiTheme="minorHAnsi" w:cstheme="minorHAnsi"/>
        </w:rPr>
        <w:t>largely</w:t>
      </w:r>
      <w:r w:rsidR="002F7050">
        <w:rPr>
          <w:rFonts w:asciiTheme="minorHAnsi" w:hAnsiTheme="minorHAnsi" w:cstheme="minorHAnsi"/>
        </w:rPr>
        <w:t xml:space="preserve"> influenced by light intensity.</w:t>
      </w:r>
      <w:r w:rsidR="008651D8">
        <w:rPr>
          <w:rFonts w:asciiTheme="minorHAnsi" w:hAnsiTheme="minorHAnsi" w:cstheme="minorHAnsi"/>
        </w:rPr>
        <w:t xml:space="preserve">  </w:t>
      </w:r>
      <w:r w:rsidR="00D52CE6">
        <w:rPr>
          <w:rFonts w:asciiTheme="minorHAnsi" w:hAnsiTheme="minorHAnsi" w:cstheme="minorHAnsi"/>
        </w:rPr>
        <w:t>For further control</w:t>
      </w:r>
      <w:r w:rsidR="002A1B69">
        <w:rPr>
          <w:rFonts w:asciiTheme="minorHAnsi" w:hAnsiTheme="minorHAnsi" w:cstheme="minorHAnsi"/>
        </w:rPr>
        <w:t>, another height growth multiplier was applied to large saplings (</w:t>
      </w:r>
      <w:r w:rsidR="00470D67">
        <w:rPr>
          <w:rFonts w:asciiTheme="minorHAnsi" w:hAnsiTheme="minorHAnsi" w:cstheme="minorHAnsi"/>
        </w:rPr>
        <w:t xml:space="preserve">ten </w:t>
      </w:r>
      <w:r w:rsidR="00CA66E2">
        <w:rPr>
          <w:rFonts w:asciiTheme="minorHAnsi" w:hAnsiTheme="minorHAnsi" w:cstheme="minorHAnsi"/>
        </w:rPr>
        <w:t>ft.</w:t>
      </w:r>
      <w:r w:rsidR="00470D67">
        <w:rPr>
          <w:rFonts w:asciiTheme="minorHAnsi" w:hAnsiTheme="minorHAnsi" w:cstheme="minorHAnsi"/>
        </w:rPr>
        <w:t xml:space="preserve"> or more</w:t>
      </w:r>
      <w:r w:rsidR="002A1B69">
        <w:rPr>
          <w:rFonts w:asciiTheme="minorHAnsi" w:hAnsiTheme="minorHAnsi" w:cstheme="minorHAnsi"/>
        </w:rPr>
        <w:t>)</w:t>
      </w:r>
      <w:r w:rsidR="007A29DD">
        <w:rPr>
          <w:rFonts w:asciiTheme="minorHAnsi" w:hAnsiTheme="minorHAnsi" w:cstheme="minorHAnsi"/>
        </w:rPr>
        <w:t>,</w:t>
      </w:r>
      <w:r w:rsidR="001A54F3">
        <w:rPr>
          <w:rFonts w:asciiTheme="minorHAnsi" w:hAnsiTheme="minorHAnsi" w:cstheme="minorHAnsi"/>
        </w:rPr>
        <w:t xml:space="preserve"> the magnitude of which </w:t>
      </w:r>
      <w:r w:rsidR="005C5D60">
        <w:rPr>
          <w:rFonts w:asciiTheme="minorHAnsi" w:hAnsiTheme="minorHAnsi" w:cstheme="minorHAnsi"/>
        </w:rPr>
        <w:t>was a function of stand size-class</w:t>
      </w:r>
      <w:r w:rsidR="001A54F3">
        <w:rPr>
          <w:rFonts w:asciiTheme="minorHAnsi" w:hAnsiTheme="minorHAnsi" w:cstheme="minorHAnsi"/>
        </w:rPr>
        <w:t xml:space="preserve">.  However, this was </w:t>
      </w:r>
      <w:r w:rsidR="00A755AB">
        <w:rPr>
          <w:rFonts w:asciiTheme="minorHAnsi" w:hAnsiTheme="minorHAnsi" w:cstheme="minorHAnsi"/>
        </w:rPr>
        <w:t xml:space="preserve">only administered </w:t>
      </w:r>
      <w:r w:rsidR="001A54F3">
        <w:rPr>
          <w:rFonts w:asciiTheme="minorHAnsi" w:hAnsiTheme="minorHAnsi" w:cstheme="minorHAnsi"/>
        </w:rPr>
        <w:t>if relative density demonstrated moderate stocking levels or better</w:t>
      </w:r>
      <w:r w:rsidR="002A1B69">
        <w:rPr>
          <w:rFonts w:asciiTheme="minorHAnsi" w:hAnsiTheme="minorHAnsi" w:cstheme="minorHAnsi"/>
        </w:rPr>
        <w:t>.</w:t>
      </w:r>
    </w:p>
    <w:p w:rsidR="00BE5080" w:rsidRDefault="00261637" w:rsidP="00A26DBD">
      <w:pPr>
        <w:autoSpaceDE w:val="0"/>
        <w:autoSpaceDN w:val="0"/>
        <w:adjustRightInd w:val="0"/>
        <w:spacing w:line="480" w:lineRule="auto"/>
        <w:ind w:firstLine="720"/>
        <w:rPr>
          <w:rFonts w:asciiTheme="minorHAnsi" w:hAnsiTheme="minorHAnsi" w:cstheme="minorHAnsi"/>
        </w:rPr>
      </w:pPr>
      <w:r>
        <w:lastRenderedPageBreak/>
        <w:t xml:space="preserve">Moreover, </w:t>
      </w:r>
      <w:r w:rsidR="008C395F">
        <w:t>in an effort to</w:t>
      </w:r>
      <w:r>
        <w:t xml:space="preserve"> </w:t>
      </w:r>
      <w:r w:rsidRPr="00E12067">
        <w:rPr>
          <w:rFonts w:asciiTheme="minorHAnsi" w:hAnsiTheme="minorHAnsi" w:cstheme="minorHAnsi"/>
        </w:rPr>
        <w:t>automa</w:t>
      </w:r>
      <w:r w:rsidR="008C395F">
        <w:rPr>
          <w:rFonts w:asciiTheme="minorHAnsi" w:hAnsiTheme="minorHAnsi" w:cstheme="minorHAnsi"/>
        </w:rPr>
        <w:t>tically program</w:t>
      </w:r>
      <w:r w:rsidRPr="00E12067">
        <w:rPr>
          <w:rFonts w:asciiTheme="minorHAnsi" w:hAnsiTheme="minorHAnsi" w:cstheme="minorHAnsi"/>
        </w:rPr>
        <w:t xml:space="preserve"> regeneration into simulations</w:t>
      </w:r>
      <w:r>
        <w:rPr>
          <w:rFonts w:asciiTheme="minorHAnsi" w:hAnsiTheme="minorHAnsi" w:cstheme="minorHAnsi"/>
        </w:rPr>
        <w:t>,</w:t>
      </w:r>
      <w:r>
        <w:t xml:space="preserve"> </w:t>
      </w:r>
      <w:r w:rsidR="005461CA">
        <w:t xml:space="preserve">the FIA data </w:t>
      </w:r>
      <w:r w:rsidR="00F70FA1">
        <w:t>from</w:t>
      </w:r>
      <w:r w:rsidR="005461CA">
        <w:t xml:space="preserve"> the C</w:t>
      </w:r>
      <w:r w:rsidR="00F70FA1">
        <w:t>umberlands of TN, KY, and VA were</w:t>
      </w:r>
      <w:r w:rsidR="005461CA">
        <w:t xml:space="preserve"> </w:t>
      </w:r>
      <w:r w:rsidR="00A755AB">
        <w:t xml:space="preserve">manually </w:t>
      </w:r>
      <w:r w:rsidR="005461CA">
        <w:t>transformed into an FVS input database</w:t>
      </w:r>
      <w:r>
        <w:rPr>
          <w:rStyle w:val="FootnoteReference"/>
        </w:rPr>
        <w:footnoteReference w:id="9"/>
      </w:r>
      <w:r w:rsidR="005461CA">
        <w:t xml:space="preserve"> and run through FVS in order to generate stand tables </w:t>
      </w:r>
      <w:r w:rsidR="008C395F">
        <w:t>that in turn</w:t>
      </w:r>
      <w:r w:rsidR="005461CA">
        <w:t xml:space="preserve"> </w:t>
      </w:r>
      <w:r w:rsidR="008C395F">
        <w:t xml:space="preserve">were converted into ingrowth keyword files by </w:t>
      </w:r>
      <w:r w:rsidR="005461CA">
        <w:t>the Repute po</w:t>
      </w:r>
      <w:r w:rsidR="008C395F">
        <w:t>st-processor</w:t>
      </w:r>
      <w:r w:rsidR="0048623D">
        <w:rPr>
          <w:rStyle w:val="FootnoteReference"/>
        </w:rPr>
        <w:footnoteReference w:id="10"/>
      </w:r>
      <w:r w:rsidR="005461CA" w:rsidRPr="00E12067">
        <w:rPr>
          <w:rFonts w:asciiTheme="minorHAnsi" w:hAnsiTheme="minorHAnsi" w:cstheme="minorHAnsi"/>
        </w:rPr>
        <w:t>.</w:t>
      </w:r>
      <w:r w:rsidR="00A26DBD">
        <w:rPr>
          <w:rFonts w:asciiTheme="minorHAnsi" w:hAnsiTheme="minorHAnsi" w:cstheme="minorHAnsi"/>
        </w:rPr>
        <w:t xml:space="preserve"> </w:t>
      </w:r>
      <w:r w:rsidR="007107F8">
        <w:rPr>
          <w:rFonts w:asciiTheme="minorHAnsi" w:hAnsiTheme="minorHAnsi" w:cstheme="minorHAnsi"/>
        </w:rPr>
        <w:t xml:space="preserve"> </w:t>
      </w:r>
      <w:r w:rsidR="00230B54">
        <w:rPr>
          <w:rFonts w:asciiTheme="minorHAnsi" w:hAnsiTheme="minorHAnsi" w:cstheme="minorHAnsi"/>
        </w:rPr>
        <w:t xml:space="preserve">This </w:t>
      </w:r>
      <w:r w:rsidR="00E97ABA">
        <w:rPr>
          <w:rFonts w:asciiTheme="minorHAnsi" w:hAnsiTheme="minorHAnsi" w:cstheme="minorHAnsi"/>
        </w:rPr>
        <w:t xml:space="preserve">empirical </w:t>
      </w:r>
      <w:r w:rsidR="00230B54">
        <w:rPr>
          <w:rFonts w:asciiTheme="minorHAnsi" w:hAnsiTheme="minorHAnsi" w:cstheme="minorHAnsi"/>
        </w:rPr>
        <w:t xml:space="preserve">approach was taken by </w:t>
      </w:r>
      <w:proofErr w:type="spellStart"/>
      <w:r w:rsidR="00230B54">
        <w:rPr>
          <w:rFonts w:asciiTheme="minorHAnsi" w:hAnsiTheme="minorHAnsi" w:cstheme="minorHAnsi"/>
        </w:rPr>
        <w:t>Vandendriesche</w:t>
      </w:r>
      <w:proofErr w:type="spellEnd"/>
      <w:r w:rsidR="00230B54">
        <w:rPr>
          <w:rFonts w:asciiTheme="minorHAnsi" w:hAnsiTheme="minorHAnsi" w:cstheme="minorHAnsi"/>
        </w:rPr>
        <w:t xml:space="preserve"> and Haugen </w:t>
      </w:r>
      <w:r w:rsidR="00230B54">
        <w:rPr>
          <w:rFonts w:asciiTheme="minorHAnsi" w:hAnsiTheme="minorHAnsi" w:cstheme="minorHAnsi"/>
        </w:rPr>
        <w:fldChar w:fldCharType="begin"/>
      </w:r>
      <w:r w:rsidR="00A87D07">
        <w:rPr>
          <w:rFonts w:asciiTheme="minorHAnsi" w:hAnsiTheme="minorHAnsi" w:cstheme="minorHAnsi"/>
        </w:rPr>
        <w:instrText xml:space="preserve"> ADDIN EN.CITE &lt;EndNote&gt;&lt;Cite ExcludeAuth="1"&gt;&lt;Author&gt;Vandendriesche&lt;/Author&gt;&lt;Year&gt;2006&lt;/Year&gt;&lt;RecNum&gt;118&lt;/RecNum&gt;&lt;DisplayText&gt;(2006)&lt;/DisplayText&gt;&lt;record&gt;&lt;rec-number&gt;118&lt;/rec-number&gt;&lt;foreign-keys&gt;&lt;key app="EN" db-id="a90s5zadewrawxeer07v2f90xr5vxv022sat"&gt;118&lt;/key&gt;&lt;/foreign-keys&gt;&lt;ref-type name="Report"&gt;27&lt;/ref-type&gt;&lt;contributors&gt;&lt;authors&gt;&lt;author&gt;Vandendriesche, Don &lt;/author&gt;&lt;author&gt;Linda Haugen&lt;/author&gt;&lt;/authors&gt;&lt;/contributors&gt;&lt;titles&gt;&lt;title&gt;Comparison of Measured Growth and Mortality Trends to Modeled FVS Projections Relative to Oak Decline Impacts as Observed Over Three FIA Inventory Cycles on the Mark Twain National Forest&lt;/title&gt;&lt;/titles&gt;&lt;dates&gt;&lt;year&gt;2006&lt;/year&gt;&lt;/dates&gt;&lt;pub-location&gt;USDA Forest Service. Forest Management Service Center. Fort Collins, Colorado. 42p&lt;/pub-location&gt;&lt;urls&gt;&lt;/urls&gt;&lt;/record&gt;&lt;/Cite&gt;&lt;/EndNote&gt;</w:instrText>
      </w:r>
      <w:r w:rsidR="00230B54">
        <w:rPr>
          <w:rFonts w:asciiTheme="minorHAnsi" w:hAnsiTheme="minorHAnsi" w:cstheme="minorHAnsi"/>
        </w:rPr>
        <w:fldChar w:fldCharType="separate"/>
      </w:r>
      <w:r w:rsidR="00A87D07">
        <w:rPr>
          <w:rFonts w:asciiTheme="minorHAnsi" w:hAnsiTheme="minorHAnsi" w:cstheme="minorHAnsi"/>
          <w:noProof/>
        </w:rPr>
        <w:t>(</w:t>
      </w:r>
      <w:hyperlink w:anchor="_ENREF_143" w:tooltip="Vandendriesche, 2006 #118" w:history="1">
        <w:r w:rsidR="001E4C88">
          <w:rPr>
            <w:rFonts w:asciiTheme="minorHAnsi" w:hAnsiTheme="minorHAnsi" w:cstheme="minorHAnsi"/>
            <w:noProof/>
          </w:rPr>
          <w:t>2006</w:t>
        </w:r>
      </w:hyperlink>
      <w:r w:rsidR="00A87D07">
        <w:rPr>
          <w:rFonts w:asciiTheme="minorHAnsi" w:hAnsiTheme="minorHAnsi" w:cstheme="minorHAnsi"/>
          <w:noProof/>
        </w:rPr>
        <w:t>)</w:t>
      </w:r>
      <w:r w:rsidR="00230B54">
        <w:rPr>
          <w:rFonts w:asciiTheme="minorHAnsi" w:hAnsiTheme="minorHAnsi" w:cstheme="minorHAnsi"/>
        </w:rPr>
        <w:fldChar w:fldCharType="end"/>
      </w:r>
      <w:r w:rsidR="00230B54">
        <w:rPr>
          <w:rFonts w:asciiTheme="minorHAnsi" w:hAnsiTheme="minorHAnsi" w:cstheme="minorHAnsi"/>
        </w:rPr>
        <w:t xml:space="preserve"> in which </w:t>
      </w:r>
      <w:r w:rsidR="00E97ABA">
        <w:rPr>
          <w:rFonts w:asciiTheme="minorHAnsi" w:hAnsiTheme="minorHAnsi" w:cstheme="minorHAnsi"/>
        </w:rPr>
        <w:t>th</w:t>
      </w:r>
      <w:r w:rsidR="00B37DBA">
        <w:rPr>
          <w:rFonts w:asciiTheme="minorHAnsi" w:hAnsiTheme="minorHAnsi" w:cstheme="minorHAnsi"/>
        </w:rPr>
        <w:t>e</w:t>
      </w:r>
      <w:r w:rsidR="00E97ABA">
        <w:rPr>
          <w:rFonts w:asciiTheme="minorHAnsi" w:hAnsiTheme="minorHAnsi" w:cstheme="minorHAnsi"/>
        </w:rPr>
        <w:t xml:space="preserve"> process </w:t>
      </w:r>
      <w:r w:rsidR="00230B54">
        <w:rPr>
          <w:rFonts w:asciiTheme="minorHAnsi" w:hAnsiTheme="minorHAnsi" w:cstheme="minorHAnsi"/>
        </w:rPr>
        <w:t xml:space="preserve">is described in more detail.  </w:t>
      </w:r>
      <w:r w:rsidR="00F210CC">
        <w:rPr>
          <w:rFonts w:asciiTheme="minorHAnsi" w:hAnsiTheme="minorHAnsi" w:cstheme="minorHAnsi"/>
        </w:rPr>
        <w:t>Regardless of management h</w:t>
      </w:r>
      <w:r w:rsidR="005B7B83">
        <w:rPr>
          <w:rFonts w:asciiTheme="minorHAnsi" w:hAnsiTheme="minorHAnsi" w:cstheme="minorHAnsi"/>
        </w:rPr>
        <w:t xml:space="preserve">istory, </w:t>
      </w:r>
      <w:r w:rsidR="00F54A03">
        <w:rPr>
          <w:rFonts w:asciiTheme="minorHAnsi" w:hAnsiTheme="minorHAnsi" w:cstheme="minorHAnsi"/>
        </w:rPr>
        <w:t xml:space="preserve">seedlings and </w:t>
      </w:r>
      <w:r w:rsidR="005B7B83">
        <w:rPr>
          <w:rFonts w:asciiTheme="minorHAnsi" w:hAnsiTheme="minorHAnsi" w:cstheme="minorHAnsi"/>
        </w:rPr>
        <w:t>saplings up to 20</w:t>
      </w:r>
      <w:r w:rsidR="005B7B83">
        <w:rPr>
          <w:rFonts w:cs="Calibri"/>
        </w:rPr>
        <w:t>′</w:t>
      </w:r>
      <w:r w:rsidR="00F210CC">
        <w:rPr>
          <w:rFonts w:asciiTheme="minorHAnsi" w:hAnsiTheme="minorHAnsi" w:cstheme="minorHAnsi"/>
        </w:rPr>
        <w:t xml:space="preserve"> tall were periodically added to the tree</w:t>
      </w:r>
      <w:r w:rsidR="00372134">
        <w:rPr>
          <w:rFonts w:asciiTheme="minorHAnsi" w:hAnsiTheme="minorHAnsi" w:cstheme="minorHAnsi"/>
        </w:rPr>
        <w:t xml:space="preserve"> </w:t>
      </w:r>
      <w:r w:rsidR="00F210CC">
        <w:rPr>
          <w:rFonts w:asciiTheme="minorHAnsi" w:hAnsiTheme="minorHAnsi" w:cstheme="minorHAnsi"/>
        </w:rPr>
        <w:t>list according to embedded criteria from the Repute program.  Saplings added in the cycle</w:t>
      </w:r>
      <w:r w:rsidR="000304EC">
        <w:rPr>
          <w:rFonts w:asciiTheme="minorHAnsi" w:hAnsiTheme="minorHAnsi" w:cstheme="minorHAnsi"/>
        </w:rPr>
        <w:t>s</w:t>
      </w:r>
      <w:r w:rsidR="00F210CC">
        <w:rPr>
          <w:rFonts w:asciiTheme="minorHAnsi" w:hAnsiTheme="minorHAnsi" w:cstheme="minorHAnsi"/>
        </w:rPr>
        <w:t xml:space="preserve"> immediately after final harvests </w:t>
      </w:r>
      <w:r w:rsidR="000304EC">
        <w:rPr>
          <w:rFonts w:asciiTheme="minorHAnsi" w:hAnsiTheme="minorHAnsi" w:cstheme="minorHAnsi"/>
        </w:rPr>
        <w:t xml:space="preserve">(&lt; age 10) </w:t>
      </w:r>
      <w:r w:rsidR="00F210CC">
        <w:rPr>
          <w:rFonts w:asciiTheme="minorHAnsi" w:hAnsiTheme="minorHAnsi" w:cstheme="minorHAnsi"/>
        </w:rPr>
        <w:t xml:space="preserve">or during the stem-exclusion phase </w:t>
      </w:r>
      <w:r w:rsidR="000304EC">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&lt;EndNote&gt;&lt;Cite&gt;&lt;Author&gt;Oliver&lt;/Author&gt;&lt;Year&gt;1980&lt;/Year&gt;&lt;RecNum&gt;295&lt;/RecNum&gt;&lt;DisplayText&gt;(Oliver 1980)&lt;/DisplayText&gt;&lt;record&gt;&lt;rec-number&gt;295&lt;/rec-number&gt;&lt;foreign-keys&gt;&lt;key app="EN" db-id="a90s5zadewrawxeer07v2f90xr5vxv022sat"&gt;295&lt;/key&gt;&lt;/foreign-keys&gt;&lt;ref-type name="Journal Article"&gt;17&lt;/ref-type&gt;&lt;contributors&gt;&lt;authors&gt;&lt;author&gt;Oliver, Chadwick Dearing&lt;/author&gt;&lt;/authors&gt;&lt;/contributors&gt;&lt;titles&gt;&lt;title&gt;Forest development in North America following major disturbances&lt;/title&gt;&lt;secondary-title&gt;Forest Ecology and Management&lt;/secondary-title&gt;&lt;/titles&gt;&lt;periodical&gt;&lt;full-title&gt;Forest Ecology and Management&lt;/full-title&gt;&lt;abbr-1&gt;For. Ecol. Manage.&lt;/abbr-1&gt;&lt;/periodical&gt;&lt;pages&gt;153-168&lt;/pages&gt;&lt;volume&gt;3&lt;/volume&gt;&lt;dates&gt;&lt;year&gt;1980&lt;/year&gt;&lt;/dates&gt;&lt;urls&gt;&lt;related-urls&gt;&lt;url&gt;http://www.sciencedirect.com/science/article/B6T6X-48XMK3V-P2/2/af33d3928ea51b23fb554f6dd1657f74&lt;/url&gt;&lt;/related-urls&gt;&lt;/urls&gt;&lt;/record&gt;&lt;/Cite&gt;&lt;/EndNote&gt;</w:instrText>
      </w:r>
      <w:r w:rsidR="000304EC">
        <w:rPr>
          <w:rFonts w:asciiTheme="minorHAnsi" w:hAnsiTheme="minorHAnsi" w:cstheme="minorHAnsi"/>
        </w:rPr>
        <w:fldChar w:fldCharType="separate"/>
      </w:r>
      <w:r w:rsidR="00A87D07">
        <w:rPr>
          <w:rFonts w:asciiTheme="minorHAnsi" w:hAnsiTheme="minorHAnsi" w:cstheme="minorHAnsi"/>
          <w:noProof/>
        </w:rPr>
        <w:t>(</w:t>
      </w:r>
      <w:hyperlink w:anchor="_ENREF_109" w:tooltip="Oliver, 1980 #295" w:history="1">
        <w:r w:rsidR="001E4C88">
          <w:rPr>
            <w:rFonts w:asciiTheme="minorHAnsi" w:hAnsiTheme="minorHAnsi" w:cstheme="minorHAnsi"/>
            <w:noProof/>
          </w:rPr>
          <w:t>Oliver 1980</w:t>
        </w:r>
      </w:hyperlink>
      <w:r w:rsidR="00A87D07">
        <w:rPr>
          <w:rFonts w:asciiTheme="minorHAnsi" w:hAnsiTheme="minorHAnsi" w:cstheme="minorHAnsi"/>
          <w:noProof/>
        </w:rPr>
        <w:t>)</w:t>
      </w:r>
      <w:r w:rsidR="000304EC">
        <w:rPr>
          <w:rFonts w:asciiTheme="minorHAnsi" w:hAnsiTheme="minorHAnsi" w:cstheme="minorHAnsi"/>
        </w:rPr>
        <w:fldChar w:fldCharType="end"/>
      </w:r>
      <w:r w:rsidR="000304EC">
        <w:rPr>
          <w:rFonts w:asciiTheme="minorHAnsi" w:hAnsiTheme="minorHAnsi" w:cstheme="minorHAnsi"/>
        </w:rPr>
        <w:t xml:space="preserve"> </w:t>
      </w:r>
      <w:r w:rsidR="00DD2290">
        <w:rPr>
          <w:rFonts w:asciiTheme="minorHAnsi" w:hAnsiTheme="minorHAnsi" w:cstheme="minorHAnsi"/>
        </w:rPr>
        <w:t>of stand development</w:t>
      </w:r>
      <w:r w:rsidR="009824B3">
        <w:rPr>
          <w:rFonts w:asciiTheme="minorHAnsi" w:hAnsiTheme="minorHAnsi" w:cstheme="minorHAnsi"/>
        </w:rPr>
        <w:t xml:space="preserve"> </w:t>
      </w:r>
      <w:r w:rsidR="000304EC">
        <w:rPr>
          <w:rFonts w:asciiTheme="minorHAnsi" w:hAnsiTheme="minorHAnsi" w:cstheme="minorHAnsi"/>
        </w:rPr>
        <w:t xml:space="preserve">(age </w:t>
      </w:r>
      <w:r w:rsidR="00EB6DF5">
        <w:rPr>
          <w:rFonts w:asciiTheme="minorHAnsi" w:hAnsiTheme="minorHAnsi" w:cstheme="minorHAnsi"/>
        </w:rPr>
        <w:t>15</w:t>
      </w:r>
      <w:r w:rsidR="000304EC">
        <w:rPr>
          <w:rFonts w:asciiTheme="minorHAnsi" w:hAnsiTheme="minorHAnsi" w:cstheme="minorHAnsi"/>
        </w:rPr>
        <w:t xml:space="preserve">-50) </w:t>
      </w:r>
      <w:r w:rsidR="00F210CC">
        <w:rPr>
          <w:rFonts w:asciiTheme="minorHAnsi" w:hAnsiTheme="minorHAnsi" w:cstheme="minorHAnsi"/>
        </w:rPr>
        <w:t xml:space="preserve">were precluded so that advance regeneration inputs were realistic and did not </w:t>
      </w:r>
      <w:r w:rsidR="00DD2290">
        <w:rPr>
          <w:rFonts w:asciiTheme="minorHAnsi" w:hAnsiTheme="minorHAnsi" w:cstheme="minorHAnsi"/>
        </w:rPr>
        <w:t>cause an immediate spike in the regenerating stand’s carbon stocks</w:t>
      </w:r>
      <w:r w:rsidR="00F210CC">
        <w:rPr>
          <w:rFonts w:asciiTheme="minorHAnsi" w:hAnsiTheme="minorHAnsi" w:cstheme="minorHAnsi"/>
        </w:rPr>
        <w:t xml:space="preserve">.  </w:t>
      </w:r>
      <w:r w:rsidR="001668E1">
        <w:rPr>
          <w:rFonts w:asciiTheme="minorHAnsi" w:hAnsiTheme="minorHAnsi" w:cstheme="minorHAnsi"/>
        </w:rPr>
        <w:t xml:space="preserve">Aside from the ecological importance of ingrowth, its addition to simulations </w:t>
      </w:r>
      <w:r w:rsidR="00E47FB1">
        <w:rPr>
          <w:rFonts w:asciiTheme="minorHAnsi" w:hAnsiTheme="minorHAnsi" w:cstheme="minorHAnsi"/>
        </w:rPr>
        <w:t>provided a</w:t>
      </w:r>
      <w:r w:rsidR="001668E1">
        <w:rPr>
          <w:rFonts w:asciiTheme="minorHAnsi" w:hAnsiTheme="minorHAnsi" w:cstheme="minorHAnsi"/>
        </w:rPr>
        <w:t xml:space="preserve"> </w:t>
      </w:r>
      <w:r w:rsidR="00967A6A">
        <w:rPr>
          <w:rFonts w:asciiTheme="minorHAnsi" w:hAnsiTheme="minorHAnsi" w:cstheme="minorHAnsi"/>
        </w:rPr>
        <w:t>restraint</w:t>
      </w:r>
      <w:r w:rsidR="00E47FB1">
        <w:rPr>
          <w:rFonts w:asciiTheme="minorHAnsi" w:hAnsiTheme="minorHAnsi" w:cstheme="minorHAnsi"/>
        </w:rPr>
        <w:t xml:space="preserve"> </w:t>
      </w:r>
      <w:r w:rsidR="00F934AF">
        <w:rPr>
          <w:rFonts w:asciiTheme="minorHAnsi" w:hAnsiTheme="minorHAnsi" w:cstheme="minorHAnsi"/>
        </w:rPr>
        <w:t>on</w:t>
      </w:r>
      <w:r w:rsidR="001668E1">
        <w:rPr>
          <w:rFonts w:asciiTheme="minorHAnsi" w:hAnsiTheme="minorHAnsi" w:cstheme="minorHAnsi"/>
        </w:rPr>
        <w:t xml:space="preserve"> forecasted AGL biomass growth in that the </w:t>
      </w:r>
      <w:r w:rsidR="00F934AF">
        <w:rPr>
          <w:rFonts w:asciiTheme="minorHAnsi" w:hAnsiTheme="minorHAnsi" w:cstheme="minorHAnsi"/>
        </w:rPr>
        <w:t>resultant increase</w:t>
      </w:r>
      <w:r w:rsidR="00755D6E">
        <w:rPr>
          <w:rFonts w:asciiTheme="minorHAnsi" w:hAnsiTheme="minorHAnsi" w:cstheme="minorHAnsi"/>
        </w:rPr>
        <w:t>s</w:t>
      </w:r>
      <w:r w:rsidR="00F934AF">
        <w:rPr>
          <w:rFonts w:asciiTheme="minorHAnsi" w:hAnsiTheme="minorHAnsi" w:cstheme="minorHAnsi"/>
        </w:rPr>
        <w:t xml:space="preserve"> in</w:t>
      </w:r>
      <w:r w:rsidR="001668E1">
        <w:rPr>
          <w:rFonts w:asciiTheme="minorHAnsi" w:hAnsiTheme="minorHAnsi" w:cstheme="minorHAnsi"/>
        </w:rPr>
        <w:t xml:space="preserve"> stand density </w:t>
      </w:r>
      <w:r w:rsidR="00F934AF">
        <w:rPr>
          <w:rFonts w:asciiTheme="minorHAnsi" w:hAnsiTheme="minorHAnsi" w:cstheme="minorHAnsi"/>
        </w:rPr>
        <w:t xml:space="preserve">caused </w:t>
      </w:r>
      <w:r w:rsidR="001668E1">
        <w:rPr>
          <w:rFonts w:asciiTheme="minorHAnsi" w:hAnsiTheme="minorHAnsi" w:cstheme="minorHAnsi"/>
        </w:rPr>
        <w:t xml:space="preserve">mortality levels </w:t>
      </w:r>
      <w:r w:rsidR="00F934AF">
        <w:rPr>
          <w:rFonts w:asciiTheme="minorHAnsi" w:hAnsiTheme="minorHAnsi" w:cstheme="minorHAnsi"/>
        </w:rPr>
        <w:t xml:space="preserve">to be </w:t>
      </w:r>
      <w:r w:rsidR="001668E1">
        <w:rPr>
          <w:rFonts w:asciiTheme="minorHAnsi" w:hAnsiTheme="minorHAnsi" w:cstheme="minorHAnsi"/>
        </w:rPr>
        <w:t>relatively elevated</w:t>
      </w:r>
      <w:r w:rsidR="00143845">
        <w:rPr>
          <w:rFonts w:asciiTheme="minorHAnsi" w:hAnsiTheme="minorHAnsi" w:cstheme="minorHAnsi"/>
        </w:rPr>
        <w:t xml:space="preserve">, which moderated net growth. </w:t>
      </w:r>
      <w:r w:rsidR="001D04FD">
        <w:rPr>
          <w:rFonts w:asciiTheme="minorHAnsi" w:hAnsiTheme="minorHAnsi" w:cstheme="minorHAnsi"/>
        </w:rPr>
        <w:t xml:space="preserve"> </w:t>
      </w:r>
      <w:r w:rsidR="008325C5">
        <w:rPr>
          <w:rFonts w:asciiTheme="minorHAnsi" w:hAnsiTheme="minorHAnsi" w:cstheme="minorHAnsi"/>
        </w:rPr>
        <w:t xml:space="preserve">Such density increasing measures were necessary considering that rates of carbon uptake reported by </w:t>
      </w:r>
      <w:proofErr w:type="spellStart"/>
      <w:r w:rsidR="001D6A6C">
        <w:rPr>
          <w:rFonts w:asciiTheme="minorHAnsi" w:hAnsiTheme="minorHAnsi" w:cstheme="minorHAnsi"/>
        </w:rPr>
        <w:t>Nunery</w:t>
      </w:r>
      <w:proofErr w:type="spellEnd"/>
      <w:r w:rsidR="001D6A6C">
        <w:rPr>
          <w:rFonts w:asciiTheme="minorHAnsi" w:hAnsiTheme="minorHAnsi" w:cstheme="minorHAnsi"/>
        </w:rPr>
        <w:t xml:space="preserve"> and Keeton </w:t>
      </w:r>
      <w:r w:rsidR="008325C5">
        <w:rPr>
          <w:rFonts w:asciiTheme="minorHAnsi" w:hAnsiTheme="minorHAnsi" w:cstheme="minorHAnsi"/>
        </w:rPr>
        <w:fldChar w:fldCharType="begin"/>
      </w:r>
      <w:r w:rsidR="00A87D07">
        <w:rPr>
          <w:rFonts w:asciiTheme="minorHAnsi" w:hAnsiTheme="minorHAnsi" w:cstheme="minorHAnsi"/>
        </w:rPr>
        <w:instrText xml:space="preserve"> ADDIN EN.CITE &lt;EndNote&gt;&lt;Cite ExcludeAuth="1"&gt;&lt;Author&gt;Nunery&lt;/Author&gt;&lt;Year&gt;2010&lt;/Year&gt;&lt;RecNum&gt;271&lt;/RecNum&gt;&lt;DisplayText&gt;(2010)&lt;/DisplayText&gt;&lt;record&gt;&lt;rec-number&gt;271&lt;/rec-number&gt;&lt;foreign-keys&gt;&lt;key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sidR="008325C5">
        <w:rPr>
          <w:rFonts w:asciiTheme="minorHAnsi" w:hAnsiTheme="minorHAnsi" w:cstheme="minorHAnsi"/>
        </w:rPr>
        <w:fldChar w:fldCharType="separate"/>
      </w:r>
      <w:r w:rsidR="00A87D07">
        <w:rPr>
          <w:rFonts w:asciiTheme="minorHAnsi" w:hAnsiTheme="minorHAnsi" w:cstheme="minorHAnsi"/>
          <w:noProof/>
        </w:rPr>
        <w:t>(</w:t>
      </w:r>
      <w:hyperlink w:anchor="_ENREF_107" w:tooltip="Nunery, 2010 #271" w:history="1">
        <w:r w:rsidR="001E4C88">
          <w:rPr>
            <w:rFonts w:asciiTheme="minorHAnsi" w:hAnsiTheme="minorHAnsi" w:cstheme="minorHAnsi"/>
            <w:noProof/>
          </w:rPr>
          <w:t>2010</w:t>
        </w:r>
      </w:hyperlink>
      <w:r w:rsidR="00A87D07">
        <w:rPr>
          <w:rFonts w:asciiTheme="minorHAnsi" w:hAnsiTheme="minorHAnsi" w:cstheme="minorHAnsi"/>
          <w:noProof/>
        </w:rPr>
        <w:t>)</w:t>
      </w:r>
      <w:r w:rsidR="008325C5">
        <w:rPr>
          <w:rFonts w:asciiTheme="minorHAnsi" w:hAnsiTheme="minorHAnsi" w:cstheme="minorHAnsi"/>
        </w:rPr>
        <w:fldChar w:fldCharType="end"/>
      </w:r>
      <w:r w:rsidR="008325C5">
        <w:rPr>
          <w:rFonts w:asciiTheme="minorHAnsi" w:hAnsiTheme="minorHAnsi" w:cstheme="minorHAnsi"/>
        </w:rPr>
        <w:t xml:space="preserve"> </w:t>
      </w:r>
      <w:r w:rsidR="001D6A6C">
        <w:rPr>
          <w:rFonts w:asciiTheme="minorHAnsi" w:hAnsiTheme="minorHAnsi" w:cstheme="minorHAnsi"/>
        </w:rPr>
        <w:t xml:space="preserve">were up to 12.5 times larger </w:t>
      </w:r>
      <w:r w:rsidR="008325C5">
        <w:rPr>
          <w:rFonts w:asciiTheme="minorHAnsi" w:hAnsiTheme="minorHAnsi" w:cstheme="minorHAnsi"/>
        </w:rPr>
        <w:t xml:space="preserve">in management scenarios </w:t>
      </w:r>
      <w:r w:rsidR="00DD2290">
        <w:rPr>
          <w:rFonts w:asciiTheme="minorHAnsi" w:hAnsiTheme="minorHAnsi" w:cstheme="minorHAnsi"/>
        </w:rPr>
        <w:t>without regeneration inputs.</w:t>
      </w:r>
    </w:p>
    <w:p w:rsidR="00286693" w:rsidRDefault="00BE5080" w:rsidP="00034EE1">
      <w:pPr>
        <w:autoSpaceDE w:val="0"/>
        <w:autoSpaceDN w:val="0"/>
        <w:adjustRightInd w:val="0"/>
        <w:spacing w:line="480" w:lineRule="auto"/>
        <w:ind w:firstLine="720"/>
        <w:rPr>
          <w:rFonts w:asciiTheme="minorHAnsi" w:hAnsiTheme="minorHAnsi" w:cstheme="minorHAnsi"/>
        </w:rPr>
      </w:pPr>
      <w:proofErr w:type="spellStart"/>
      <w:r>
        <w:rPr>
          <w:rFonts w:asciiTheme="minorHAnsi" w:hAnsiTheme="minorHAnsi" w:cstheme="minorHAnsi"/>
        </w:rPr>
        <w:t>Nunery</w:t>
      </w:r>
      <w:proofErr w:type="spellEnd"/>
      <w:r>
        <w:rPr>
          <w:rFonts w:asciiTheme="minorHAnsi" w:hAnsiTheme="minorHAnsi" w:cstheme="minorHAnsi"/>
        </w:rPr>
        <w:t xml:space="preserve"> and Keeton </w:t>
      </w:r>
      <w:r>
        <w:rPr>
          <w:rFonts w:asciiTheme="minorHAnsi" w:hAnsiTheme="minorHAnsi" w:cstheme="minorHAnsi"/>
        </w:rPr>
        <w:fldChar w:fldCharType="begin"/>
      </w:r>
      <w:r w:rsidR="00A87D07">
        <w:rPr>
          <w:rFonts w:asciiTheme="minorHAnsi" w:hAnsiTheme="minorHAnsi" w:cstheme="minorHAnsi"/>
        </w:rPr>
        <w:instrText xml:space="preserve"> ADDIN EN.CITE &lt;EndNote&gt;&lt;Cite ExcludeAuth="1"&gt;&lt;Author&gt;Nunery&lt;/Author&gt;&lt;Year&gt;2010&lt;/Year&gt;&lt;RecNum&gt;271&lt;/RecNum&gt;&lt;DisplayText&gt;(2010)&lt;/DisplayText&gt;&lt;record&gt;&lt;rec-number&gt;271&lt;/rec-number&gt;&lt;foreign-keys&gt;&lt;key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Pr>
          <w:rFonts w:asciiTheme="minorHAnsi" w:hAnsiTheme="minorHAnsi" w:cstheme="minorHAnsi"/>
        </w:rPr>
        <w:fldChar w:fldCharType="separate"/>
      </w:r>
      <w:r w:rsidR="00A87D07">
        <w:rPr>
          <w:rFonts w:asciiTheme="minorHAnsi" w:hAnsiTheme="minorHAnsi" w:cstheme="minorHAnsi"/>
          <w:noProof/>
        </w:rPr>
        <w:t>(</w:t>
      </w:r>
      <w:hyperlink w:anchor="_ENREF_107" w:tooltip="Nunery, 2010 #271" w:history="1">
        <w:r w:rsidR="001E4C88">
          <w:rPr>
            <w:rFonts w:asciiTheme="minorHAnsi" w:hAnsiTheme="minorHAnsi" w:cstheme="minorHAnsi"/>
            <w:noProof/>
          </w:rPr>
          <w:t>2010</w:t>
        </w:r>
      </w:hyperlink>
      <w:r w:rsidR="00A87D07">
        <w:rPr>
          <w:rFonts w:asciiTheme="minorHAnsi" w:hAnsiTheme="minorHAnsi" w:cstheme="minorHAnsi"/>
          <w:noProof/>
        </w:rPr>
        <w:t>)</w:t>
      </w:r>
      <w:r>
        <w:rPr>
          <w:rFonts w:asciiTheme="minorHAnsi" w:hAnsiTheme="minorHAnsi" w:cstheme="minorHAnsi"/>
        </w:rPr>
        <w:fldChar w:fldCharType="end"/>
      </w:r>
      <w:r>
        <w:rPr>
          <w:rFonts w:asciiTheme="minorHAnsi" w:hAnsiTheme="minorHAnsi" w:cstheme="minorHAnsi"/>
        </w:rPr>
        <w:t xml:space="preserve"> assert</w:t>
      </w:r>
      <w:r w:rsidR="00403C56">
        <w:rPr>
          <w:rFonts w:asciiTheme="minorHAnsi" w:hAnsiTheme="minorHAnsi" w:cstheme="minorHAnsi"/>
        </w:rPr>
        <w:t>ed</w:t>
      </w:r>
      <w:r>
        <w:rPr>
          <w:rFonts w:asciiTheme="minorHAnsi" w:hAnsiTheme="minorHAnsi" w:cstheme="minorHAnsi"/>
        </w:rPr>
        <w:t xml:space="preserve"> that “simulations lacking well researched, user-defined regeneration inputs may not realistically reflect stand development processes.”  </w:t>
      </w:r>
      <w:r w:rsidR="00B07495">
        <w:rPr>
          <w:rFonts w:asciiTheme="minorHAnsi" w:hAnsiTheme="minorHAnsi" w:cstheme="minorHAnsi"/>
        </w:rPr>
        <w:t>While</w:t>
      </w:r>
      <w:r>
        <w:rPr>
          <w:rFonts w:asciiTheme="minorHAnsi" w:hAnsiTheme="minorHAnsi" w:cstheme="minorHAnsi"/>
        </w:rPr>
        <w:t xml:space="preserve"> this is true, there is no FVS guidance available for modeling the regeneration dynamics of hardwood forests under managed or unmanaged conditions</w:t>
      </w:r>
      <w:r w:rsidR="00F738AD">
        <w:rPr>
          <w:rFonts w:asciiTheme="minorHAnsi" w:hAnsiTheme="minorHAnsi" w:cstheme="minorHAnsi"/>
        </w:rPr>
        <w:t xml:space="preserve"> </w:t>
      </w:r>
      <w:r w:rsidR="00F33476">
        <w:rPr>
          <w:rFonts w:asciiTheme="minorHAnsi" w:hAnsiTheme="minorHAnsi" w:cstheme="minorHAnsi"/>
        </w:rPr>
        <w:t>other than</w:t>
      </w:r>
      <w:r w:rsidR="006072DE">
        <w:rPr>
          <w:rFonts w:asciiTheme="minorHAnsi" w:hAnsiTheme="minorHAnsi" w:cstheme="minorHAnsi"/>
        </w:rPr>
        <w:t xml:space="preserve"> </w:t>
      </w:r>
      <w:r w:rsidR="00F33476">
        <w:rPr>
          <w:rFonts w:asciiTheme="minorHAnsi" w:hAnsiTheme="minorHAnsi" w:cstheme="minorHAnsi"/>
        </w:rPr>
        <w:t xml:space="preserve">the Repute program’s </w:t>
      </w:r>
      <w:r w:rsidR="006072DE">
        <w:rPr>
          <w:rFonts w:asciiTheme="minorHAnsi" w:hAnsiTheme="minorHAnsi" w:cstheme="minorHAnsi"/>
        </w:rPr>
        <w:t>generalized,</w:t>
      </w:r>
      <w:r w:rsidR="001A6BC5">
        <w:rPr>
          <w:rFonts w:asciiTheme="minorHAnsi" w:hAnsiTheme="minorHAnsi" w:cstheme="minorHAnsi"/>
        </w:rPr>
        <w:t xml:space="preserve"> empirical </w:t>
      </w:r>
      <w:r w:rsidR="00F33476">
        <w:rPr>
          <w:rFonts w:asciiTheme="minorHAnsi" w:hAnsiTheme="minorHAnsi" w:cstheme="minorHAnsi"/>
        </w:rPr>
        <w:t xml:space="preserve">estimation system </w:t>
      </w:r>
      <w:r w:rsidR="000A3768">
        <w:rPr>
          <w:rFonts w:asciiTheme="minorHAnsi" w:hAnsiTheme="minorHAnsi" w:cstheme="minorHAnsi"/>
        </w:rPr>
        <w:t xml:space="preserve">developed for all forest types </w:t>
      </w:r>
      <w:r w:rsidR="006072DE">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&lt;EndNote&gt;&lt;Cite&gt;&lt;Author&gt;Vandendriesche&lt;/Author&gt;&lt;Year&gt;2010&lt;/Year&gt;&lt;RecNum&gt;290&lt;/RecNum&gt;&lt;DisplayText&gt;(Vandendriesche 2010)&lt;/DisplayText&gt;&lt;record&gt;&lt;rec-number&gt;290&lt;/rec-number&gt;&lt;foreign-keys&gt;&lt;key app="EN" db-id="a90s5zadewrawxeer07v2f90xr5vxv022sat"&gt;290&lt;/key&gt;&lt;/foreign-keys&gt;&lt;ref-type name="Journal Article"&gt;17&lt;/ref-type&gt;&lt;contributors&gt;&lt;authors&gt;&lt;author&gt;Vandendriesche, Don&lt;/author&gt;&lt;/authors&gt;&lt;/contributors&gt;&lt;titles&gt;&lt;title&gt;An empirical approach for estimating natural regeneration for the Forest Vegetation Simulator. In: Jain, Theresa B.; Graham, Russell T.; and Sandquist, Jonathan, tech. eds. 2010.  Integrated management of carbon sequestration and biomass utilization opportunities in a changing climate: Proceedings of the 2009 National Silviculture Workshop; 2009 June 15-18; Boise, ID. Proceedings RMRS-P-61. Fort Collins, CO: U.S. Department of Agriculture, Forest Service, Rocky Mountain Research Station. 307-320p&lt;/title&gt;&lt;/titles&gt;&lt;dates&gt;&lt;year&gt;2010&lt;/year&gt;&lt;/dates&gt;&lt;urls&gt;&lt;related-urls&gt;&lt;url&gt;http://www.fs.fed.us/rm/pubs/rmrs_p061/rmrs_p061_307_327.pdf&lt;/url&gt;&lt;/related-urls&gt;&lt;/urls&gt;&lt;/record&gt;&lt;/Cite&gt;&lt;/EndNote&gt;</w:instrText>
      </w:r>
      <w:r w:rsidR="006072DE">
        <w:rPr>
          <w:rFonts w:asciiTheme="minorHAnsi" w:hAnsiTheme="minorHAnsi" w:cstheme="minorHAnsi"/>
        </w:rPr>
        <w:fldChar w:fldCharType="separate"/>
      </w:r>
      <w:r w:rsidR="00CE2DF2">
        <w:rPr>
          <w:rFonts w:asciiTheme="minorHAnsi" w:hAnsiTheme="minorHAnsi" w:cstheme="minorHAnsi"/>
          <w:noProof/>
        </w:rPr>
        <w:t>(</w:t>
      </w:r>
      <w:hyperlink w:anchor="_ENREF_142" w:tooltip="Vandendriesche, 2010 #290" w:history="1">
        <w:r w:rsidR="001E4C88">
          <w:rPr>
            <w:rFonts w:asciiTheme="minorHAnsi" w:hAnsiTheme="minorHAnsi" w:cstheme="minorHAnsi"/>
            <w:noProof/>
          </w:rPr>
          <w:t>Vandendriesche 2010</w:t>
        </w:r>
      </w:hyperlink>
      <w:r w:rsidR="00CE2DF2">
        <w:rPr>
          <w:rFonts w:asciiTheme="minorHAnsi" w:hAnsiTheme="minorHAnsi" w:cstheme="minorHAnsi"/>
          <w:noProof/>
        </w:rPr>
        <w:t>)</w:t>
      </w:r>
      <w:r w:rsidR="006072DE">
        <w:rPr>
          <w:rFonts w:asciiTheme="minorHAnsi" w:hAnsiTheme="minorHAnsi" w:cstheme="minorHAnsi"/>
        </w:rPr>
        <w:fldChar w:fldCharType="end"/>
      </w:r>
      <w:r w:rsidR="00675FD6">
        <w:rPr>
          <w:rFonts w:asciiTheme="minorHAnsi" w:hAnsiTheme="minorHAnsi" w:cstheme="minorHAnsi"/>
        </w:rPr>
        <w:t xml:space="preserve">.  </w:t>
      </w:r>
      <w:r w:rsidR="00B07495">
        <w:rPr>
          <w:rFonts w:asciiTheme="minorHAnsi" w:hAnsiTheme="minorHAnsi" w:cstheme="minorHAnsi"/>
        </w:rPr>
        <w:t>Thus, there is no way of knowing how much regeneratio</w:t>
      </w:r>
      <w:r w:rsidR="00F738AD">
        <w:rPr>
          <w:rFonts w:asciiTheme="minorHAnsi" w:hAnsiTheme="minorHAnsi" w:cstheme="minorHAnsi"/>
        </w:rPr>
        <w:t>n is necessary to</w:t>
      </w:r>
      <w:r w:rsidR="00B07495">
        <w:rPr>
          <w:rFonts w:asciiTheme="minorHAnsi" w:hAnsiTheme="minorHAnsi" w:cstheme="minorHAnsi"/>
        </w:rPr>
        <w:t xml:space="preserve"> </w:t>
      </w:r>
      <w:r w:rsidR="00F738AD">
        <w:rPr>
          <w:rFonts w:asciiTheme="minorHAnsi" w:hAnsiTheme="minorHAnsi" w:cstheme="minorHAnsi"/>
        </w:rPr>
        <w:t xml:space="preserve">realistically </w:t>
      </w:r>
      <w:r w:rsidR="00B07495">
        <w:rPr>
          <w:rFonts w:asciiTheme="minorHAnsi" w:hAnsiTheme="minorHAnsi" w:cstheme="minorHAnsi"/>
        </w:rPr>
        <w:t xml:space="preserve">regulate </w:t>
      </w:r>
      <w:r w:rsidR="00F738AD">
        <w:rPr>
          <w:rFonts w:asciiTheme="minorHAnsi" w:hAnsiTheme="minorHAnsi" w:cstheme="minorHAnsi"/>
        </w:rPr>
        <w:t xml:space="preserve">FVS </w:t>
      </w:r>
      <w:r w:rsidR="00B07495">
        <w:rPr>
          <w:rFonts w:asciiTheme="minorHAnsi" w:hAnsiTheme="minorHAnsi" w:cstheme="minorHAnsi"/>
        </w:rPr>
        <w:t>stand mortality</w:t>
      </w:r>
      <w:r w:rsidR="00F738AD">
        <w:rPr>
          <w:rFonts w:asciiTheme="minorHAnsi" w:hAnsiTheme="minorHAnsi" w:cstheme="minorHAnsi"/>
        </w:rPr>
        <w:t xml:space="preserve"> and species composition at various stages of stand development and </w:t>
      </w:r>
      <w:r w:rsidR="00F738AD">
        <w:rPr>
          <w:rFonts w:asciiTheme="minorHAnsi" w:hAnsiTheme="minorHAnsi" w:cstheme="minorHAnsi"/>
        </w:rPr>
        <w:lastRenderedPageBreak/>
        <w:t xml:space="preserve">management. </w:t>
      </w:r>
      <w:r w:rsidR="00B07495">
        <w:rPr>
          <w:rFonts w:asciiTheme="minorHAnsi" w:hAnsiTheme="minorHAnsi" w:cstheme="minorHAnsi"/>
        </w:rPr>
        <w:t xml:space="preserve"> </w:t>
      </w:r>
      <w:r w:rsidR="008A087E">
        <w:rPr>
          <w:rFonts w:asciiTheme="minorHAnsi" w:hAnsiTheme="minorHAnsi" w:cstheme="minorHAnsi"/>
        </w:rPr>
        <w:t>While a</w:t>
      </w:r>
      <w:r w:rsidR="000D186B">
        <w:rPr>
          <w:rFonts w:asciiTheme="minorHAnsi" w:hAnsiTheme="minorHAnsi" w:cstheme="minorHAnsi"/>
        </w:rPr>
        <w:t xml:space="preserve">dditional regeneration inputs in </w:t>
      </w:r>
      <w:r w:rsidR="0071515C">
        <w:rPr>
          <w:rFonts w:asciiTheme="minorHAnsi" w:hAnsiTheme="minorHAnsi" w:cstheme="minorHAnsi"/>
        </w:rPr>
        <w:t>harvested</w:t>
      </w:r>
      <w:r w:rsidR="000D186B">
        <w:rPr>
          <w:rFonts w:asciiTheme="minorHAnsi" w:hAnsiTheme="minorHAnsi" w:cstheme="minorHAnsi"/>
        </w:rPr>
        <w:t xml:space="preserve"> stands </w:t>
      </w:r>
      <w:r w:rsidR="0071515C">
        <w:rPr>
          <w:rFonts w:asciiTheme="minorHAnsi" w:hAnsiTheme="minorHAnsi" w:cstheme="minorHAnsi"/>
        </w:rPr>
        <w:t xml:space="preserve">were </w:t>
      </w:r>
      <w:r w:rsidR="000D186B">
        <w:rPr>
          <w:rFonts w:asciiTheme="minorHAnsi" w:hAnsiTheme="minorHAnsi" w:cstheme="minorHAnsi"/>
        </w:rPr>
        <w:t>necessary</w:t>
      </w:r>
      <w:r w:rsidR="00571EF0">
        <w:rPr>
          <w:rFonts w:asciiTheme="minorHAnsi" w:hAnsiTheme="minorHAnsi" w:cstheme="minorHAnsi"/>
        </w:rPr>
        <w:t>, best approximations</w:t>
      </w:r>
      <w:r w:rsidR="000D186B">
        <w:rPr>
          <w:rFonts w:asciiTheme="minorHAnsi" w:hAnsiTheme="minorHAnsi" w:cstheme="minorHAnsi"/>
        </w:rPr>
        <w:t xml:space="preserve"> </w:t>
      </w:r>
      <w:r w:rsidR="0071515C">
        <w:rPr>
          <w:rFonts w:asciiTheme="minorHAnsi" w:hAnsiTheme="minorHAnsi" w:cstheme="minorHAnsi"/>
        </w:rPr>
        <w:t>seemed more appropriate than</w:t>
      </w:r>
      <w:r w:rsidR="000D186B">
        <w:rPr>
          <w:rFonts w:asciiTheme="minorHAnsi" w:hAnsiTheme="minorHAnsi" w:cstheme="minorHAnsi"/>
        </w:rPr>
        <w:t xml:space="preserve"> overly conservative estimates</w:t>
      </w:r>
      <w:r w:rsidR="008A087E" w:rsidRPr="008A087E">
        <w:rPr>
          <w:rFonts w:asciiTheme="minorHAnsi" w:hAnsiTheme="minorHAnsi" w:cstheme="minorHAnsi"/>
        </w:rPr>
        <w:t xml:space="preserve"> </w:t>
      </w:r>
      <w:r w:rsidR="008A087E">
        <w:rPr>
          <w:rFonts w:asciiTheme="minorHAnsi" w:hAnsiTheme="minorHAnsi" w:cstheme="minorHAnsi"/>
        </w:rPr>
        <w:t>in such uncertainty</w:t>
      </w:r>
      <w:r w:rsidR="000D186B">
        <w:rPr>
          <w:rFonts w:asciiTheme="minorHAnsi" w:hAnsiTheme="minorHAnsi" w:cstheme="minorHAnsi"/>
        </w:rPr>
        <w:t>.</w:t>
      </w:r>
    </w:p>
    <w:p w:rsidR="008853EF" w:rsidRDefault="008A087E" w:rsidP="00034EE1">
      <w:pPr>
        <w:autoSpaceDE w:val="0"/>
        <w:autoSpaceDN w:val="0"/>
        <w:adjustRightInd w:val="0"/>
        <w:spacing w:line="480" w:lineRule="auto"/>
        <w:ind w:firstLine="720"/>
        <w:rPr>
          <w:rFonts w:asciiTheme="minorHAnsi" w:hAnsiTheme="minorHAnsi" w:cstheme="minorHAnsi"/>
        </w:rPr>
      </w:pPr>
      <w:r>
        <w:rPr>
          <w:rFonts w:asciiTheme="minorHAnsi" w:hAnsiTheme="minorHAnsi" w:cstheme="minorHAnsi"/>
        </w:rPr>
        <w:t>Even though t</w:t>
      </w:r>
      <w:r w:rsidR="00F33476">
        <w:rPr>
          <w:rFonts w:asciiTheme="minorHAnsi" w:hAnsiTheme="minorHAnsi" w:cstheme="minorHAnsi"/>
        </w:rPr>
        <w:t xml:space="preserve">he initial small-tree list </w:t>
      </w:r>
      <w:r w:rsidR="0046535B">
        <w:rPr>
          <w:rFonts w:asciiTheme="minorHAnsi" w:hAnsiTheme="minorHAnsi" w:cstheme="minorHAnsi"/>
        </w:rPr>
        <w:t xml:space="preserve">combined with imputed ingrowth </w:t>
      </w:r>
      <w:r w:rsidR="00F33476">
        <w:rPr>
          <w:rFonts w:asciiTheme="minorHAnsi" w:hAnsiTheme="minorHAnsi" w:cstheme="minorHAnsi"/>
        </w:rPr>
        <w:t>pr</w:t>
      </w:r>
      <w:r w:rsidR="00FC469D">
        <w:rPr>
          <w:rFonts w:asciiTheme="minorHAnsi" w:hAnsiTheme="minorHAnsi" w:cstheme="minorHAnsi"/>
        </w:rPr>
        <w:t>ovide</w:t>
      </w:r>
      <w:r w:rsidR="002D4844">
        <w:rPr>
          <w:rFonts w:asciiTheme="minorHAnsi" w:hAnsiTheme="minorHAnsi" w:cstheme="minorHAnsi"/>
        </w:rPr>
        <w:t>d</w:t>
      </w:r>
      <w:r w:rsidR="00F33476">
        <w:rPr>
          <w:rFonts w:asciiTheme="minorHAnsi" w:hAnsiTheme="minorHAnsi" w:cstheme="minorHAnsi"/>
        </w:rPr>
        <w:t xml:space="preserve"> </w:t>
      </w:r>
      <w:r w:rsidR="002D4844">
        <w:rPr>
          <w:rFonts w:asciiTheme="minorHAnsi" w:hAnsiTheme="minorHAnsi" w:cstheme="minorHAnsi"/>
        </w:rPr>
        <w:t>enough</w:t>
      </w:r>
      <w:r w:rsidR="0046535B">
        <w:rPr>
          <w:rFonts w:asciiTheme="minorHAnsi" w:hAnsiTheme="minorHAnsi" w:cstheme="minorHAnsi"/>
        </w:rPr>
        <w:t xml:space="preserve"> advance regeneration</w:t>
      </w:r>
      <w:r w:rsidR="00F33476">
        <w:rPr>
          <w:rFonts w:asciiTheme="minorHAnsi" w:hAnsiTheme="minorHAnsi" w:cstheme="minorHAnsi"/>
        </w:rPr>
        <w:t xml:space="preserve"> </w:t>
      </w:r>
      <w:r w:rsidR="00051504">
        <w:rPr>
          <w:rFonts w:asciiTheme="minorHAnsi" w:hAnsiTheme="minorHAnsi" w:cstheme="minorHAnsi"/>
        </w:rPr>
        <w:t>to simulate</w:t>
      </w:r>
      <w:r w:rsidR="0046535B">
        <w:rPr>
          <w:rFonts w:asciiTheme="minorHAnsi" w:hAnsiTheme="minorHAnsi" w:cstheme="minorHAnsi"/>
        </w:rPr>
        <w:t xml:space="preserve"> </w:t>
      </w:r>
      <w:r w:rsidR="00051504">
        <w:rPr>
          <w:rFonts w:asciiTheme="minorHAnsi" w:hAnsiTheme="minorHAnsi" w:cstheme="minorHAnsi"/>
        </w:rPr>
        <w:t xml:space="preserve">forest </w:t>
      </w:r>
      <w:r>
        <w:rPr>
          <w:rFonts w:asciiTheme="minorHAnsi" w:hAnsiTheme="minorHAnsi" w:cstheme="minorHAnsi"/>
        </w:rPr>
        <w:t>regrowth,</w:t>
      </w:r>
      <w:r w:rsidR="002D4844">
        <w:rPr>
          <w:rFonts w:asciiTheme="minorHAnsi" w:hAnsiTheme="minorHAnsi" w:cstheme="minorHAnsi"/>
        </w:rPr>
        <w:t xml:space="preserve"> a greater multit</w:t>
      </w:r>
      <w:r w:rsidR="007041BB">
        <w:rPr>
          <w:rFonts w:asciiTheme="minorHAnsi" w:hAnsiTheme="minorHAnsi" w:cstheme="minorHAnsi"/>
        </w:rPr>
        <w:t xml:space="preserve">ude of seedlings were needed at stand initiation to </w:t>
      </w:r>
      <w:r w:rsidR="002D4844">
        <w:rPr>
          <w:rFonts w:asciiTheme="minorHAnsi" w:hAnsiTheme="minorHAnsi" w:cstheme="minorHAnsi"/>
        </w:rPr>
        <w:t xml:space="preserve">achieve </w:t>
      </w:r>
      <w:r w:rsidR="007041BB">
        <w:rPr>
          <w:rFonts w:asciiTheme="minorHAnsi" w:hAnsiTheme="minorHAnsi" w:cstheme="minorHAnsi"/>
        </w:rPr>
        <w:t>stocking levels</w:t>
      </w:r>
      <w:r w:rsidR="002D4844">
        <w:rPr>
          <w:rFonts w:asciiTheme="minorHAnsi" w:hAnsiTheme="minorHAnsi" w:cstheme="minorHAnsi"/>
        </w:rPr>
        <w:t xml:space="preserve"> </w:t>
      </w:r>
      <w:r w:rsidR="00245811">
        <w:rPr>
          <w:rFonts w:asciiTheme="minorHAnsi" w:hAnsiTheme="minorHAnsi" w:cstheme="minorHAnsi"/>
        </w:rPr>
        <w:t>able to</w:t>
      </w:r>
      <w:r w:rsidR="002D4844">
        <w:rPr>
          <w:rFonts w:asciiTheme="minorHAnsi" w:hAnsiTheme="minorHAnsi" w:cstheme="minorHAnsi"/>
        </w:rPr>
        <w:t xml:space="preserve"> moderate net growth </w:t>
      </w:r>
      <w:r w:rsidR="00245811">
        <w:rPr>
          <w:rFonts w:asciiTheme="minorHAnsi" w:hAnsiTheme="minorHAnsi" w:cstheme="minorHAnsi"/>
        </w:rPr>
        <w:t xml:space="preserve">over several cycles of thinning in the regenerated stands.  Therefore, </w:t>
      </w:r>
      <w:r w:rsidR="00DD2290" w:rsidRPr="003C2F91">
        <w:rPr>
          <w:rFonts w:asciiTheme="minorHAnsi" w:hAnsiTheme="minorHAnsi" w:cstheme="minorHAnsi"/>
        </w:rPr>
        <w:t xml:space="preserve">in order to </w:t>
      </w:r>
      <w:r w:rsidR="00DD2290">
        <w:rPr>
          <w:rFonts w:asciiTheme="minorHAnsi" w:hAnsiTheme="minorHAnsi" w:cstheme="minorHAnsi"/>
        </w:rPr>
        <w:t>guarantee</w:t>
      </w:r>
      <w:r w:rsidR="00DD2290" w:rsidRPr="003C2F91">
        <w:rPr>
          <w:rFonts w:asciiTheme="minorHAnsi" w:hAnsiTheme="minorHAnsi" w:cstheme="minorHAnsi"/>
        </w:rPr>
        <w:t xml:space="preserve"> </w:t>
      </w:r>
      <w:r w:rsidR="00DD2290">
        <w:rPr>
          <w:rFonts w:asciiTheme="minorHAnsi" w:hAnsiTheme="minorHAnsi" w:cstheme="minorHAnsi"/>
        </w:rPr>
        <w:t>the re-establishment of all species</w:t>
      </w:r>
      <w:r w:rsidR="00DD2290" w:rsidRPr="003C2F91">
        <w:rPr>
          <w:rFonts w:asciiTheme="minorHAnsi" w:hAnsiTheme="minorHAnsi" w:cstheme="minorHAnsi"/>
        </w:rPr>
        <w:t xml:space="preserve"> in </w:t>
      </w:r>
      <w:r w:rsidR="00DD2290">
        <w:rPr>
          <w:rFonts w:asciiTheme="minorHAnsi" w:hAnsiTheme="minorHAnsi" w:cstheme="minorHAnsi"/>
        </w:rPr>
        <w:t>sufficient numbers,</w:t>
      </w:r>
      <w:r w:rsidR="00DD2290" w:rsidRPr="003C2F91">
        <w:rPr>
          <w:rFonts w:asciiTheme="minorHAnsi" w:hAnsiTheme="minorHAnsi" w:cstheme="minorHAnsi"/>
        </w:rPr>
        <w:t xml:space="preserve"> </w:t>
      </w:r>
      <w:r w:rsidR="00AB5238" w:rsidRPr="003C2F91">
        <w:rPr>
          <w:rFonts w:asciiTheme="minorHAnsi" w:hAnsiTheme="minorHAnsi" w:cstheme="minorHAnsi"/>
        </w:rPr>
        <w:t xml:space="preserve">natural regeneration </w:t>
      </w:r>
      <w:r w:rsidR="00A26DBD" w:rsidRPr="003C2F91">
        <w:rPr>
          <w:rFonts w:asciiTheme="minorHAnsi" w:hAnsiTheme="minorHAnsi" w:cstheme="minorHAnsi"/>
        </w:rPr>
        <w:t xml:space="preserve">from both stump sprout and seed origin was </w:t>
      </w:r>
      <w:r w:rsidR="00245811">
        <w:rPr>
          <w:rFonts w:asciiTheme="minorHAnsi" w:hAnsiTheme="minorHAnsi" w:cstheme="minorHAnsi"/>
        </w:rPr>
        <w:t>s</w:t>
      </w:r>
      <w:r w:rsidR="00A26DBD" w:rsidRPr="003C2F91">
        <w:rPr>
          <w:rFonts w:asciiTheme="minorHAnsi" w:hAnsiTheme="minorHAnsi" w:cstheme="minorHAnsi"/>
        </w:rPr>
        <w:t xml:space="preserve">imulated after each </w:t>
      </w:r>
      <w:r w:rsidR="00403C56">
        <w:rPr>
          <w:rFonts w:asciiTheme="minorHAnsi" w:hAnsiTheme="minorHAnsi" w:cstheme="minorHAnsi"/>
        </w:rPr>
        <w:t xml:space="preserve">final </w:t>
      </w:r>
      <w:r w:rsidR="00A26DBD" w:rsidRPr="003C2F91">
        <w:rPr>
          <w:rFonts w:asciiTheme="minorHAnsi" w:hAnsiTheme="minorHAnsi" w:cstheme="minorHAnsi"/>
        </w:rPr>
        <w:t>harvest</w:t>
      </w:r>
      <w:r w:rsidR="003C2F91" w:rsidRPr="003C2F91">
        <w:rPr>
          <w:rFonts w:asciiTheme="minorHAnsi" w:hAnsiTheme="minorHAnsi" w:cstheme="minorHAnsi"/>
        </w:rPr>
        <w:t xml:space="preserve"> according to the number of </w:t>
      </w:r>
      <w:r w:rsidR="00C05DC1" w:rsidRPr="003C2F91">
        <w:rPr>
          <w:rFonts w:asciiTheme="minorHAnsi" w:hAnsiTheme="minorHAnsi" w:cstheme="minorHAnsi"/>
        </w:rPr>
        <w:t xml:space="preserve">harvested </w:t>
      </w:r>
      <w:r w:rsidR="00C05DC1">
        <w:rPr>
          <w:rFonts w:asciiTheme="minorHAnsi" w:hAnsiTheme="minorHAnsi" w:cstheme="minorHAnsi"/>
        </w:rPr>
        <w:t>trees</w:t>
      </w:r>
      <w:r w:rsidR="00C05DC1" w:rsidRPr="003C2F91">
        <w:rPr>
          <w:rFonts w:asciiTheme="minorHAnsi" w:hAnsiTheme="minorHAnsi" w:cstheme="minorHAnsi"/>
        </w:rPr>
        <w:t xml:space="preserve"> </w:t>
      </w:r>
      <w:r w:rsidR="00C05DC1">
        <w:rPr>
          <w:rFonts w:asciiTheme="minorHAnsi" w:hAnsiTheme="minorHAnsi" w:cstheme="minorHAnsi"/>
        </w:rPr>
        <w:t>assumed to be coppice-capable and seed-bearing</w:t>
      </w:r>
      <w:r w:rsidR="00DD2290">
        <w:rPr>
          <w:rFonts w:asciiTheme="minorHAnsi" w:hAnsiTheme="minorHAnsi" w:cstheme="minorHAnsi"/>
        </w:rPr>
        <w:t xml:space="preserve"> respectively</w:t>
      </w:r>
      <w:r w:rsidR="001D04FD" w:rsidRPr="003C2F91">
        <w:rPr>
          <w:rFonts w:asciiTheme="minorHAnsi" w:hAnsiTheme="minorHAnsi" w:cstheme="minorHAnsi"/>
        </w:rPr>
        <w:t xml:space="preserve">.  </w:t>
      </w:r>
      <w:r w:rsidR="007041BB">
        <w:rPr>
          <w:rFonts w:asciiTheme="minorHAnsi" w:hAnsiTheme="minorHAnsi" w:cstheme="minorHAnsi"/>
        </w:rPr>
        <w:t>S</w:t>
      </w:r>
      <w:r w:rsidR="00F54A03">
        <w:rPr>
          <w:rFonts w:asciiTheme="minorHAnsi" w:hAnsiTheme="minorHAnsi" w:cstheme="minorHAnsi"/>
        </w:rPr>
        <w:t xml:space="preserve">tump sprouting </w:t>
      </w:r>
      <w:r w:rsidR="006C46FA">
        <w:rPr>
          <w:rFonts w:asciiTheme="minorHAnsi" w:hAnsiTheme="minorHAnsi" w:cstheme="minorHAnsi"/>
        </w:rPr>
        <w:t>occurred after every simulated thinning</w:t>
      </w:r>
      <w:r w:rsidR="00034EE1">
        <w:rPr>
          <w:rFonts w:asciiTheme="minorHAnsi" w:hAnsiTheme="minorHAnsi" w:cstheme="minorHAnsi"/>
        </w:rPr>
        <w:t>,</w:t>
      </w:r>
      <w:r w:rsidR="006C46FA">
        <w:rPr>
          <w:rFonts w:asciiTheme="minorHAnsi" w:hAnsiTheme="minorHAnsi" w:cstheme="minorHAnsi"/>
        </w:rPr>
        <w:t xml:space="preserve"> </w:t>
      </w:r>
      <w:r w:rsidR="007041BB">
        <w:rPr>
          <w:rFonts w:asciiTheme="minorHAnsi" w:hAnsiTheme="minorHAnsi" w:cstheme="minorHAnsi"/>
        </w:rPr>
        <w:t xml:space="preserve">whereas </w:t>
      </w:r>
      <w:r w:rsidR="006C46FA">
        <w:rPr>
          <w:rFonts w:asciiTheme="minorHAnsi" w:hAnsiTheme="minorHAnsi" w:cstheme="minorHAnsi"/>
        </w:rPr>
        <w:t>seed origin regeneration was only added in cycles coinciding with final harvests to ensure FVS data storage limitations were not exceeded.  As a consequence, s</w:t>
      </w:r>
      <w:r w:rsidR="006C46FA" w:rsidRPr="003C2F91">
        <w:rPr>
          <w:rFonts w:asciiTheme="minorHAnsi" w:hAnsiTheme="minorHAnsi" w:cstheme="minorHAnsi"/>
        </w:rPr>
        <w:t xml:space="preserve">eedling </w:t>
      </w:r>
      <w:r w:rsidR="006C46FA">
        <w:rPr>
          <w:rFonts w:asciiTheme="minorHAnsi" w:hAnsiTheme="minorHAnsi" w:cstheme="minorHAnsi"/>
        </w:rPr>
        <w:t>flushes associated with final harvests</w:t>
      </w:r>
      <w:r w:rsidR="006C46FA" w:rsidRPr="003C2F91">
        <w:rPr>
          <w:rFonts w:asciiTheme="minorHAnsi" w:hAnsiTheme="minorHAnsi" w:cstheme="minorHAnsi"/>
        </w:rPr>
        <w:t xml:space="preserve"> usually did not produce trees </w:t>
      </w:r>
      <w:r w:rsidR="006C46FA">
        <w:rPr>
          <w:rFonts w:asciiTheme="minorHAnsi" w:hAnsiTheme="minorHAnsi" w:cstheme="minorHAnsi"/>
        </w:rPr>
        <w:t xml:space="preserve">large enough to be favored in </w:t>
      </w:r>
      <w:r w:rsidR="00DD2290">
        <w:rPr>
          <w:rFonts w:asciiTheme="minorHAnsi" w:hAnsiTheme="minorHAnsi" w:cstheme="minorHAnsi"/>
        </w:rPr>
        <w:t xml:space="preserve">subsequent </w:t>
      </w:r>
      <w:r w:rsidR="006C46FA">
        <w:rPr>
          <w:rFonts w:asciiTheme="minorHAnsi" w:hAnsiTheme="minorHAnsi" w:cstheme="minorHAnsi"/>
        </w:rPr>
        <w:t>simulated thinnings but did serve to keep stand density at appropriate levels</w:t>
      </w:r>
      <w:r w:rsidR="00CE4EE8">
        <w:rPr>
          <w:rFonts w:asciiTheme="minorHAnsi" w:hAnsiTheme="minorHAnsi" w:cstheme="minorHAnsi"/>
        </w:rPr>
        <w:t xml:space="preserve"> in later cycles</w:t>
      </w:r>
      <w:r w:rsidR="006C46FA">
        <w:rPr>
          <w:rFonts w:asciiTheme="minorHAnsi" w:hAnsiTheme="minorHAnsi" w:cstheme="minorHAnsi"/>
        </w:rPr>
        <w:t xml:space="preserve">.  </w:t>
      </w:r>
      <w:r w:rsidR="001D04FD" w:rsidRPr="003C2F91">
        <w:rPr>
          <w:rFonts w:asciiTheme="minorHAnsi" w:hAnsiTheme="minorHAnsi" w:cstheme="minorHAnsi"/>
        </w:rPr>
        <w:t>A</w:t>
      </w:r>
      <w:r w:rsidR="00245811">
        <w:rPr>
          <w:rFonts w:asciiTheme="minorHAnsi" w:hAnsiTheme="minorHAnsi" w:cstheme="minorHAnsi"/>
        </w:rPr>
        <w:t>lthough a</w:t>
      </w:r>
      <w:r w:rsidR="001D04FD" w:rsidRPr="003C2F91">
        <w:rPr>
          <w:rFonts w:asciiTheme="minorHAnsi" w:hAnsiTheme="minorHAnsi" w:cstheme="minorHAnsi"/>
        </w:rPr>
        <w:t>djustm</w:t>
      </w:r>
      <w:r w:rsidR="00245811">
        <w:rPr>
          <w:rFonts w:asciiTheme="minorHAnsi" w:hAnsiTheme="minorHAnsi" w:cstheme="minorHAnsi"/>
        </w:rPr>
        <w:t xml:space="preserve">ents </w:t>
      </w:r>
      <w:r w:rsidR="003C2F91">
        <w:rPr>
          <w:rFonts w:asciiTheme="minorHAnsi" w:hAnsiTheme="minorHAnsi" w:cstheme="minorHAnsi"/>
        </w:rPr>
        <w:t>made to default stump-</w:t>
      </w:r>
      <w:r w:rsidR="001D04FD" w:rsidRPr="003C2F91">
        <w:rPr>
          <w:rFonts w:asciiTheme="minorHAnsi" w:hAnsiTheme="minorHAnsi" w:cstheme="minorHAnsi"/>
        </w:rPr>
        <w:t xml:space="preserve">sprouting parameters </w:t>
      </w:r>
      <w:r w:rsidR="00245811">
        <w:rPr>
          <w:rFonts w:asciiTheme="minorHAnsi" w:hAnsiTheme="minorHAnsi" w:cstheme="minorHAnsi"/>
        </w:rPr>
        <w:t xml:space="preserve">were </w:t>
      </w:r>
      <w:r w:rsidR="00A26DBD" w:rsidRPr="003C2F91">
        <w:rPr>
          <w:rFonts w:asciiTheme="minorHAnsi" w:hAnsiTheme="minorHAnsi" w:cstheme="minorHAnsi"/>
        </w:rPr>
        <w:t>based on</w:t>
      </w:r>
      <w:r w:rsidR="006557C9" w:rsidRPr="003C2F91">
        <w:rPr>
          <w:rFonts w:asciiTheme="minorHAnsi" w:hAnsiTheme="minorHAnsi" w:cstheme="minorHAnsi"/>
        </w:rPr>
        <w:t xml:space="preserve"> available</w:t>
      </w:r>
      <w:r w:rsidR="00A26DBD" w:rsidRPr="003C2F91">
        <w:rPr>
          <w:rFonts w:asciiTheme="minorHAnsi" w:hAnsiTheme="minorHAnsi" w:cstheme="minorHAnsi"/>
        </w:rPr>
        <w:t xml:space="preserve"> </w:t>
      </w:r>
      <w:r w:rsidR="004D2CE1" w:rsidRPr="003C2F91">
        <w:rPr>
          <w:rFonts w:asciiTheme="minorHAnsi" w:hAnsiTheme="minorHAnsi" w:cstheme="minorHAnsi"/>
        </w:rPr>
        <w:t xml:space="preserve">information </w:t>
      </w:r>
      <w:r w:rsidR="006557C9" w:rsidRPr="003C2F91">
        <w:rPr>
          <w:rFonts w:asciiTheme="minorHAnsi" w:hAnsiTheme="minorHAnsi" w:cstheme="minorHAnsi"/>
        </w:rPr>
        <w:t>from</w:t>
      </w:r>
      <w:r w:rsidR="004D2CE1" w:rsidRPr="003C2F91">
        <w:rPr>
          <w:rFonts w:asciiTheme="minorHAnsi" w:hAnsiTheme="minorHAnsi" w:cstheme="minorHAnsi"/>
        </w:rPr>
        <w:t xml:space="preserve"> </w:t>
      </w:r>
      <w:r w:rsidR="006C46FA">
        <w:rPr>
          <w:rFonts w:asciiTheme="minorHAnsi" w:hAnsiTheme="minorHAnsi" w:cstheme="minorHAnsi"/>
        </w:rPr>
        <w:t xml:space="preserve">silviculture </w:t>
      </w:r>
      <w:r w:rsidR="004D2CE1" w:rsidRPr="003C2F91">
        <w:rPr>
          <w:rFonts w:asciiTheme="minorHAnsi" w:hAnsiTheme="minorHAnsi" w:cstheme="minorHAnsi"/>
        </w:rPr>
        <w:t>li</w:t>
      </w:r>
      <w:r w:rsidR="00245811">
        <w:rPr>
          <w:rFonts w:asciiTheme="minorHAnsi" w:hAnsiTheme="minorHAnsi" w:cstheme="minorHAnsi"/>
        </w:rPr>
        <w:t xml:space="preserve">terature, differences in </w:t>
      </w:r>
      <w:r w:rsidR="005475D7">
        <w:rPr>
          <w:rFonts w:asciiTheme="minorHAnsi" w:hAnsiTheme="minorHAnsi" w:cstheme="minorHAnsi"/>
        </w:rPr>
        <w:t xml:space="preserve">initial spout heights </w:t>
      </w:r>
      <w:r w:rsidR="001D676C">
        <w:rPr>
          <w:rFonts w:asciiTheme="minorHAnsi" w:hAnsiTheme="minorHAnsi" w:cstheme="minorHAnsi"/>
        </w:rPr>
        <w:t xml:space="preserve">among species </w:t>
      </w:r>
      <w:r w:rsidR="005475D7">
        <w:rPr>
          <w:rFonts w:asciiTheme="minorHAnsi" w:hAnsiTheme="minorHAnsi" w:cstheme="minorHAnsi"/>
        </w:rPr>
        <w:t>were made less meaningful by the insensitivity of small-tree height growth to species-specific shade tolerances.</w:t>
      </w:r>
    </w:p>
    <w:p w:rsidR="007B3D42" w:rsidRDefault="00D47C7A" w:rsidP="002969ED">
      <w:pPr>
        <w:autoSpaceDE w:val="0"/>
        <w:autoSpaceDN w:val="0"/>
        <w:adjustRightInd w:val="0"/>
        <w:spacing w:line="480" w:lineRule="auto"/>
        <w:ind w:firstLine="720"/>
        <w:rPr>
          <w:rFonts w:cs="Calibri"/>
        </w:rPr>
      </w:pPr>
      <w:r>
        <w:rPr>
          <w:rFonts w:cs="Calibri"/>
        </w:rPr>
        <w:t xml:space="preserve">Percent </w:t>
      </w:r>
      <w:r>
        <w:rPr>
          <w:rFonts w:asciiTheme="minorHAnsi" w:hAnsiTheme="minorHAnsi" w:cstheme="minorHAnsi"/>
        </w:rPr>
        <w:t xml:space="preserve">unsound (or rotten) </w:t>
      </w:r>
      <w:r w:rsidRPr="007E47B6">
        <w:rPr>
          <w:rFonts w:cs="Calibri"/>
        </w:rPr>
        <w:t xml:space="preserve">defect grew between inventories for many trees, </w:t>
      </w:r>
      <w:r>
        <w:rPr>
          <w:rFonts w:cs="Calibri"/>
        </w:rPr>
        <w:t xml:space="preserve">but </w:t>
      </w:r>
      <w:r w:rsidRPr="007E47B6">
        <w:rPr>
          <w:rFonts w:cs="Calibri"/>
        </w:rPr>
        <w:t xml:space="preserve">data were not changed unless </w:t>
      </w:r>
      <w:r>
        <w:rPr>
          <w:rFonts w:cs="Calibri"/>
        </w:rPr>
        <w:t xml:space="preserve">a tree’s </w:t>
      </w:r>
      <w:r w:rsidRPr="007E47B6">
        <w:rPr>
          <w:rFonts w:cs="Calibri"/>
        </w:rPr>
        <w:t>measurements differed dramatically</w:t>
      </w:r>
      <w:r>
        <w:rPr>
          <w:rFonts w:cs="Calibri"/>
        </w:rPr>
        <w:t xml:space="preserve"> between inventories</w:t>
      </w:r>
      <w:r w:rsidR="00174447">
        <w:rPr>
          <w:rFonts w:cs="Calibri"/>
        </w:rPr>
        <w:t xml:space="preserve"> </w:t>
      </w:r>
      <w:r w:rsidR="00CB0756">
        <w:rPr>
          <w:rFonts w:cs="Calibri"/>
        </w:rPr>
        <w:t>(</w:t>
      </w:r>
      <w:r w:rsidR="00174447">
        <w:rPr>
          <w:rFonts w:cs="Calibri"/>
        </w:rPr>
        <w:t>indicative of measurement error</w:t>
      </w:r>
      <w:r w:rsidR="00CB0756">
        <w:rPr>
          <w:rFonts w:cs="Calibri"/>
        </w:rPr>
        <w:t>)</w:t>
      </w:r>
      <w:r w:rsidRPr="007E47B6">
        <w:rPr>
          <w:rFonts w:cs="Calibri"/>
        </w:rPr>
        <w:t>, in which case the lat</w:t>
      </w:r>
      <w:r>
        <w:rPr>
          <w:rFonts w:cs="Calibri"/>
        </w:rPr>
        <w:t>t</w:t>
      </w:r>
      <w:r w:rsidRPr="007E47B6">
        <w:rPr>
          <w:rFonts w:cs="Calibri"/>
        </w:rPr>
        <w:t xml:space="preserve">er was </w:t>
      </w:r>
      <w:r>
        <w:rPr>
          <w:rFonts w:cs="Calibri"/>
        </w:rPr>
        <w:t xml:space="preserve">assigned.  </w:t>
      </w:r>
      <w:r w:rsidR="00727368" w:rsidRPr="007E47B6">
        <w:rPr>
          <w:rFonts w:cs="Calibri"/>
        </w:rPr>
        <w:t xml:space="preserve">Depending on whether a tree is defective due to form or injury and the severity </w:t>
      </w:r>
      <w:r w:rsidR="00727368">
        <w:rPr>
          <w:rFonts w:cs="Calibri"/>
        </w:rPr>
        <w:t xml:space="preserve">and location </w:t>
      </w:r>
      <w:r w:rsidR="00727368" w:rsidRPr="007E47B6">
        <w:rPr>
          <w:rFonts w:cs="Calibri"/>
        </w:rPr>
        <w:t xml:space="preserve">of the flaw, percent defect may decrease as the tree grows or increase until the tree is considered cull.  </w:t>
      </w:r>
      <w:r>
        <w:rPr>
          <w:rFonts w:cs="Calibri"/>
        </w:rPr>
        <w:t xml:space="preserve">Although all tree records </w:t>
      </w:r>
      <w:r w:rsidR="0042358E">
        <w:rPr>
          <w:rFonts w:cs="Calibri"/>
        </w:rPr>
        <w:t xml:space="preserve">in FVS </w:t>
      </w:r>
      <w:r>
        <w:rPr>
          <w:rFonts w:cs="Calibri"/>
        </w:rPr>
        <w:t xml:space="preserve">can be assigned a </w:t>
      </w:r>
      <w:r>
        <w:rPr>
          <w:rFonts w:asciiTheme="minorHAnsi" w:hAnsiTheme="minorHAnsi" w:cstheme="minorHAnsi"/>
        </w:rPr>
        <w:t xml:space="preserve">defect percentage </w:t>
      </w:r>
      <w:r w:rsidR="00727368">
        <w:rPr>
          <w:rFonts w:asciiTheme="minorHAnsi" w:hAnsiTheme="minorHAnsi" w:cstheme="minorHAnsi"/>
        </w:rPr>
        <w:t>that varies with</w:t>
      </w:r>
      <w:r>
        <w:rPr>
          <w:rFonts w:asciiTheme="minorHAnsi" w:hAnsiTheme="minorHAnsi" w:cstheme="minorHAnsi"/>
        </w:rPr>
        <w:t xml:space="preserve"> DBH</w:t>
      </w:r>
      <w:r>
        <w:rPr>
          <w:rFonts w:cs="Calibri"/>
        </w:rPr>
        <w:t xml:space="preserve">, </w:t>
      </w:r>
      <w:r w:rsidRPr="007E47B6">
        <w:rPr>
          <w:rFonts w:cs="Calibri"/>
        </w:rPr>
        <w:t>relative volume dedu</w:t>
      </w:r>
      <w:r>
        <w:rPr>
          <w:rFonts w:cs="Calibri"/>
        </w:rPr>
        <w:t xml:space="preserve">ctions for records with </w:t>
      </w:r>
      <w:r w:rsidR="00310DB3">
        <w:rPr>
          <w:rFonts w:cs="Calibri"/>
        </w:rPr>
        <w:t xml:space="preserve">non-zero </w:t>
      </w:r>
      <w:r w:rsidRPr="007E47B6">
        <w:rPr>
          <w:rFonts w:cs="Calibri"/>
        </w:rPr>
        <w:t>defect</w:t>
      </w:r>
      <w:r>
        <w:rPr>
          <w:rFonts w:cs="Calibri"/>
        </w:rPr>
        <w:t xml:space="preserve"> </w:t>
      </w:r>
      <w:r w:rsidR="00B06743">
        <w:rPr>
          <w:rFonts w:cs="Calibri"/>
        </w:rPr>
        <w:t xml:space="preserve">measurements </w:t>
      </w:r>
      <w:r>
        <w:rPr>
          <w:rFonts w:cs="Calibri"/>
        </w:rPr>
        <w:t>are constant over time</w:t>
      </w:r>
      <w:r w:rsidRPr="007E47B6">
        <w:rPr>
          <w:rFonts w:cs="Calibri"/>
        </w:rPr>
        <w:t xml:space="preserve"> </w:t>
      </w:r>
      <w:r>
        <w:rPr>
          <w:rFonts w:cs="Calibri"/>
        </w:rPr>
        <w:t>b</w:t>
      </w:r>
      <w:r w:rsidR="009810C4" w:rsidRPr="007E47B6">
        <w:rPr>
          <w:rFonts w:cs="Calibri"/>
        </w:rPr>
        <w:t xml:space="preserve">ecause </w:t>
      </w:r>
      <w:r>
        <w:rPr>
          <w:rFonts w:cs="Calibri"/>
        </w:rPr>
        <w:t xml:space="preserve">defect inputs </w:t>
      </w:r>
      <w:r w:rsidR="009810C4">
        <w:rPr>
          <w:rFonts w:cs="Calibri"/>
        </w:rPr>
        <w:t>cannot be</w:t>
      </w:r>
      <w:r>
        <w:rPr>
          <w:rFonts w:cs="Calibri"/>
        </w:rPr>
        <w:t xml:space="preserve"> altered by FVS simulations unless replaced by the </w:t>
      </w:r>
      <w:r w:rsidR="0042358E">
        <w:rPr>
          <w:rFonts w:cs="Calibri"/>
        </w:rPr>
        <w:t>DBH-</w:t>
      </w:r>
      <w:r>
        <w:rPr>
          <w:rFonts w:cs="Calibri"/>
        </w:rPr>
        <w:t>predicted defect</w:t>
      </w:r>
      <w:r w:rsidR="00E91021">
        <w:rPr>
          <w:rFonts w:cs="Calibri"/>
        </w:rPr>
        <w:t xml:space="preserve">.  </w:t>
      </w:r>
      <w:r w:rsidR="00727368">
        <w:rPr>
          <w:rFonts w:cs="Calibri"/>
        </w:rPr>
        <w:t xml:space="preserve">This </w:t>
      </w:r>
      <w:r w:rsidR="00727368">
        <w:rPr>
          <w:rFonts w:cs="Calibri"/>
        </w:rPr>
        <w:lastRenderedPageBreak/>
        <w:t xml:space="preserve">FVS </w:t>
      </w:r>
      <w:r w:rsidR="00FA5199">
        <w:rPr>
          <w:rFonts w:cs="Calibri"/>
        </w:rPr>
        <w:t>function</w:t>
      </w:r>
      <w:r w:rsidR="00727368">
        <w:rPr>
          <w:rFonts w:cs="Calibri"/>
        </w:rPr>
        <w:t xml:space="preserve"> </w:t>
      </w:r>
      <w:r w:rsidR="00727368">
        <w:rPr>
          <w:rFonts w:asciiTheme="minorHAnsi" w:hAnsiTheme="minorHAnsi" w:cstheme="minorHAnsi"/>
        </w:rPr>
        <w:t xml:space="preserve">discounts gross volumes according to a curve </w:t>
      </w:r>
      <w:r w:rsidR="00727368">
        <w:rPr>
          <w:rFonts w:cs="Calibri"/>
        </w:rPr>
        <w:t>fit to a percent defect vs. DBH table using linear interpolation</w:t>
      </w:r>
      <w:r w:rsidR="00FA5199">
        <w:rPr>
          <w:rFonts w:cs="Calibri"/>
        </w:rPr>
        <w:t xml:space="preserve">, helping to prevent upward bias in sound wood estimates associated with extensive </w:t>
      </w:r>
      <w:r w:rsidR="00B06743">
        <w:rPr>
          <w:rFonts w:cs="Calibri"/>
        </w:rPr>
        <w:t>rotations</w:t>
      </w:r>
      <w:r w:rsidR="00727368">
        <w:rPr>
          <w:rFonts w:cs="Calibri"/>
        </w:rPr>
        <w:t xml:space="preserve">.  </w:t>
      </w:r>
    </w:p>
    <w:tbl>
      <w:tblPr>
        <w:tblpPr w:leftFromText="180" w:rightFromText="180" w:vertAnchor="text" w:horzAnchor="margin" w:tblpXSpec="right" w:tblpY="370"/>
        <w:tblW w:w="4604" w:type="dxa"/>
        <w:tblLook w:val="04A0" w:firstRow="1" w:lastRow="0" w:firstColumn="1" w:lastColumn="0" w:noHBand="0" w:noVBand="1"/>
      </w:tblPr>
      <w:tblGrid>
        <w:gridCol w:w="1708"/>
        <w:gridCol w:w="1448"/>
        <w:gridCol w:w="1448"/>
      </w:tblGrid>
      <w:tr w:rsidR="007B3D42" w:rsidRPr="000B5BE6" w:rsidTr="007B3D42">
        <w:trPr>
          <w:trHeight w:val="255"/>
        </w:trPr>
        <w:tc>
          <w:tcPr>
            <w:tcW w:w="4604" w:type="dxa"/>
            <w:gridSpan w:val="3"/>
            <w:tcBorders>
              <w:top w:val="single" w:sz="4" w:space="0" w:color="4F81BD"/>
              <w:left w:val="single" w:sz="4" w:space="0" w:color="4F81BD"/>
              <w:bottom w:val="single" w:sz="4" w:space="0" w:color="4F81BD"/>
              <w:right w:val="single" w:sz="4" w:space="0" w:color="4F81BD"/>
            </w:tcBorders>
            <w:shd w:val="clear" w:color="4F81BD" w:fill="4F81BD"/>
            <w:noWrap/>
          </w:tcPr>
          <w:p w:rsidR="007B3D42" w:rsidRPr="0094116E" w:rsidRDefault="007B3D42" w:rsidP="007B3D42">
            <w:pPr>
              <w:spacing w:after="0" w:line="240" w:lineRule="auto"/>
              <w:rPr>
                <w:rFonts w:ascii="Arial" w:eastAsia="Times New Roman" w:hAnsi="Arial" w:cs="Arial"/>
                <w:b/>
                <w:bCs/>
                <w:color w:val="FFFFFF"/>
                <w:sz w:val="20"/>
                <w:szCs w:val="20"/>
                <w:u w:val="single"/>
              </w:rPr>
            </w:pPr>
            <w:r w:rsidRPr="0094116E">
              <w:rPr>
                <w:rFonts w:ascii="Arial" w:eastAsia="Times New Roman" w:hAnsi="Arial" w:cs="Arial"/>
                <w:b/>
                <w:bCs/>
                <w:color w:val="FFFFFF"/>
                <w:sz w:val="20"/>
                <w:szCs w:val="20"/>
                <w:u w:val="single"/>
              </w:rPr>
              <w:t xml:space="preserve">Table </w:t>
            </w:r>
            <w:r>
              <w:rPr>
                <w:rFonts w:ascii="Arial" w:eastAsia="Times New Roman" w:hAnsi="Arial" w:cs="Arial"/>
                <w:b/>
                <w:bCs/>
                <w:color w:val="FFFFFF"/>
                <w:sz w:val="20"/>
                <w:szCs w:val="20"/>
                <w:u w:val="single"/>
              </w:rPr>
              <w:t>1</w:t>
            </w:r>
            <w:r w:rsidRPr="0094116E">
              <w:rPr>
                <w:rFonts w:ascii="Arial" w:eastAsia="Times New Roman" w:hAnsi="Arial" w:cs="Arial"/>
                <w:b/>
                <w:bCs/>
                <w:color w:val="FFFFFF"/>
                <w:sz w:val="20"/>
                <w:szCs w:val="20"/>
                <w:u w:val="single"/>
              </w:rPr>
              <w:t>. Percent</w:t>
            </w:r>
            <w:r>
              <w:rPr>
                <w:rFonts w:ascii="Arial" w:eastAsia="Times New Roman" w:hAnsi="Arial" w:cs="Arial"/>
                <w:b/>
                <w:bCs/>
                <w:color w:val="FFFFFF"/>
                <w:sz w:val="20"/>
                <w:szCs w:val="20"/>
                <w:u w:val="single"/>
              </w:rPr>
              <w:t xml:space="preserve"> </w:t>
            </w:r>
            <w:r w:rsidRPr="0094116E">
              <w:rPr>
                <w:rFonts w:ascii="Arial" w:eastAsia="Times New Roman" w:hAnsi="Arial" w:cs="Arial"/>
                <w:b/>
                <w:bCs/>
                <w:color w:val="FFFFFF"/>
                <w:sz w:val="20"/>
                <w:szCs w:val="20"/>
                <w:u w:val="single"/>
              </w:rPr>
              <w:t xml:space="preserve">Rot </w:t>
            </w:r>
            <w:r>
              <w:rPr>
                <w:rFonts w:ascii="Arial" w:eastAsia="Times New Roman" w:hAnsi="Arial" w:cs="Arial"/>
                <w:b/>
                <w:bCs/>
                <w:color w:val="FFFFFF"/>
                <w:sz w:val="20"/>
                <w:szCs w:val="20"/>
                <w:u w:val="single"/>
              </w:rPr>
              <w:t xml:space="preserve">Parameter </w:t>
            </w:r>
            <w:r w:rsidRPr="0094116E">
              <w:rPr>
                <w:rFonts w:ascii="Arial" w:eastAsia="Times New Roman" w:hAnsi="Arial" w:cs="Arial"/>
                <w:b/>
                <w:bCs/>
                <w:color w:val="FFFFFF"/>
                <w:sz w:val="20"/>
                <w:szCs w:val="20"/>
                <w:u w:val="single"/>
              </w:rPr>
              <w:t>Estimation</w:t>
            </w:r>
          </w:p>
        </w:tc>
      </w:tr>
      <w:tr w:rsidR="007B3D42" w:rsidRPr="000B5BE6" w:rsidTr="007B3D42">
        <w:trPr>
          <w:trHeight w:val="255"/>
        </w:trPr>
        <w:tc>
          <w:tcPr>
            <w:tcW w:w="1708" w:type="dxa"/>
            <w:tcBorders>
              <w:top w:val="single" w:sz="4" w:space="0" w:color="4F81BD"/>
              <w:left w:val="single" w:sz="4" w:space="0" w:color="4F81BD"/>
              <w:bottom w:val="single" w:sz="4" w:space="0" w:color="4F81BD"/>
              <w:right w:val="nil"/>
            </w:tcBorders>
            <w:shd w:val="clear" w:color="4F81BD" w:fill="4F81BD"/>
            <w:noWrap/>
            <w:vAlign w:val="bottom"/>
            <w:hideMark/>
          </w:tcPr>
          <w:p w:rsidR="007B3D42" w:rsidRPr="000B5BE6" w:rsidRDefault="007B3D42" w:rsidP="007B3D42">
            <w:pPr>
              <w:spacing w:after="0" w:line="240" w:lineRule="auto"/>
              <w:jc w:val="center"/>
              <w:rPr>
                <w:rFonts w:ascii="Arial" w:eastAsia="Times New Roman" w:hAnsi="Arial" w:cs="Arial"/>
                <w:bCs/>
                <w:color w:val="FFFFFF"/>
                <w:sz w:val="20"/>
                <w:szCs w:val="20"/>
              </w:rPr>
            </w:pPr>
            <w:r w:rsidRPr="000B5BE6">
              <w:rPr>
                <w:rFonts w:ascii="Arial" w:eastAsia="Times New Roman" w:hAnsi="Arial" w:cs="Arial"/>
                <w:bCs/>
                <w:color w:val="FFFFFF"/>
                <w:sz w:val="20"/>
                <w:szCs w:val="20"/>
              </w:rPr>
              <w:t>DBH class (in.)</w:t>
            </w:r>
          </w:p>
        </w:tc>
        <w:tc>
          <w:tcPr>
            <w:tcW w:w="1448" w:type="dxa"/>
            <w:tcBorders>
              <w:top w:val="single" w:sz="4" w:space="0" w:color="4F81BD"/>
              <w:left w:val="nil"/>
              <w:bottom w:val="single" w:sz="4" w:space="0" w:color="4F81BD"/>
              <w:right w:val="nil"/>
            </w:tcBorders>
            <w:shd w:val="clear" w:color="4F81BD" w:fill="4F81BD"/>
            <w:noWrap/>
            <w:vAlign w:val="bottom"/>
            <w:hideMark/>
          </w:tcPr>
          <w:p w:rsidR="007B3D42" w:rsidRPr="000B5BE6" w:rsidRDefault="007B3D42" w:rsidP="007B3D42">
            <w:pPr>
              <w:spacing w:after="0" w:line="240" w:lineRule="auto"/>
              <w:jc w:val="center"/>
              <w:rPr>
                <w:rFonts w:ascii="Arial" w:eastAsia="Times New Roman" w:hAnsi="Arial" w:cs="Arial"/>
                <w:bCs/>
                <w:color w:val="FFFFFF"/>
                <w:sz w:val="20"/>
                <w:szCs w:val="20"/>
              </w:rPr>
            </w:pPr>
            <w:r w:rsidRPr="00353FE0">
              <w:rPr>
                <w:rFonts w:ascii="Arial" w:eastAsia="Times New Roman" w:hAnsi="Arial" w:cs="Arial"/>
                <w:bCs/>
                <w:color w:val="FFFFFF"/>
                <w:sz w:val="20"/>
                <w:szCs w:val="20"/>
              </w:rPr>
              <w:t xml:space="preserve">Average </w:t>
            </w:r>
            <w:r w:rsidRPr="000B5BE6">
              <w:rPr>
                <w:rFonts w:ascii="Arial" w:eastAsia="Times New Roman" w:hAnsi="Arial" w:cs="Arial"/>
                <w:bCs/>
                <w:color w:val="FFFFFF"/>
                <w:sz w:val="20"/>
                <w:szCs w:val="20"/>
              </w:rPr>
              <w:t>Rot</w:t>
            </w:r>
          </w:p>
        </w:tc>
        <w:tc>
          <w:tcPr>
            <w:tcW w:w="1448" w:type="dxa"/>
            <w:tcBorders>
              <w:top w:val="single" w:sz="4" w:space="0" w:color="4F81BD"/>
              <w:left w:val="nil"/>
              <w:bottom w:val="single" w:sz="4" w:space="0" w:color="4F81BD"/>
              <w:right w:val="single" w:sz="4" w:space="0" w:color="4F81BD"/>
            </w:tcBorders>
            <w:shd w:val="clear" w:color="4F81BD" w:fill="4F81BD"/>
            <w:noWrap/>
            <w:vAlign w:val="bottom"/>
            <w:hideMark/>
          </w:tcPr>
          <w:p w:rsidR="007B3D42" w:rsidRPr="000B5BE6" w:rsidRDefault="007B3D42" w:rsidP="007B3D42">
            <w:pPr>
              <w:spacing w:after="0" w:line="240" w:lineRule="auto"/>
              <w:jc w:val="center"/>
              <w:rPr>
                <w:rFonts w:ascii="Arial" w:eastAsia="Times New Roman" w:hAnsi="Arial" w:cs="Arial"/>
                <w:bCs/>
                <w:color w:val="FFFFFF"/>
                <w:sz w:val="20"/>
                <w:szCs w:val="20"/>
              </w:rPr>
            </w:pPr>
            <w:r w:rsidRPr="000B5BE6">
              <w:rPr>
                <w:rFonts w:ascii="Arial" w:eastAsia="Times New Roman" w:hAnsi="Arial" w:cs="Arial"/>
                <w:bCs/>
                <w:color w:val="FFFFFF"/>
                <w:sz w:val="20"/>
                <w:szCs w:val="20"/>
              </w:rPr>
              <w:t>Sample size</w:t>
            </w:r>
          </w:p>
        </w:tc>
      </w:tr>
      <w:tr w:rsidR="007B3D42" w:rsidRPr="000B5BE6" w:rsidTr="007B3D42">
        <w:trPr>
          <w:trHeight w:val="255"/>
        </w:trPr>
        <w:tc>
          <w:tcPr>
            <w:tcW w:w="1708" w:type="dxa"/>
            <w:tcBorders>
              <w:top w:val="single" w:sz="4" w:space="0" w:color="4F81BD"/>
              <w:left w:val="single" w:sz="4" w:space="0" w:color="4F81BD"/>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9-12.5</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5.2</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1,266</w:t>
            </w:r>
          </w:p>
        </w:tc>
      </w:tr>
      <w:tr w:rsidR="007B3D42" w:rsidRPr="000B5BE6" w:rsidTr="007B3D42">
        <w:trPr>
          <w:trHeight w:val="255"/>
        </w:trPr>
        <w:tc>
          <w:tcPr>
            <w:tcW w:w="1708" w:type="dxa"/>
            <w:tcBorders>
              <w:top w:val="single" w:sz="4" w:space="0" w:color="4F81BD"/>
              <w:left w:val="single" w:sz="4" w:space="0" w:color="4F81BD"/>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12.6-17.5</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8.3</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1,676</w:t>
            </w:r>
          </w:p>
        </w:tc>
      </w:tr>
      <w:tr w:rsidR="007B3D42" w:rsidRPr="000B5BE6" w:rsidTr="007B3D42">
        <w:trPr>
          <w:trHeight w:val="255"/>
        </w:trPr>
        <w:tc>
          <w:tcPr>
            <w:tcW w:w="1708" w:type="dxa"/>
            <w:tcBorders>
              <w:top w:val="single" w:sz="4" w:space="0" w:color="4F81BD"/>
              <w:left w:val="single" w:sz="4" w:space="0" w:color="4F81BD"/>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17.6-22.5</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12.9</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508</w:t>
            </w:r>
          </w:p>
        </w:tc>
      </w:tr>
      <w:tr w:rsidR="007B3D42" w:rsidRPr="000B5BE6" w:rsidTr="007B3D42">
        <w:trPr>
          <w:trHeight w:val="255"/>
        </w:trPr>
        <w:tc>
          <w:tcPr>
            <w:tcW w:w="1708" w:type="dxa"/>
            <w:tcBorders>
              <w:top w:val="single" w:sz="4" w:space="0" w:color="4F81BD"/>
              <w:left w:val="single" w:sz="4" w:space="0" w:color="4F81BD"/>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22.6-27.5</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16.2</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156</w:t>
            </w:r>
          </w:p>
        </w:tc>
      </w:tr>
      <w:tr w:rsidR="007B3D42" w:rsidRPr="000B5BE6" w:rsidTr="007B3D42">
        <w:trPr>
          <w:trHeight w:val="255"/>
        </w:trPr>
        <w:tc>
          <w:tcPr>
            <w:tcW w:w="1708" w:type="dxa"/>
            <w:tcBorders>
              <w:top w:val="single" w:sz="4" w:space="0" w:color="4F81BD"/>
              <w:left w:val="single" w:sz="4" w:space="0" w:color="4F81BD"/>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27.6+</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hemeColor="accent1"/>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32.2</w:t>
            </w:r>
            <w:r>
              <w:rPr>
                <w:rFonts w:ascii="Arial" w:eastAsia="Times New Roman" w:hAnsi="Arial" w:cs="Arial"/>
                <w:color w:val="000000"/>
                <w:sz w:val="20"/>
                <w:szCs w:val="20"/>
              </w:rPr>
              <w:t>%</w:t>
            </w:r>
          </w:p>
        </w:tc>
        <w:tc>
          <w:tcPr>
            <w:tcW w:w="1448" w:type="dxa"/>
            <w:tcBorders>
              <w:top w:val="single" w:sz="4" w:space="0" w:color="4F81BD"/>
              <w:left w:val="single" w:sz="4" w:space="0" w:color="4F81BD" w:themeColor="accent1"/>
              <w:bottom w:val="single" w:sz="4" w:space="0" w:color="4F81BD"/>
              <w:right w:val="single" w:sz="4" w:space="0" w:color="4F81BD"/>
            </w:tcBorders>
            <w:shd w:val="clear" w:color="auto" w:fill="auto"/>
            <w:noWrap/>
            <w:vAlign w:val="bottom"/>
            <w:hideMark/>
          </w:tcPr>
          <w:p w:rsidR="007B3D42" w:rsidRPr="000B5BE6" w:rsidRDefault="007B3D42" w:rsidP="007B3D42">
            <w:pPr>
              <w:spacing w:after="0" w:line="240" w:lineRule="auto"/>
              <w:jc w:val="center"/>
              <w:rPr>
                <w:rFonts w:ascii="Arial" w:eastAsia="Times New Roman" w:hAnsi="Arial" w:cs="Arial"/>
                <w:color w:val="000000"/>
                <w:sz w:val="20"/>
                <w:szCs w:val="20"/>
              </w:rPr>
            </w:pPr>
            <w:r w:rsidRPr="000B5BE6">
              <w:rPr>
                <w:rFonts w:ascii="Arial" w:eastAsia="Times New Roman" w:hAnsi="Arial" w:cs="Arial"/>
                <w:color w:val="000000"/>
                <w:sz w:val="20"/>
                <w:szCs w:val="20"/>
              </w:rPr>
              <w:t>35</w:t>
            </w:r>
          </w:p>
        </w:tc>
      </w:tr>
    </w:tbl>
    <w:p w:rsidR="002969ED" w:rsidRDefault="0042358E" w:rsidP="007B3D42">
      <w:pPr>
        <w:autoSpaceDE w:val="0"/>
        <w:autoSpaceDN w:val="0"/>
        <w:adjustRightInd w:val="0"/>
        <w:spacing w:line="480" w:lineRule="auto"/>
        <w:rPr>
          <w:rFonts w:asciiTheme="minorHAnsi" w:hAnsiTheme="minorHAnsi" w:cstheme="minorHAnsi"/>
        </w:rPr>
      </w:pPr>
      <w:r>
        <w:rPr>
          <w:rFonts w:cs="Calibri"/>
        </w:rPr>
        <w:t>T</w:t>
      </w:r>
      <w:r w:rsidR="00FA5199">
        <w:rPr>
          <w:rFonts w:cs="Calibri"/>
        </w:rPr>
        <w:t>h</w:t>
      </w:r>
      <w:r w:rsidR="00E56933">
        <w:rPr>
          <w:rFonts w:cs="Calibri"/>
        </w:rPr>
        <w:t>is</w:t>
      </w:r>
      <w:r w:rsidR="00FA5199">
        <w:rPr>
          <w:rFonts w:asciiTheme="minorHAnsi" w:hAnsiTheme="minorHAnsi" w:cstheme="minorHAnsi"/>
        </w:rPr>
        <w:t xml:space="preserve"> function was parameterized using the CFI database of all 13 compartments of the Emory River property as shown in table 1, which generated similar results to those found by </w:t>
      </w:r>
      <w:proofErr w:type="spellStart"/>
      <w:r w:rsidR="00FA5199">
        <w:t>Vandendriesche</w:t>
      </w:r>
      <w:proofErr w:type="spellEnd"/>
      <w:r w:rsidR="00FA5199">
        <w:t xml:space="preserve"> and Haugen </w:t>
      </w:r>
      <w:r w:rsidR="00FA5199">
        <w:fldChar w:fldCharType="begin"/>
      </w:r>
      <w:r w:rsidR="00A87D07">
        <w:instrText xml:space="preserve"> ADDIN EN.CITE &lt;EndNote&gt;&lt;Cite ExcludeAuth="1"&gt;&lt;Author&gt;Vandendriesche&lt;/Author&gt;&lt;Year&gt;2006&lt;/Year&gt;&lt;RecNum&gt;118&lt;/RecNum&gt;&lt;DisplayText&gt;(2006)&lt;/DisplayText&gt;&lt;record&gt;&lt;rec-number&gt;118&lt;/rec-number&gt;&lt;foreign-keys&gt;&lt;key app="EN" db-id="a90s5zadewrawxeer07v2f90xr5vxv022sat"&gt;118&lt;/key&gt;&lt;/foreign-keys&gt;&lt;ref-type name="Report"&gt;27&lt;/ref-type&gt;&lt;contributors&gt;&lt;authors&gt;&lt;author&gt;Vandendriesche, Don &lt;/author&gt;&lt;author&gt;Linda Haugen&lt;/author&gt;&lt;/authors&gt;&lt;/contributors&gt;&lt;titles&gt;&lt;title&gt;Comparison of Measured Growth and Mortality Trends to Modeled FVS Projections Relative to Oak Decline Impacts as Observed Over Three FIA Inventory Cycles on the Mark Twain National Forest&lt;/title&gt;&lt;/titles&gt;&lt;dates&gt;&lt;year&gt;2006&lt;/year&gt;&lt;/dates&gt;&lt;pub-location&gt;USDA Forest Service. Forest Management Service Center. Fort Collins, Colorado. 42p&lt;/pub-location&gt;&lt;urls&gt;&lt;/urls&gt;&lt;/record&gt;&lt;/Cite&gt;&lt;/EndNote&gt;</w:instrText>
      </w:r>
      <w:r w:rsidR="00FA5199">
        <w:fldChar w:fldCharType="separate"/>
      </w:r>
      <w:r w:rsidR="00A87D07">
        <w:rPr>
          <w:noProof/>
        </w:rPr>
        <w:t>(</w:t>
      </w:r>
      <w:hyperlink w:anchor="_ENREF_143" w:tooltip="Vandendriesche, 2006 #118" w:history="1">
        <w:r w:rsidR="001E4C88">
          <w:rPr>
            <w:noProof/>
          </w:rPr>
          <w:t>2006</w:t>
        </w:r>
      </w:hyperlink>
      <w:r w:rsidR="00A87D07">
        <w:rPr>
          <w:noProof/>
        </w:rPr>
        <w:t>)</w:t>
      </w:r>
      <w:r w:rsidR="00FA5199">
        <w:fldChar w:fldCharType="end"/>
      </w:r>
      <w:r w:rsidR="00FA5199">
        <w:rPr>
          <w:rFonts w:asciiTheme="minorHAnsi" w:hAnsiTheme="minorHAnsi" w:cstheme="minorHAnsi"/>
        </w:rPr>
        <w:t>.  The</w:t>
      </w:r>
      <w:r w:rsidR="00BB4C25">
        <w:rPr>
          <w:rFonts w:asciiTheme="minorHAnsi" w:hAnsiTheme="minorHAnsi" w:cstheme="minorHAnsi"/>
        </w:rPr>
        <w:t>se</w:t>
      </w:r>
      <w:r w:rsidR="00B15E2A">
        <w:rPr>
          <w:rFonts w:asciiTheme="minorHAnsi" w:hAnsiTheme="minorHAnsi" w:cstheme="minorHAnsi"/>
        </w:rPr>
        <w:t xml:space="preserve"> estimates</w:t>
      </w:r>
      <w:r w:rsidR="00FA5199">
        <w:rPr>
          <w:rFonts w:asciiTheme="minorHAnsi" w:hAnsiTheme="minorHAnsi" w:cstheme="minorHAnsi"/>
        </w:rPr>
        <w:t xml:space="preserve"> </w:t>
      </w:r>
      <w:r w:rsidR="00B15E2A">
        <w:rPr>
          <w:rFonts w:asciiTheme="minorHAnsi" w:hAnsiTheme="minorHAnsi" w:cstheme="minorHAnsi"/>
        </w:rPr>
        <w:t>were derived from live trees from both inventory years, including th</w:t>
      </w:r>
      <w:r w:rsidR="00310DB3">
        <w:rPr>
          <w:rFonts w:asciiTheme="minorHAnsi" w:hAnsiTheme="minorHAnsi" w:cstheme="minorHAnsi"/>
        </w:rPr>
        <w:t>e sample trees</w:t>
      </w:r>
      <w:r w:rsidR="00B15E2A">
        <w:rPr>
          <w:rFonts w:asciiTheme="minorHAnsi" w:hAnsiTheme="minorHAnsi" w:cstheme="minorHAnsi"/>
        </w:rPr>
        <w:t xml:space="preserve"> </w:t>
      </w:r>
      <w:r w:rsidR="002C3062">
        <w:rPr>
          <w:rFonts w:asciiTheme="minorHAnsi" w:hAnsiTheme="minorHAnsi" w:cstheme="minorHAnsi"/>
        </w:rPr>
        <w:t xml:space="preserve">with high </w:t>
      </w:r>
      <w:r w:rsidR="00EF3402">
        <w:rPr>
          <w:rFonts w:asciiTheme="minorHAnsi" w:hAnsiTheme="minorHAnsi" w:cstheme="minorHAnsi"/>
        </w:rPr>
        <w:t>defect percentages in 1984 that were later found dead.  The entire CFI database</w:t>
      </w:r>
      <w:r w:rsidR="00EF3402">
        <w:rPr>
          <w:rStyle w:val="FootnoteReference"/>
          <w:rFonts w:asciiTheme="minorHAnsi" w:hAnsiTheme="minorHAnsi"/>
        </w:rPr>
        <w:footnoteReference w:id="11"/>
      </w:r>
      <w:r w:rsidR="00EF3402">
        <w:rPr>
          <w:rFonts w:asciiTheme="minorHAnsi" w:hAnsiTheme="minorHAnsi" w:cstheme="minorHAnsi"/>
        </w:rPr>
        <w:t xml:space="preserve"> was also utilized in computing </w:t>
      </w:r>
      <w:r w:rsidR="00EF3402" w:rsidRPr="00C8102D">
        <w:rPr>
          <w:rFonts w:asciiTheme="minorHAnsi" w:hAnsiTheme="minorHAnsi" w:cstheme="minorHAnsi"/>
        </w:rPr>
        <w:t>multiplier</w:t>
      </w:r>
      <w:r w:rsidR="00EF3402">
        <w:rPr>
          <w:rFonts w:asciiTheme="minorHAnsi" w:hAnsiTheme="minorHAnsi" w:cstheme="minorHAnsi"/>
        </w:rPr>
        <w:t>s fo</w:t>
      </w:r>
      <w:r w:rsidR="00EF3402" w:rsidRPr="00223669">
        <w:rPr>
          <w:rFonts w:asciiTheme="minorHAnsi" w:hAnsiTheme="minorHAnsi" w:cstheme="minorHAnsi"/>
        </w:rPr>
        <w:t xml:space="preserve">r large-tree DBH growth </w:t>
      </w:r>
      <w:r w:rsidR="00AD0FC2">
        <w:rPr>
          <w:rFonts w:asciiTheme="minorHAnsi" w:hAnsiTheme="minorHAnsi" w:cstheme="minorHAnsi"/>
        </w:rPr>
        <w:t xml:space="preserve">according to the </w:t>
      </w:r>
      <w:r w:rsidR="00252939">
        <w:rPr>
          <w:rFonts w:asciiTheme="minorHAnsi" w:hAnsiTheme="minorHAnsi" w:cstheme="minorHAnsi"/>
        </w:rPr>
        <w:t xml:space="preserve">“moist uplands” or “dry uplands” designation </w:t>
      </w:r>
      <w:r w:rsidR="00EF3402" w:rsidRPr="00223669">
        <w:rPr>
          <w:rFonts w:asciiTheme="minorHAnsi" w:hAnsiTheme="minorHAnsi" w:cstheme="minorHAnsi"/>
        </w:rPr>
        <w:t xml:space="preserve">using the </w:t>
      </w:r>
      <w:r w:rsidR="00EF3402" w:rsidRPr="00223669">
        <w:t>Calibration Statistics post</w:t>
      </w:r>
      <w:r w:rsidR="00AD0FC2">
        <w:t>-processing program</w:t>
      </w:r>
      <w:r w:rsidR="00B06743">
        <w:t xml:space="preserve"> of FVS</w:t>
      </w:r>
      <w:r w:rsidR="001D676C">
        <w:rPr>
          <w:rFonts w:asciiTheme="minorHAnsi" w:hAnsiTheme="minorHAnsi" w:cstheme="minorHAnsi"/>
        </w:rPr>
        <w:t>.</w:t>
      </w:r>
    </w:p>
    <w:p w:rsidR="005B7B83" w:rsidRDefault="00D76739" w:rsidP="00652F20">
      <w:pPr>
        <w:autoSpaceDE w:val="0"/>
        <w:autoSpaceDN w:val="0"/>
        <w:adjustRightInd w:val="0"/>
        <w:spacing w:line="480" w:lineRule="auto"/>
        <w:ind w:firstLine="720"/>
        <w:rPr>
          <w:rFonts w:cs="TimesNewRomanPSMT"/>
        </w:rPr>
      </w:pPr>
      <w:r>
        <w:rPr>
          <w:rFonts w:cs="TimesNewRomanPSMT"/>
        </w:rPr>
        <w:t xml:space="preserve">With site indices and </w:t>
      </w:r>
      <w:r w:rsidR="0025723E">
        <w:rPr>
          <w:rFonts w:cs="TimesNewRomanPSMT"/>
        </w:rPr>
        <w:t xml:space="preserve">total </w:t>
      </w:r>
      <w:r>
        <w:rPr>
          <w:rFonts w:cs="TimesNewRomanPSMT"/>
        </w:rPr>
        <w:t>heights</w:t>
      </w:r>
      <w:r w:rsidRPr="008E0FFE">
        <w:rPr>
          <w:rFonts w:cs="TimesNewRomanPSMT"/>
        </w:rPr>
        <w:t xml:space="preserve"> </w:t>
      </w:r>
      <w:r>
        <w:rPr>
          <w:rFonts w:cs="TimesNewRomanPSMT"/>
        </w:rPr>
        <w:t xml:space="preserve">unknown, stand ages could only be inferred from published averages in stand (diameter distribution) and yield (volume) tables for </w:t>
      </w:r>
      <w:r w:rsidR="00075067">
        <w:rPr>
          <w:rFonts w:cs="TimesNewRomanPSMT"/>
        </w:rPr>
        <w:t xml:space="preserve">even-aged </w:t>
      </w:r>
      <w:r>
        <w:rPr>
          <w:rFonts w:cs="TimesNewRomanPSMT"/>
        </w:rPr>
        <w:t xml:space="preserve">upland oak and yellow poplar stands </w:t>
      </w:r>
      <w:r w:rsidR="00417834">
        <w:rPr>
          <w:rFonts w:cs="TimesNewRomanPSMT"/>
        </w:rPr>
        <w:fldChar w:fldCharType="begin"/>
      </w:r>
      <w:r w:rsidR="00417834">
        <w:rPr>
          <w:rFonts w:cs="TimesNewRomanPSMT"/>
        </w:rPr>
        <w:instrText xml:space="preserve"> ADDIN EN.CITE &lt;EndNote&gt;&lt;Cite&gt;&lt;Author&gt;Schnur&lt;/Author&gt;&lt;Year&gt;1937&lt;/Year&gt;&lt;RecNum&gt;239&lt;/RecNum&gt;&lt;DisplayText&gt;(Schnur 1937; Beck and Della-Bianca 1981)&lt;/DisplayText&gt;&lt;record&gt;&lt;rec-number&gt;239&lt;/rec-number&gt;&lt;foreign-keys&gt;&lt;key app="EN" db-id="a90s5zadewrawxeer07v2f90xr5vxv022sat"&gt;239&lt;/key&gt;&lt;/foreign-keys&gt;&lt;ref-type name="Report"&gt;27&lt;/ref-type&gt;&lt;contributors&gt;&lt;authors&gt;&lt;author&gt;Schnur, G. L.&lt;/author&gt;&lt;/authors&gt;&lt;/contributors&gt;&lt;titles&gt;&lt;title&gt;Yield, Stand, and Volume Tables for Even-Aged Upland Oak Forests. U.S. Department of Agriculture, Technical Bulletin No. 560. 87p&lt;/title&gt;&lt;/titles&gt;&lt;dates&gt;&lt;year&gt;1937&lt;/year&gt;&lt;/dates&gt;&lt;urls&gt;&lt;/urls&gt;&lt;/record&gt;&lt;/Cite&gt;&lt;Cite&gt;&lt;Author&gt;Beck&lt;/Author&gt;&lt;Year&gt;1981&lt;/Year&gt;&lt;RecNum&gt;238&lt;/RecNum&gt;&lt;record&gt;&lt;rec-number&gt;238&lt;/rec-number&gt;&lt;foreign-keys&gt;&lt;key app="EN" db-id="a90s5zadewrawxeer07v2f90xr5vxv022sat"&gt;238&lt;/key&gt;&lt;/foreign-keys&gt;&lt;ref-type name="Report"&gt;27&lt;/ref-type&gt;&lt;contributors&gt;&lt;authors&gt;&lt;author&gt;Beck, D. E.&lt;/author&gt;&lt;author&gt;L. Della-Bianca&lt;/author&gt;&lt;/authors&gt;&lt;/contributors&gt;&lt;titles&gt;&lt;title&gt;Yellow-poplar: Characteristics and management. U.S. Dept. of Agriculture, Agriculture Handbook No. 583, 92 p&lt;/title&gt;&lt;/titles&gt;&lt;dates&gt;&lt;year&gt;1981&lt;/year&gt;&lt;/dates&gt;&lt;urls&gt;&lt;related-urls&gt;&lt;url&gt;http://www.srs.fs.usda.gov/pubs/288&lt;/url&gt;&lt;/related-urls&gt;&lt;/urls&gt;&lt;/record&gt;&lt;/Cite&gt;&lt;/EndNote&gt;</w:instrText>
      </w:r>
      <w:r w:rsidR="00417834">
        <w:rPr>
          <w:rFonts w:cs="TimesNewRomanPSMT"/>
        </w:rPr>
        <w:fldChar w:fldCharType="separate"/>
      </w:r>
      <w:r w:rsidR="00417834">
        <w:rPr>
          <w:rFonts w:cs="TimesNewRomanPSMT"/>
          <w:noProof/>
        </w:rPr>
        <w:t>(</w:t>
      </w:r>
      <w:hyperlink w:anchor="_ENREF_117" w:tooltip="Schnur, 1937 #239" w:history="1">
        <w:r w:rsidR="001E4C88">
          <w:rPr>
            <w:rFonts w:cs="TimesNewRomanPSMT"/>
            <w:noProof/>
          </w:rPr>
          <w:t>Schnur 1937</w:t>
        </w:r>
      </w:hyperlink>
      <w:r w:rsidR="00417834">
        <w:rPr>
          <w:rFonts w:cs="TimesNewRomanPSMT"/>
          <w:noProof/>
        </w:rPr>
        <w:t xml:space="preserve">; </w:t>
      </w:r>
      <w:hyperlink w:anchor="_ENREF_25" w:tooltip="Beck, 1981 #238" w:history="1">
        <w:r w:rsidR="001E4C88">
          <w:rPr>
            <w:rFonts w:cs="TimesNewRomanPSMT"/>
            <w:noProof/>
          </w:rPr>
          <w:t>Beck and Della-Bianca 1981</w:t>
        </w:r>
      </w:hyperlink>
      <w:r w:rsidR="00417834">
        <w:rPr>
          <w:rFonts w:cs="TimesNewRomanPSMT"/>
          <w:noProof/>
        </w:rPr>
        <w:t>)</w:t>
      </w:r>
      <w:r w:rsidR="00417834">
        <w:rPr>
          <w:rFonts w:cs="TimesNewRomanPSMT"/>
        </w:rPr>
        <w:fldChar w:fldCharType="end"/>
      </w:r>
      <w:r>
        <w:rPr>
          <w:rFonts w:cs="TimesNewRomanPSMT"/>
        </w:rPr>
        <w:t xml:space="preserve">.  Nevertheless, the variation in structure and composition </w:t>
      </w:r>
      <w:r w:rsidR="00DC6F5E">
        <w:rPr>
          <w:rFonts w:cs="TimesNewRomanPSMT"/>
        </w:rPr>
        <w:t>within and among</w:t>
      </w:r>
      <w:r>
        <w:rPr>
          <w:rFonts w:cs="TimesNewRomanPSMT"/>
        </w:rPr>
        <w:t xml:space="preserve"> stands gave conflicting indications of age</w:t>
      </w:r>
      <w:r w:rsidR="00DC6F5E">
        <w:rPr>
          <w:rFonts w:cs="TimesNewRomanPSMT"/>
        </w:rPr>
        <w:t xml:space="preserve"> despite the likelihood that the entire area was originally harvested at about the same time.  </w:t>
      </w:r>
      <w:r w:rsidR="005B7B83">
        <w:rPr>
          <w:rFonts w:cs="TimesNewRomanPSMT"/>
        </w:rPr>
        <w:t xml:space="preserve">Such unconformities are most likely relics of the discriminate way in which the parent stands were originally harvested </w:t>
      </w:r>
      <w:r w:rsidR="007002D0">
        <w:rPr>
          <w:rFonts w:cs="TimesNewRomanPSMT"/>
        </w:rPr>
        <w:t>and</w:t>
      </w:r>
      <w:r w:rsidR="00372134">
        <w:rPr>
          <w:rFonts w:cs="TimesNewRomanPSMT"/>
        </w:rPr>
        <w:t xml:space="preserve"> </w:t>
      </w:r>
      <w:r w:rsidR="007B3D42">
        <w:rPr>
          <w:rFonts w:cs="TimesNewRomanPSMT"/>
        </w:rPr>
        <w:t xml:space="preserve">of </w:t>
      </w:r>
      <w:r w:rsidR="005B7B83">
        <w:rPr>
          <w:rFonts w:cs="TimesNewRomanPSMT"/>
        </w:rPr>
        <w:t xml:space="preserve">post-harvest disturbances such as wildfire and cattle grazing. </w:t>
      </w:r>
      <w:r w:rsidR="00F41E81">
        <w:rPr>
          <w:rFonts w:cs="TimesNewRomanPSMT"/>
        </w:rPr>
        <w:t xml:space="preserve"> </w:t>
      </w:r>
      <w:r w:rsidR="008325C5">
        <w:rPr>
          <w:rFonts w:cs="TimesNewRomanPSMT"/>
        </w:rPr>
        <w:t>Still</w:t>
      </w:r>
      <w:r w:rsidR="00F41E81">
        <w:rPr>
          <w:rFonts w:cs="TimesNewRomanPSMT"/>
        </w:rPr>
        <w:t xml:space="preserve">, </w:t>
      </w:r>
      <w:r w:rsidR="008325C5">
        <w:rPr>
          <w:rFonts w:cs="TimesNewRomanPSMT"/>
        </w:rPr>
        <w:t>stand conditions were generally indicative of</w:t>
      </w:r>
      <w:r w:rsidR="00F41E81">
        <w:rPr>
          <w:rFonts w:cs="TimesNewRomanPSMT"/>
        </w:rPr>
        <w:t xml:space="preserve"> </w:t>
      </w:r>
      <w:r w:rsidR="008325C5">
        <w:rPr>
          <w:rFonts w:cs="TimesNewRomanPSMT"/>
        </w:rPr>
        <w:t xml:space="preserve">the </w:t>
      </w:r>
      <w:r w:rsidR="00F41E81">
        <w:rPr>
          <w:rFonts w:cs="TimesNewRomanPSMT"/>
        </w:rPr>
        <w:t>6</w:t>
      </w:r>
      <w:r w:rsidR="005B7B83">
        <w:rPr>
          <w:rFonts w:cs="TimesNewRomanPSMT"/>
        </w:rPr>
        <w:t>1</w:t>
      </w:r>
      <w:r w:rsidR="00F41E81">
        <w:rPr>
          <w:rFonts w:cs="TimesNewRomanPSMT"/>
        </w:rPr>
        <w:t>-70 year age-class</w:t>
      </w:r>
      <w:r w:rsidR="008325C5">
        <w:rPr>
          <w:rFonts w:cs="TimesNewRomanPSMT"/>
        </w:rPr>
        <w:t>, which</w:t>
      </w:r>
      <w:r w:rsidR="00F41E81">
        <w:rPr>
          <w:rFonts w:cs="TimesNewRomanPSMT"/>
        </w:rPr>
        <w:t xml:space="preserve"> agrees with Hart </w:t>
      </w:r>
      <w:r w:rsidR="0088793A">
        <w:rPr>
          <w:rFonts w:cs="TimesNewRomanPSMT"/>
        </w:rPr>
        <w:t xml:space="preserve">and </w:t>
      </w:r>
      <w:proofErr w:type="spellStart"/>
      <w:r w:rsidR="0088793A">
        <w:rPr>
          <w:rFonts w:cs="TimesNewRomanPSMT"/>
        </w:rPr>
        <w:t>Grissino</w:t>
      </w:r>
      <w:proofErr w:type="spellEnd"/>
      <w:r w:rsidR="0088793A">
        <w:rPr>
          <w:rFonts w:cs="TimesNewRomanPSMT"/>
        </w:rPr>
        <w:t xml:space="preserve">-Mayer’s </w:t>
      </w:r>
      <w:r w:rsidR="00E553B3">
        <w:rPr>
          <w:rFonts w:cs="TimesNewRomanPSMT"/>
        </w:rPr>
        <w:fldChar w:fldCharType="begin"/>
      </w:r>
      <w:r w:rsidR="00A87D07">
        <w:rPr>
          <w:rFonts w:cs="TimesNewRomanPSMT"/>
        </w:rPr>
        <w:instrText xml:space="preserve"> ADDIN EN.CITE &lt;EndNote&gt;&lt;Cite ExcludeAuth="1"&gt;&lt;Author&gt;Hart&lt;/Author&gt;&lt;Year&gt;2008&lt;/Year&gt;&lt;RecNum&gt;68&lt;/RecNum&gt;&lt;DisplayText&gt;(2008)&lt;/DisplayText&gt;&lt;record&gt;&lt;rec-number&gt;68&lt;/rec-number&gt;&lt;foreign-keys&gt;&lt;key app="EN" db-id="a90s5zadewrawxeer07v2f90xr5vxv022sat"&gt;68&lt;/key&gt;&lt;/foreign-keys&gt;&lt;ref-type name="Journal Article"&gt;17&lt;/ref-type&gt;&lt;contributors&gt;&lt;authors&gt;&lt;author&gt;Hart, Justin L.&lt;/author&gt;&lt;author&gt;Grissino-Mayer, Henri D.&lt;/author&gt;&lt;/authors&gt;&lt;/contributors&gt;&lt;titles&gt;&lt;title&gt;Vegetation patterns and dendroecology of a mixed hardwood forest on the Cumberland Plateau: Implications for stand development&lt;/title&gt;&lt;secondary-title&gt;Forest Ecology and Management&lt;/secondary-title&gt;&lt;/titles&gt;&lt;periodical&gt;&lt;full-title&gt;Forest Ecology and Management&lt;/full-title&gt;&lt;abbr-1&gt;For. Ecol. Manage.&lt;/abbr-1&gt;&lt;/periodical&gt;&lt;pages&gt;1960-1975&lt;/pages&gt;&lt;volume&gt;255&lt;/volume&gt;&lt;number&gt;5-6&lt;/number&gt;&lt;keywords&gt;&lt;keyword&gt;Disturbance history&lt;/keyword&gt;&lt;keyword&gt;Quercus&lt;/keyword&gt;&lt;keyword&gt;Secondary stands&lt;/keyword&gt;&lt;keyword&gt;Species composition&lt;/keyword&gt;&lt;keyword&gt;Stand structure&lt;/keyword&gt;&lt;keyword&gt;Succession&lt;/keyword&gt;&lt;/keywords&gt;&lt;dates&gt;&lt;year&gt;2008&lt;/year&gt;&lt;/dates&gt;&lt;isbn&gt;0378-1127&lt;/isbn&gt;&lt;urls&gt;&lt;related-urls&gt;&lt;url&gt;http://www.sciencedirect.com/science/article/B6T6X-4RN48BR-4/2/bdae4c3d94425b0726bd4411bbf32487&lt;/url&gt;&lt;/related-urls&gt;&lt;/urls&gt;&lt;/record&gt;&lt;/Cite&gt;&lt;/EndNote&gt;</w:instrText>
      </w:r>
      <w:r w:rsidR="00E553B3">
        <w:rPr>
          <w:rFonts w:cs="TimesNewRomanPSMT"/>
        </w:rPr>
        <w:fldChar w:fldCharType="separate"/>
      </w:r>
      <w:r w:rsidR="00A87D07">
        <w:rPr>
          <w:rFonts w:cs="TimesNewRomanPSMT"/>
          <w:noProof/>
        </w:rPr>
        <w:t>(</w:t>
      </w:r>
      <w:hyperlink w:anchor="_ENREF_67" w:tooltip="Hart, 2008 #68" w:history="1">
        <w:r w:rsidR="001E4C88">
          <w:rPr>
            <w:rFonts w:cs="TimesNewRomanPSMT"/>
            <w:noProof/>
          </w:rPr>
          <w:t>2008</w:t>
        </w:r>
      </w:hyperlink>
      <w:r w:rsidR="00A87D07">
        <w:rPr>
          <w:rFonts w:cs="TimesNewRomanPSMT"/>
          <w:noProof/>
        </w:rPr>
        <w:t>)</w:t>
      </w:r>
      <w:r w:rsidR="00E553B3">
        <w:rPr>
          <w:rFonts w:cs="TimesNewRomanPSMT"/>
        </w:rPr>
        <w:fldChar w:fldCharType="end"/>
      </w:r>
      <w:r w:rsidR="0088793A">
        <w:rPr>
          <w:rFonts w:cs="TimesNewRomanPSMT"/>
        </w:rPr>
        <w:t xml:space="preserve"> </w:t>
      </w:r>
      <w:r w:rsidR="00F41E81">
        <w:rPr>
          <w:rFonts w:cs="TimesNewRomanPSMT"/>
        </w:rPr>
        <w:t xml:space="preserve">findings for a Cumberland Plateau mixed-oak forest </w:t>
      </w:r>
      <w:r w:rsidR="0015313E">
        <w:rPr>
          <w:rFonts w:cs="TimesNewRomanPSMT"/>
        </w:rPr>
        <w:t>comprised</w:t>
      </w:r>
      <w:r w:rsidR="00F41E81">
        <w:rPr>
          <w:rFonts w:cs="TimesNewRomanPSMT"/>
        </w:rPr>
        <w:t xml:space="preserve"> of canopy trees established </w:t>
      </w:r>
      <w:r w:rsidR="0015313E">
        <w:rPr>
          <w:rFonts w:cs="TimesNewRomanPSMT"/>
        </w:rPr>
        <w:t>around 1920</w:t>
      </w:r>
      <w:r w:rsidR="005B7B83">
        <w:rPr>
          <w:rFonts w:cs="TimesNewRomanPSMT"/>
        </w:rPr>
        <w:t>,</w:t>
      </w:r>
      <w:r w:rsidR="008325C5">
        <w:rPr>
          <w:rFonts w:cs="TimesNewRomanPSMT"/>
        </w:rPr>
        <w:t xml:space="preserve"> when </w:t>
      </w:r>
      <w:r w:rsidR="00F41E81">
        <w:rPr>
          <w:rFonts w:cs="TimesNewRomanPSMT"/>
        </w:rPr>
        <w:t>logging</w:t>
      </w:r>
      <w:r w:rsidR="00B74A9F">
        <w:rPr>
          <w:rFonts w:cs="TimesNewRomanPSMT"/>
        </w:rPr>
        <w:t xml:space="preserve"> activity</w:t>
      </w:r>
      <w:r w:rsidR="00F41E81">
        <w:rPr>
          <w:rFonts w:cs="TimesNewRomanPSMT"/>
        </w:rPr>
        <w:t xml:space="preserve"> </w:t>
      </w:r>
      <w:r w:rsidR="0015313E">
        <w:rPr>
          <w:rFonts w:cs="TimesNewRomanPSMT"/>
        </w:rPr>
        <w:t>i</w:t>
      </w:r>
      <w:r w:rsidR="00F41E81">
        <w:rPr>
          <w:rFonts w:cs="TimesNewRomanPSMT"/>
        </w:rPr>
        <w:t>n the Cumberlands</w:t>
      </w:r>
      <w:r w:rsidR="008325C5">
        <w:rPr>
          <w:rFonts w:cs="TimesNewRomanPSMT"/>
        </w:rPr>
        <w:t xml:space="preserve"> was at its peak</w:t>
      </w:r>
      <w:r w:rsidR="0088793A">
        <w:rPr>
          <w:rFonts w:cs="TimesNewRomanPSMT"/>
        </w:rPr>
        <w:t xml:space="preserve"> </w:t>
      </w:r>
      <w:r w:rsidR="005E3402">
        <w:rPr>
          <w:rFonts w:cs="TimesNewRomanPSMT"/>
        </w:rPr>
        <w:fldChar w:fldCharType="begin"/>
      </w:r>
      <w:r w:rsidR="00A87D07">
        <w:rPr>
          <w:rFonts w:cs="TimesNewRomanPSMT"/>
        </w:rPr>
        <w:instrText xml:space="preserve"> ADDIN EN.CITE &lt;EndNote&gt;&lt;Cite&gt;&lt;Author&gt;Hinkle&lt;/Author&gt;&lt;Year&gt;1993&lt;/Year&gt;&lt;RecNum&gt;275&lt;/RecNum&gt;&lt;DisplayText&gt;(Hinkle et al. 1993)&lt;/DisplayText&gt;&lt;record&gt;&lt;rec-number&gt;275&lt;/rec-number&gt;&lt;foreign-keys&gt;&lt;key app="EN" db-id="a90s5zadewrawxeer07v2f90xr5vxv022sat"&gt;275&lt;/key&gt;&lt;/foreign-keys&gt;&lt;ref-type name="Book Section"&gt;5&lt;/ref-type&gt;&lt;contributors&gt;&lt;authors&gt;&lt;author&gt;Hinkle, C.R.&lt;/author&gt;&lt;author&gt;McComb, W.C.&lt;/author&gt;&lt;author&gt;Safely Jr., J.M.&lt;/author&gt;&lt;author&gt;Schmalzer, P.A.&lt;/author&gt;&lt;/authors&gt;&lt;secondary-authors&gt;&lt;author&gt;Martin, W.H.&lt;/author&gt;&lt;author&gt;Boyce, S.G.&lt;/author&gt;&lt;author&gt;Echternacht, A.C.&lt;/author&gt;&lt;/secondary-authors&gt;&lt;/contributors&gt;&lt;titles&gt;&lt;title&gt;Mixed mesophytic forests&lt;/title&gt;&lt;secondary-title&gt;Biodiversity of the Southeastern United States: Upland Terrestrial Communities&lt;/secondary-title&gt;&lt;/titles&gt;&lt;pages&gt;203-253&lt;/pages&gt;&lt;dates&gt;&lt;year&gt;1993&lt;/year&gt;&lt;/dates&gt;&lt;pub-location&gt;New York&lt;/pub-location&gt;&lt;publisher&gt;John Wiley and Sons&lt;/publisher&gt;&lt;urls&gt;&lt;/urls&gt;&lt;/record&gt;&lt;/Cite&gt;&lt;/EndNote&gt;</w:instrText>
      </w:r>
      <w:r w:rsidR="005E3402">
        <w:rPr>
          <w:rFonts w:cs="TimesNewRomanPSMT"/>
        </w:rPr>
        <w:fldChar w:fldCharType="separate"/>
      </w:r>
      <w:r w:rsidR="00A87D07">
        <w:rPr>
          <w:rFonts w:cs="TimesNewRomanPSMT"/>
          <w:noProof/>
        </w:rPr>
        <w:t>(</w:t>
      </w:r>
      <w:hyperlink w:anchor="_ENREF_72" w:tooltip="Hinkle, 1993 #275" w:history="1">
        <w:r w:rsidR="001E4C88">
          <w:rPr>
            <w:rFonts w:cs="TimesNewRomanPSMT"/>
            <w:noProof/>
          </w:rPr>
          <w:t>Hinkle et al. 1993</w:t>
        </w:r>
      </w:hyperlink>
      <w:r w:rsidR="00A87D07">
        <w:rPr>
          <w:rFonts w:cs="TimesNewRomanPSMT"/>
          <w:noProof/>
        </w:rPr>
        <w:t>)</w:t>
      </w:r>
      <w:r w:rsidR="005E3402">
        <w:rPr>
          <w:rFonts w:cs="TimesNewRomanPSMT"/>
        </w:rPr>
        <w:fldChar w:fldCharType="end"/>
      </w:r>
      <w:r w:rsidR="00F41E81">
        <w:rPr>
          <w:rFonts w:cs="TimesNewRomanPSMT"/>
        </w:rPr>
        <w:t xml:space="preserve">.  </w:t>
      </w:r>
    </w:p>
    <w:p w:rsidR="0057247E" w:rsidRDefault="00DC6F5E" w:rsidP="00652F20">
      <w:pPr>
        <w:autoSpaceDE w:val="0"/>
        <w:autoSpaceDN w:val="0"/>
        <w:adjustRightInd w:val="0"/>
        <w:spacing w:line="480" w:lineRule="auto"/>
        <w:ind w:firstLine="720"/>
        <w:rPr>
          <w:color w:val="FF0000"/>
        </w:rPr>
      </w:pPr>
      <w:r>
        <w:rPr>
          <w:rFonts w:cs="TimesNewRomanPSMT"/>
        </w:rPr>
        <w:lastRenderedPageBreak/>
        <w:t>While this</w:t>
      </w:r>
      <w:r w:rsidR="0015313E">
        <w:rPr>
          <w:rFonts w:cs="TimesNewRomanPSMT"/>
        </w:rPr>
        <w:t xml:space="preserve"> slight</w:t>
      </w:r>
      <w:r>
        <w:rPr>
          <w:rFonts w:cs="TimesNewRomanPSMT"/>
        </w:rPr>
        <w:t xml:space="preserve"> </w:t>
      </w:r>
      <w:r w:rsidR="007002D0">
        <w:rPr>
          <w:rFonts w:cs="TimesNewRomanPSMT"/>
        </w:rPr>
        <w:t xml:space="preserve">age </w:t>
      </w:r>
      <w:r>
        <w:rPr>
          <w:rFonts w:cs="TimesNewRomanPSMT"/>
        </w:rPr>
        <w:t xml:space="preserve">ambiguity </w:t>
      </w:r>
      <w:r w:rsidR="00D76739">
        <w:rPr>
          <w:rFonts w:cs="TimesNewRomanPSMT"/>
        </w:rPr>
        <w:t>confounded th</w:t>
      </w:r>
      <w:r>
        <w:rPr>
          <w:rFonts w:cs="TimesNewRomanPSMT"/>
        </w:rPr>
        <w:t>e approximation of site index, t</w:t>
      </w:r>
      <w:r w:rsidR="00EB6703">
        <w:rPr>
          <w:rFonts w:cs="TimesNewRomanPSMT"/>
        </w:rPr>
        <w:t xml:space="preserve">he height estimation procedure employed to </w:t>
      </w:r>
      <w:r w:rsidR="00372134">
        <w:rPr>
          <w:rFonts w:cs="TimesNewRomanPSMT"/>
        </w:rPr>
        <w:t>approximate</w:t>
      </w:r>
      <w:r w:rsidR="00EB6703">
        <w:rPr>
          <w:rFonts w:cs="TimesNewRomanPSMT"/>
        </w:rPr>
        <w:t xml:space="preserve"> missing total height measurements proved usef</w:t>
      </w:r>
      <w:r w:rsidR="00372134">
        <w:rPr>
          <w:rFonts w:cs="TimesNewRomanPSMT"/>
        </w:rPr>
        <w:t>ul in corroborating site index estimates</w:t>
      </w:r>
      <w:r w:rsidR="00DF44F4">
        <w:rPr>
          <w:rFonts w:cs="TimesNewRomanPSMT"/>
        </w:rPr>
        <w:t xml:space="preserve"> because it involved </w:t>
      </w:r>
      <w:r w:rsidR="00DF44F4" w:rsidRPr="004878A7">
        <w:rPr>
          <w:rFonts w:asciiTheme="minorHAnsi" w:hAnsiTheme="minorHAnsi" w:cstheme="minorHAnsi"/>
        </w:rPr>
        <w:t>three different methods for determining height</w:t>
      </w:r>
      <w:r w:rsidR="00670D01" w:rsidRPr="004878A7">
        <w:rPr>
          <w:rFonts w:asciiTheme="minorHAnsi" w:hAnsiTheme="minorHAnsi" w:cstheme="minorHAnsi"/>
        </w:rPr>
        <w:t xml:space="preserve">, one of which </w:t>
      </w:r>
      <w:r w:rsidR="00DF44F4" w:rsidRPr="004878A7">
        <w:rPr>
          <w:rFonts w:asciiTheme="minorHAnsi" w:hAnsiTheme="minorHAnsi" w:cstheme="minorHAnsi"/>
        </w:rPr>
        <w:t xml:space="preserve">depended on </w:t>
      </w:r>
      <w:r w:rsidR="00670D01" w:rsidRPr="004878A7">
        <w:rPr>
          <w:rFonts w:asciiTheme="minorHAnsi" w:hAnsiTheme="minorHAnsi" w:cstheme="minorHAnsi"/>
        </w:rPr>
        <w:t xml:space="preserve">site index.  </w:t>
      </w:r>
      <w:r w:rsidR="00337239" w:rsidRPr="004878A7">
        <w:rPr>
          <w:rFonts w:asciiTheme="minorHAnsi" w:hAnsiTheme="minorHAnsi" w:cstheme="minorHAnsi"/>
        </w:rPr>
        <w:t>Merchantable height to a 4</w:t>
      </w:r>
      <w:r w:rsidR="00337239" w:rsidRPr="005077DB">
        <w:t>″</w:t>
      </w:r>
      <w:r w:rsidR="00337239" w:rsidRPr="004878A7">
        <w:rPr>
          <w:rFonts w:asciiTheme="minorHAnsi" w:eastAsia="Times New Roman" w:hAnsiTheme="minorHAnsi" w:cstheme="minorHAnsi"/>
          <w:color w:val="000000"/>
        </w:rPr>
        <w:t>DOB top informed one method’s estimates but was the most volatile measure</w:t>
      </w:r>
      <w:r w:rsidR="008325C5">
        <w:rPr>
          <w:rFonts w:asciiTheme="minorHAnsi" w:eastAsia="Times New Roman" w:hAnsiTheme="minorHAnsi" w:cstheme="minorHAnsi"/>
          <w:color w:val="000000"/>
        </w:rPr>
        <w:t>,</w:t>
      </w:r>
      <w:r w:rsidR="00337239" w:rsidRPr="004878A7">
        <w:rPr>
          <w:rFonts w:asciiTheme="minorHAnsi" w:eastAsia="Times New Roman" w:hAnsiTheme="minorHAnsi" w:cstheme="minorHAnsi"/>
          <w:color w:val="000000"/>
        </w:rPr>
        <w:t xml:space="preserve"> given that merchantable heights can vary </w:t>
      </w:r>
      <w:r w:rsidR="004878A7" w:rsidRPr="004878A7">
        <w:rPr>
          <w:rFonts w:asciiTheme="minorHAnsi" w:eastAsia="Times New Roman" w:hAnsiTheme="minorHAnsi" w:cstheme="minorHAnsi"/>
          <w:color w:val="000000"/>
        </w:rPr>
        <w:t>substantially</w:t>
      </w:r>
      <w:r w:rsidR="00337239" w:rsidRPr="004878A7">
        <w:rPr>
          <w:rFonts w:asciiTheme="minorHAnsi" w:eastAsia="Times New Roman" w:hAnsiTheme="minorHAnsi" w:cstheme="minorHAnsi"/>
          <w:color w:val="000000"/>
        </w:rPr>
        <w:t xml:space="preserve"> </w:t>
      </w:r>
      <w:r w:rsidR="004878A7" w:rsidRPr="004878A7">
        <w:rPr>
          <w:rFonts w:asciiTheme="minorHAnsi" w:eastAsia="Times New Roman" w:hAnsiTheme="minorHAnsi" w:cstheme="minorHAnsi"/>
          <w:color w:val="000000"/>
        </w:rPr>
        <w:t xml:space="preserve">all else equal.  The resulting </w:t>
      </w:r>
      <w:r w:rsidR="0042358E">
        <w:rPr>
          <w:rFonts w:asciiTheme="minorHAnsi" w:eastAsia="Times New Roman" w:hAnsiTheme="minorHAnsi" w:cstheme="minorHAnsi"/>
          <w:color w:val="000000"/>
        </w:rPr>
        <w:t xml:space="preserve">merchantable height-informed </w:t>
      </w:r>
      <w:r w:rsidR="00075067">
        <w:rPr>
          <w:rFonts w:asciiTheme="minorHAnsi" w:eastAsia="Times New Roman" w:hAnsiTheme="minorHAnsi" w:cstheme="minorHAnsi"/>
          <w:color w:val="000000"/>
        </w:rPr>
        <w:t xml:space="preserve">total </w:t>
      </w:r>
      <w:r w:rsidR="004878A7" w:rsidRPr="004878A7">
        <w:rPr>
          <w:rFonts w:asciiTheme="minorHAnsi" w:eastAsia="Times New Roman" w:hAnsiTheme="minorHAnsi" w:cstheme="minorHAnsi"/>
          <w:color w:val="000000"/>
        </w:rPr>
        <w:t xml:space="preserve">heights were compared to those given by the </w:t>
      </w:r>
      <w:r w:rsidR="004878A7" w:rsidRPr="004878A7">
        <w:rPr>
          <w:rFonts w:asciiTheme="minorHAnsi" w:hAnsiTheme="minorHAnsi" w:cstheme="minorHAnsi"/>
        </w:rPr>
        <w:t xml:space="preserve">species-specific height-diameter equations imbedded in the </w:t>
      </w:r>
      <w:proofErr w:type="spellStart"/>
      <w:r w:rsidR="004878A7" w:rsidRPr="004878A7">
        <w:rPr>
          <w:rFonts w:asciiTheme="minorHAnsi" w:hAnsiTheme="minorHAnsi" w:cstheme="minorHAnsi"/>
        </w:rPr>
        <w:t>Sn</w:t>
      </w:r>
      <w:proofErr w:type="spellEnd"/>
      <w:r w:rsidR="004878A7" w:rsidRPr="004878A7">
        <w:rPr>
          <w:rFonts w:asciiTheme="minorHAnsi" w:hAnsiTheme="minorHAnsi" w:cstheme="minorHAnsi"/>
        </w:rPr>
        <w:t>-variant</w:t>
      </w:r>
      <w:r w:rsidR="005115E4">
        <w:rPr>
          <w:rFonts w:asciiTheme="minorHAnsi" w:hAnsiTheme="minorHAnsi" w:cstheme="minorHAnsi"/>
        </w:rPr>
        <w:t xml:space="preserve"> and those provided by similar equations for a given site index </w:t>
      </w:r>
      <w:r w:rsidR="001E5854">
        <w:rPr>
          <w:rFonts w:asciiTheme="minorHAnsi" w:hAnsiTheme="minorHAnsi" w:cstheme="minorHAnsi"/>
        </w:rPr>
        <w:t xml:space="preserve">constituted by </w:t>
      </w:r>
      <w:proofErr w:type="spellStart"/>
      <w:r w:rsidR="001E5854">
        <w:rPr>
          <w:rFonts w:asciiTheme="minorHAnsi" w:hAnsiTheme="minorHAnsi" w:cstheme="minorHAnsi"/>
        </w:rPr>
        <w:t>Lamson</w:t>
      </w:r>
      <w:proofErr w:type="spellEnd"/>
      <w:r w:rsidR="001E5854">
        <w:rPr>
          <w:rFonts w:asciiTheme="minorHAnsi" w:hAnsiTheme="minorHAnsi" w:cstheme="minorHAnsi"/>
        </w:rPr>
        <w:t xml:space="preserve"> </w:t>
      </w:r>
      <w:r w:rsidR="001E5854">
        <w:rPr>
          <w:rFonts w:asciiTheme="minorHAnsi" w:hAnsiTheme="minorHAnsi" w:cstheme="minorHAnsi"/>
        </w:rPr>
        <w:fldChar w:fldCharType="begin"/>
      </w:r>
      <w:r w:rsidR="0052321E">
        <w:rPr>
          <w:rFonts w:asciiTheme="minorHAnsi" w:hAnsiTheme="minorHAnsi" w:cstheme="minorHAnsi"/>
        </w:rPr>
        <w:instrText xml:space="preserve"> ADDIN EN.CITE &lt;EndNote&gt;&lt;Cite ExcludeAuth="1"&gt;&lt;Author&gt;Clark III&lt;/Author&gt;&lt;Year&gt;1991 &lt;/Year&gt;&lt;RecNum&gt;246&lt;/RecNum&gt;&lt;DisplayText&gt;(1991 )&lt;/DisplayText&gt;&lt;record&gt;&lt;rec-number&gt;246&lt;/rec-number&gt;&lt;foreign-keys&gt;&lt;key app="EN" db-id="a90s5zadewrawxeer07v2f90xr5vxv022sat"&gt;246&lt;/key&gt;&lt;/foreign-keys&gt;&lt;ref-type name="Report"&gt;27&lt;/ref-type&gt;&lt;contributors&gt;&lt;authors&gt;&lt;author&gt;Clark III, A.&lt;/author&gt;&lt;author&gt;R. A. Souter &lt;/author&gt;&lt;author&gt;B. E. Schlaegel &lt;/author&gt;&lt;/authors&gt;&lt;/contributors&gt;&lt;titles&gt;&lt;title&gt;Stem profile equations for southern tree species. Res. Pap. SE-282. Asheville, NC: U.S. Department of Agriculture, Forest Service, Southeastern Forest Experiment Station. 113p&lt;/title&gt;&lt;/titles&gt;&lt;dates&gt;&lt;year&gt;1991 &lt;/year&gt;&lt;/dates&gt;&lt;urls&gt;&lt;/urls&gt;&lt;/record&gt;&lt;/Cite&gt;&lt;/EndNote&gt;</w:instrText>
      </w:r>
      <w:r w:rsidR="001E5854">
        <w:rPr>
          <w:rFonts w:asciiTheme="minorHAnsi" w:hAnsiTheme="minorHAnsi" w:cstheme="minorHAnsi"/>
        </w:rPr>
        <w:fldChar w:fldCharType="separate"/>
      </w:r>
      <w:r w:rsidR="004A2DC4">
        <w:rPr>
          <w:rFonts w:asciiTheme="minorHAnsi" w:hAnsiTheme="minorHAnsi" w:cstheme="minorHAnsi"/>
          <w:noProof/>
        </w:rPr>
        <w:t>(</w:t>
      </w:r>
      <w:hyperlink w:anchor="_ENREF_38" w:tooltip="Clark III, 1991  #246" w:history="1">
        <w:r w:rsidR="001E4C88">
          <w:rPr>
            <w:rFonts w:asciiTheme="minorHAnsi" w:hAnsiTheme="minorHAnsi" w:cstheme="minorHAnsi"/>
            <w:noProof/>
          </w:rPr>
          <w:t xml:space="preserve">1991 </w:t>
        </w:r>
      </w:hyperlink>
      <w:r w:rsidR="004A2DC4">
        <w:rPr>
          <w:rFonts w:asciiTheme="minorHAnsi" w:hAnsiTheme="minorHAnsi" w:cstheme="minorHAnsi"/>
          <w:noProof/>
        </w:rPr>
        <w:t>)</w:t>
      </w:r>
      <w:r w:rsidR="001E5854">
        <w:rPr>
          <w:rFonts w:asciiTheme="minorHAnsi" w:hAnsiTheme="minorHAnsi" w:cstheme="minorHAnsi"/>
        </w:rPr>
        <w:fldChar w:fldCharType="end"/>
      </w:r>
      <w:r w:rsidR="004878A7" w:rsidRPr="004878A7">
        <w:rPr>
          <w:rFonts w:asciiTheme="minorHAnsi" w:hAnsiTheme="minorHAnsi" w:cstheme="minorHAnsi"/>
        </w:rPr>
        <w:t>.</w:t>
      </w:r>
      <w:r w:rsidR="005115E4">
        <w:rPr>
          <w:rFonts w:asciiTheme="minorHAnsi" w:hAnsiTheme="minorHAnsi" w:cstheme="minorHAnsi"/>
        </w:rPr>
        <w:t xml:space="preserve">  </w:t>
      </w:r>
      <w:r w:rsidR="0025723E" w:rsidRPr="004878A7">
        <w:rPr>
          <w:rFonts w:asciiTheme="minorHAnsi" w:hAnsiTheme="minorHAnsi" w:cstheme="minorHAnsi"/>
        </w:rPr>
        <w:t xml:space="preserve">Canopy class was used as a surrogate for height class, helping to determine which of the three height estimates for a given tree was chosen.  </w:t>
      </w:r>
      <w:r w:rsidR="005115E4">
        <w:rPr>
          <w:rFonts w:asciiTheme="minorHAnsi" w:hAnsiTheme="minorHAnsi" w:cstheme="minorHAnsi"/>
        </w:rPr>
        <w:t xml:space="preserve">This time consuming process was </w:t>
      </w:r>
      <w:r w:rsidR="0025723E">
        <w:rPr>
          <w:rFonts w:asciiTheme="minorHAnsi" w:hAnsiTheme="minorHAnsi" w:cstheme="minorHAnsi"/>
        </w:rPr>
        <w:t>deemed necessary</w:t>
      </w:r>
      <w:r w:rsidR="005115E4">
        <w:rPr>
          <w:rFonts w:asciiTheme="minorHAnsi" w:hAnsiTheme="minorHAnsi" w:cstheme="minorHAnsi"/>
        </w:rPr>
        <w:t xml:space="preserve"> by the fact that tree height is the second most </w:t>
      </w:r>
      <w:r w:rsidR="002969ED">
        <w:rPr>
          <w:rFonts w:asciiTheme="minorHAnsi" w:hAnsiTheme="minorHAnsi" w:cstheme="minorHAnsi"/>
        </w:rPr>
        <w:t>critical</w:t>
      </w:r>
      <w:r w:rsidR="005115E4">
        <w:rPr>
          <w:rFonts w:asciiTheme="minorHAnsi" w:hAnsiTheme="minorHAnsi" w:cstheme="minorHAnsi"/>
        </w:rPr>
        <w:t xml:space="preserve"> tree-attribute in FVS</w:t>
      </w:r>
      <w:r w:rsidR="0025723E">
        <w:rPr>
          <w:rFonts w:asciiTheme="minorHAnsi" w:hAnsiTheme="minorHAnsi" w:cstheme="minorHAnsi"/>
        </w:rPr>
        <w:t xml:space="preserve"> and that the inventory data provided the metrics to do so</w:t>
      </w:r>
      <w:r w:rsidR="005115E4">
        <w:rPr>
          <w:rFonts w:asciiTheme="minorHAnsi" w:hAnsiTheme="minorHAnsi" w:cstheme="minorHAnsi"/>
        </w:rPr>
        <w:t>.</w:t>
      </w:r>
      <w:r w:rsidR="00075067" w:rsidRPr="00075067">
        <w:rPr>
          <w:color w:val="FF0000"/>
        </w:rPr>
        <w:t xml:space="preserve"> </w:t>
      </w:r>
    </w:p>
    <w:p w:rsidR="002969ED" w:rsidRDefault="007002D0" w:rsidP="00652F20">
      <w:pPr>
        <w:autoSpaceDE w:val="0"/>
        <w:autoSpaceDN w:val="0"/>
        <w:adjustRightInd w:val="0"/>
        <w:spacing w:line="480" w:lineRule="auto"/>
        <w:ind w:firstLine="720"/>
        <w:rPr>
          <w:rFonts w:asciiTheme="minorHAnsi" w:hAnsiTheme="minorHAnsi" w:cstheme="minorHAnsi"/>
        </w:rPr>
      </w:pPr>
      <w:r>
        <w:t xml:space="preserve">It should be noted that the site </w:t>
      </w:r>
      <w:r w:rsidR="00F24CE9">
        <w:t xml:space="preserve">classification and </w:t>
      </w:r>
      <w:r w:rsidR="00230ADF">
        <w:t xml:space="preserve">productivity information presented </w:t>
      </w:r>
      <w:r w:rsidR="00F24CE9">
        <w:t>in</w:t>
      </w:r>
      <w:r w:rsidR="00230ADF">
        <w:t xml:space="preserve"> </w:t>
      </w:r>
      <w:r w:rsidR="00F24CE9" w:rsidRPr="002B51B4">
        <w:rPr>
          <w:rFonts w:asciiTheme="minorHAnsi" w:hAnsiTheme="minorHAnsi" w:cstheme="minorHAnsi"/>
        </w:rPr>
        <w:t xml:space="preserve">Smalley </w:t>
      </w:r>
      <w:r w:rsidR="00F24CE9" w:rsidRPr="002B51B4">
        <w:rPr>
          <w:rFonts w:asciiTheme="minorHAnsi" w:hAnsiTheme="minorHAnsi" w:cstheme="minorHAnsi"/>
        </w:rPr>
        <w:fldChar w:fldCharType="begin"/>
      </w:r>
      <w:r w:rsidR="00A87D07">
        <w:rPr>
          <w:rFonts w:asciiTheme="minorHAnsi" w:hAnsiTheme="minorHAnsi" w:cstheme="minorHAnsi"/>
        </w:rPr>
        <w:instrText xml:space="preserve"> ADDIN EN.CITE &lt;EndNote&gt;&lt;Cite ExcludeAuth="1"&gt;&lt;Author&gt;Smalley&lt;/Author&gt;&lt;Year&gt;1984&lt;/Year&gt;&lt;RecNum&gt;277&lt;/RecNum&gt;&lt;DisplayText&gt;(1984)&lt;/DisplayText&gt;&lt;record&gt;&lt;rec-number&gt;277&lt;/rec-number&gt;&lt;foreign-keys&gt;&lt;key app="EN" db-id="a90s5zadewrawxeer07v2f90xr5vxv022sat"&gt;277&lt;/key&gt;&lt;/foreign-keys&gt;&lt;ref-type name="Report"&gt;27&lt;/ref-type&gt;&lt;contributors&gt;&lt;authors&gt;&lt;author&gt;Smalley, Glendon W.&lt;/author&gt;&lt;/authors&gt;&lt;/contributors&gt;&lt;titles&gt;&lt;title&gt;Classification and evaluation for forest sites in the Cumberland Mountains. Gen. Tech. Rep. SO-50. New Orleans, LA: U.S. Dept of Agriculture, Forest Service, Southern Forest Experiment Station. 89 p&lt;/title&gt;&lt;/titles&gt;&lt;dates&gt;&lt;year&gt;1984&lt;/year&gt;&lt;/dates&gt;&lt;urls&gt;&lt;/urls&gt;&lt;/record&gt;&lt;/Cite&gt;&lt;/EndNote&gt;</w:instrText>
      </w:r>
      <w:r w:rsidR="00F24CE9" w:rsidRPr="002B51B4">
        <w:rPr>
          <w:rFonts w:asciiTheme="minorHAnsi" w:hAnsiTheme="minorHAnsi" w:cstheme="minorHAnsi"/>
        </w:rPr>
        <w:fldChar w:fldCharType="separate"/>
      </w:r>
      <w:r w:rsidR="00A87D07">
        <w:rPr>
          <w:rFonts w:asciiTheme="minorHAnsi" w:hAnsiTheme="minorHAnsi" w:cstheme="minorHAnsi"/>
          <w:noProof/>
        </w:rPr>
        <w:t>(</w:t>
      </w:r>
      <w:hyperlink w:anchor="_ENREF_123" w:tooltip="Smalley, 1984 #277" w:history="1">
        <w:r w:rsidR="001E4C88">
          <w:rPr>
            <w:rFonts w:asciiTheme="minorHAnsi" w:hAnsiTheme="minorHAnsi" w:cstheme="minorHAnsi"/>
            <w:noProof/>
          </w:rPr>
          <w:t>1984</w:t>
        </w:r>
      </w:hyperlink>
      <w:r w:rsidR="00A87D07">
        <w:rPr>
          <w:rFonts w:asciiTheme="minorHAnsi" w:hAnsiTheme="minorHAnsi" w:cstheme="minorHAnsi"/>
          <w:noProof/>
        </w:rPr>
        <w:t>)</w:t>
      </w:r>
      <w:r w:rsidR="00F24CE9" w:rsidRPr="002B51B4">
        <w:rPr>
          <w:rFonts w:asciiTheme="minorHAnsi" w:hAnsiTheme="minorHAnsi" w:cstheme="minorHAnsi"/>
        </w:rPr>
        <w:fldChar w:fldCharType="end"/>
      </w:r>
      <w:r w:rsidR="00F24CE9">
        <w:rPr>
          <w:rFonts w:asciiTheme="minorHAnsi" w:hAnsiTheme="minorHAnsi" w:cstheme="minorHAnsi"/>
        </w:rPr>
        <w:t xml:space="preserve"> was not discovered until after simulations were completed.  Although </w:t>
      </w:r>
      <w:r w:rsidR="007707FA">
        <w:rPr>
          <w:rFonts w:asciiTheme="minorHAnsi" w:hAnsiTheme="minorHAnsi" w:cstheme="minorHAnsi"/>
        </w:rPr>
        <w:t xml:space="preserve">this </w:t>
      </w:r>
      <w:r w:rsidR="00CD6F67">
        <w:rPr>
          <w:rFonts w:asciiTheme="minorHAnsi" w:hAnsiTheme="minorHAnsi" w:cstheme="minorHAnsi"/>
        </w:rPr>
        <w:t xml:space="preserve">productivity information was largely drawn from adjacent regions, it represented the best information and collective judgment available in the region and provided greater detail than </w:t>
      </w:r>
      <w:r w:rsidR="009E7895">
        <w:rPr>
          <w:rFonts w:asciiTheme="minorHAnsi" w:hAnsiTheme="minorHAnsi" w:cstheme="minorHAnsi"/>
        </w:rPr>
        <w:t xml:space="preserve">recent </w:t>
      </w:r>
      <w:r w:rsidR="00CD6F67">
        <w:rPr>
          <w:rFonts w:asciiTheme="minorHAnsi" w:hAnsiTheme="minorHAnsi" w:cstheme="minorHAnsi"/>
        </w:rPr>
        <w:t xml:space="preserve">county soil maps.  </w:t>
      </w:r>
      <w:r w:rsidR="00D301E1">
        <w:rPr>
          <w:rFonts w:asciiTheme="minorHAnsi" w:hAnsiTheme="minorHAnsi" w:cstheme="minorHAnsi"/>
        </w:rPr>
        <w:t>Suggested site indices for each land type association</w:t>
      </w:r>
      <w:r w:rsidR="000E1FFD">
        <w:rPr>
          <w:rFonts w:asciiTheme="minorHAnsi" w:hAnsiTheme="minorHAnsi" w:cstheme="minorHAnsi"/>
        </w:rPr>
        <w:t xml:space="preserve"> diverged from </w:t>
      </w:r>
      <w:r w:rsidR="00377374">
        <w:rPr>
          <w:rFonts w:asciiTheme="minorHAnsi" w:hAnsiTheme="minorHAnsi" w:cstheme="minorHAnsi"/>
        </w:rPr>
        <w:t xml:space="preserve">the </w:t>
      </w:r>
      <w:r w:rsidR="000E1FFD">
        <w:rPr>
          <w:rFonts w:asciiTheme="minorHAnsi" w:hAnsiTheme="minorHAnsi" w:cstheme="minorHAnsi"/>
        </w:rPr>
        <w:t xml:space="preserve">site index </w:t>
      </w:r>
      <w:r w:rsidR="00377374" w:rsidRPr="000E1FFD">
        <w:rPr>
          <w:rFonts w:asciiTheme="minorHAnsi" w:hAnsiTheme="minorHAnsi" w:cstheme="minorHAnsi"/>
        </w:rPr>
        <w:t>relationship</w:t>
      </w:r>
      <w:r w:rsidR="000E1FFD">
        <w:rPr>
          <w:rFonts w:asciiTheme="minorHAnsi" w:hAnsiTheme="minorHAnsi" w:cstheme="minorHAnsi"/>
        </w:rPr>
        <w:t>s between species expressed by the site index</w:t>
      </w:r>
      <w:r w:rsidR="00377374" w:rsidRPr="000E1FFD">
        <w:rPr>
          <w:rFonts w:asciiTheme="minorHAnsi" w:hAnsiTheme="minorHAnsi" w:cstheme="minorHAnsi"/>
        </w:rPr>
        <w:t xml:space="preserve"> </w:t>
      </w:r>
      <w:r w:rsidR="000E1FFD" w:rsidRPr="000E1FFD">
        <w:t>transformation equations</w:t>
      </w:r>
      <w:r w:rsidR="000E1FFD">
        <w:t xml:space="preserve"> developed </w:t>
      </w:r>
      <w:r w:rsidR="00CE4EE8">
        <w:t xml:space="preserve">by Doolittle </w:t>
      </w:r>
      <w:r w:rsidR="008634A1">
        <w:t>(1958)</w:t>
      </w:r>
      <w:r w:rsidR="00CE4EE8">
        <w:t xml:space="preserve"> </w:t>
      </w:r>
      <w:r w:rsidR="000E1FFD">
        <w:t>for southern Appalachian forests, which are</w:t>
      </w:r>
      <w:r w:rsidR="000E1FFD" w:rsidRPr="000E1FFD">
        <w:rPr>
          <w:rFonts w:asciiTheme="minorHAnsi" w:hAnsiTheme="minorHAnsi" w:cstheme="minorHAnsi"/>
        </w:rPr>
        <w:t xml:space="preserve"> </w:t>
      </w:r>
      <w:r w:rsidR="000E1FFD">
        <w:rPr>
          <w:rFonts w:asciiTheme="minorHAnsi" w:hAnsiTheme="minorHAnsi" w:cstheme="minorHAnsi"/>
        </w:rPr>
        <w:t xml:space="preserve">embedded in the </w:t>
      </w:r>
      <w:proofErr w:type="spellStart"/>
      <w:r w:rsidR="000E1FFD">
        <w:rPr>
          <w:rFonts w:asciiTheme="minorHAnsi" w:hAnsiTheme="minorHAnsi" w:cstheme="minorHAnsi"/>
        </w:rPr>
        <w:t>Sn</w:t>
      </w:r>
      <w:proofErr w:type="spellEnd"/>
      <w:r w:rsidR="000E1FFD">
        <w:rPr>
          <w:rFonts w:asciiTheme="minorHAnsi" w:hAnsiTheme="minorHAnsi" w:cstheme="minorHAnsi"/>
        </w:rPr>
        <w:t>-variant</w:t>
      </w:r>
      <w:r w:rsidR="000E1FFD">
        <w:t>.</w:t>
      </w:r>
      <w:r w:rsidR="000E1FFD" w:rsidRPr="000E1FFD">
        <w:t xml:space="preserve"> </w:t>
      </w:r>
      <w:r w:rsidR="000E1FFD">
        <w:t xml:space="preserve"> As a re</w:t>
      </w:r>
      <w:r w:rsidR="008F316F">
        <w:t>sult, the assumed site ind</w:t>
      </w:r>
      <w:r w:rsidR="00F260AC">
        <w:t>ic</w:t>
      </w:r>
      <w:r w:rsidR="008F316F">
        <w:t>es (before any 5</w:t>
      </w:r>
      <w:r w:rsidR="008F316F">
        <w:rPr>
          <w:rFonts w:cs="Calibri"/>
        </w:rPr>
        <w:t>′</w:t>
      </w:r>
      <w:r w:rsidR="008F316F">
        <w:t xml:space="preserve"> deduction</w:t>
      </w:r>
      <w:r w:rsidR="00D16B01">
        <w:t xml:space="preserve"> for conservativeness</w:t>
      </w:r>
      <w:r w:rsidR="008F316F">
        <w:t>)</w:t>
      </w:r>
      <w:r w:rsidR="000E1FFD">
        <w:t xml:space="preserve"> </w:t>
      </w:r>
      <w:r w:rsidR="00316BD1">
        <w:t xml:space="preserve">were up to ten ft. less than those in </w:t>
      </w:r>
      <w:r w:rsidR="00316BD1" w:rsidRPr="002B51B4">
        <w:rPr>
          <w:rFonts w:asciiTheme="minorHAnsi" w:hAnsiTheme="minorHAnsi" w:cstheme="minorHAnsi"/>
        </w:rPr>
        <w:t xml:space="preserve">Smalley </w:t>
      </w:r>
      <w:r w:rsidR="00316BD1" w:rsidRPr="002B51B4">
        <w:rPr>
          <w:rFonts w:asciiTheme="minorHAnsi" w:hAnsiTheme="minorHAnsi" w:cstheme="minorHAnsi"/>
        </w:rPr>
        <w:fldChar w:fldCharType="begin"/>
      </w:r>
      <w:r w:rsidR="00A87D07">
        <w:rPr>
          <w:rFonts w:asciiTheme="minorHAnsi" w:hAnsiTheme="minorHAnsi" w:cstheme="minorHAnsi"/>
        </w:rPr>
        <w:instrText xml:space="preserve"> ADDIN EN.CITE &lt;EndNote&gt;&lt;Cite ExcludeAuth="1"&gt;&lt;Author&gt;Smalley&lt;/Author&gt;&lt;Year&gt;1984&lt;/Year&gt;&lt;RecNum&gt;277&lt;/RecNum&gt;&lt;DisplayText&gt;(1984)&lt;/DisplayText&gt;&lt;record&gt;&lt;rec-number&gt;277&lt;/rec-number&gt;&lt;foreign-keys&gt;&lt;key app="EN" db-id="a90s5zadewrawxeer07v2f90xr5vxv022sat"&gt;277&lt;/key&gt;&lt;/foreign-keys&gt;&lt;ref-type name="Report"&gt;27&lt;/ref-type&gt;&lt;contributors&gt;&lt;authors&gt;&lt;author&gt;Smalley, Glendon W.&lt;/author&gt;&lt;/authors&gt;&lt;/contributors&gt;&lt;titles&gt;&lt;title&gt;Classification and evaluation for forest sites in the Cumberland Mountains. Gen. Tech. Rep. SO-50. New Orleans, LA: U.S. Dept of Agriculture, Forest Service, Southern Forest Experiment Station. 89 p&lt;/title&gt;&lt;/titles&gt;&lt;dates&gt;&lt;year&gt;1984&lt;/year&gt;&lt;/dates&gt;&lt;urls&gt;&lt;/urls&gt;&lt;/record&gt;&lt;/Cite&gt;&lt;/EndNote&gt;</w:instrText>
      </w:r>
      <w:r w:rsidR="00316BD1" w:rsidRPr="002B51B4">
        <w:rPr>
          <w:rFonts w:asciiTheme="minorHAnsi" w:hAnsiTheme="minorHAnsi" w:cstheme="minorHAnsi"/>
        </w:rPr>
        <w:fldChar w:fldCharType="separate"/>
      </w:r>
      <w:r w:rsidR="00A87D07">
        <w:rPr>
          <w:rFonts w:asciiTheme="minorHAnsi" w:hAnsiTheme="minorHAnsi" w:cstheme="minorHAnsi"/>
          <w:noProof/>
        </w:rPr>
        <w:t>(</w:t>
      </w:r>
      <w:hyperlink w:anchor="_ENREF_123" w:tooltip="Smalley, 1984 #277" w:history="1">
        <w:r w:rsidR="001E4C88">
          <w:rPr>
            <w:rFonts w:asciiTheme="minorHAnsi" w:hAnsiTheme="minorHAnsi" w:cstheme="minorHAnsi"/>
            <w:noProof/>
          </w:rPr>
          <w:t>1984</w:t>
        </w:r>
      </w:hyperlink>
      <w:r w:rsidR="00A87D07">
        <w:rPr>
          <w:rFonts w:asciiTheme="minorHAnsi" w:hAnsiTheme="minorHAnsi" w:cstheme="minorHAnsi"/>
          <w:noProof/>
        </w:rPr>
        <w:t>)</w:t>
      </w:r>
      <w:r w:rsidR="00316BD1" w:rsidRPr="002B51B4">
        <w:rPr>
          <w:rFonts w:asciiTheme="minorHAnsi" w:hAnsiTheme="minorHAnsi" w:cstheme="minorHAnsi"/>
        </w:rPr>
        <w:fldChar w:fldCharType="end"/>
      </w:r>
      <w:r w:rsidR="00316BD1">
        <w:rPr>
          <w:rFonts w:asciiTheme="minorHAnsi" w:hAnsiTheme="minorHAnsi" w:cstheme="minorHAnsi"/>
        </w:rPr>
        <w:t xml:space="preserve"> for </w:t>
      </w:r>
      <w:r w:rsidR="008F316F">
        <w:rPr>
          <w:rFonts w:asciiTheme="minorHAnsi" w:hAnsiTheme="minorHAnsi" w:cstheme="minorHAnsi"/>
        </w:rPr>
        <w:t xml:space="preserve">some </w:t>
      </w:r>
      <w:r w:rsidR="00316BD1">
        <w:rPr>
          <w:rFonts w:asciiTheme="minorHAnsi" w:hAnsiTheme="minorHAnsi" w:cstheme="minorHAnsi"/>
        </w:rPr>
        <w:t>oak species</w:t>
      </w:r>
      <w:r w:rsidR="00F260AC">
        <w:rPr>
          <w:rFonts w:asciiTheme="minorHAnsi" w:hAnsiTheme="minorHAnsi" w:cstheme="minorHAnsi"/>
        </w:rPr>
        <w:t>,</w:t>
      </w:r>
      <w:r w:rsidR="00316BD1">
        <w:rPr>
          <w:rFonts w:asciiTheme="minorHAnsi" w:hAnsiTheme="minorHAnsi" w:cstheme="minorHAnsi"/>
        </w:rPr>
        <w:t xml:space="preserve"> </w:t>
      </w:r>
      <w:r w:rsidR="006D5272">
        <w:rPr>
          <w:rFonts w:asciiTheme="minorHAnsi" w:hAnsiTheme="minorHAnsi" w:cstheme="minorHAnsi"/>
        </w:rPr>
        <w:t xml:space="preserve">up to </w:t>
      </w:r>
      <w:r w:rsidR="008F316F">
        <w:rPr>
          <w:rFonts w:asciiTheme="minorHAnsi" w:hAnsiTheme="minorHAnsi" w:cstheme="minorHAnsi"/>
        </w:rPr>
        <w:t>15</w:t>
      </w:r>
      <w:r w:rsidR="008F316F">
        <w:rPr>
          <w:rFonts w:cs="Calibri"/>
        </w:rPr>
        <w:t>′</w:t>
      </w:r>
      <w:r w:rsidR="006D5272">
        <w:rPr>
          <w:rFonts w:asciiTheme="minorHAnsi" w:hAnsiTheme="minorHAnsi" w:cstheme="minorHAnsi"/>
        </w:rPr>
        <w:t xml:space="preserve"> less for black cherry </w:t>
      </w:r>
      <w:r w:rsidR="006D5272" w:rsidRPr="00C04126">
        <w:rPr>
          <w:rFonts w:asciiTheme="minorHAnsi" w:hAnsiTheme="minorHAnsi" w:cstheme="minorHAnsi"/>
          <w:bCs/>
        </w:rPr>
        <w:t>(</w:t>
      </w:r>
      <w:proofErr w:type="spellStart"/>
      <w:r w:rsidR="006D5272" w:rsidRPr="00C04126">
        <w:rPr>
          <w:rStyle w:val="apple-style-span"/>
          <w:rFonts w:asciiTheme="minorHAnsi" w:hAnsiTheme="minorHAnsi" w:cstheme="minorHAnsi"/>
          <w:i/>
          <w:iCs/>
          <w:color w:val="000000"/>
        </w:rPr>
        <w:t>Prunus</w:t>
      </w:r>
      <w:proofErr w:type="spellEnd"/>
      <w:r w:rsidR="006D5272" w:rsidRPr="00C04126">
        <w:rPr>
          <w:rStyle w:val="apple-style-span"/>
          <w:rFonts w:asciiTheme="minorHAnsi" w:hAnsiTheme="minorHAnsi" w:cstheme="minorHAnsi"/>
          <w:i/>
          <w:iCs/>
          <w:color w:val="000000"/>
        </w:rPr>
        <w:t xml:space="preserve"> </w:t>
      </w:r>
      <w:proofErr w:type="spellStart"/>
      <w:r w:rsidR="006D5272" w:rsidRPr="00C04126">
        <w:rPr>
          <w:rStyle w:val="apple-style-span"/>
          <w:rFonts w:asciiTheme="minorHAnsi" w:hAnsiTheme="minorHAnsi" w:cstheme="minorHAnsi"/>
          <w:i/>
          <w:iCs/>
          <w:color w:val="000000"/>
        </w:rPr>
        <w:t>serotina</w:t>
      </w:r>
      <w:proofErr w:type="spellEnd"/>
      <w:r w:rsidR="006D5272" w:rsidRPr="00C04126">
        <w:rPr>
          <w:rFonts w:asciiTheme="minorHAnsi" w:hAnsiTheme="minorHAnsi" w:cstheme="minorHAnsi"/>
          <w:bCs/>
        </w:rPr>
        <w:t>)</w:t>
      </w:r>
      <w:r w:rsidR="008F316F">
        <w:rPr>
          <w:rFonts w:asciiTheme="minorHAnsi" w:hAnsiTheme="minorHAnsi" w:cstheme="minorHAnsi"/>
        </w:rPr>
        <w:t xml:space="preserve"> and</w:t>
      </w:r>
      <w:r w:rsidR="006D5272">
        <w:rPr>
          <w:rFonts w:asciiTheme="minorHAnsi" w:hAnsiTheme="minorHAnsi" w:cstheme="minorHAnsi"/>
        </w:rPr>
        <w:t xml:space="preserve"> black walnut (</w:t>
      </w:r>
      <w:proofErr w:type="spellStart"/>
      <w:r w:rsidR="006D5272" w:rsidRPr="00105F0D">
        <w:rPr>
          <w:rStyle w:val="apple-style-span"/>
          <w:rFonts w:asciiTheme="minorHAnsi" w:hAnsiTheme="minorHAnsi" w:cstheme="minorHAnsi"/>
          <w:i/>
          <w:iCs/>
          <w:color w:val="000000"/>
        </w:rPr>
        <w:t>Juglans</w:t>
      </w:r>
      <w:proofErr w:type="spellEnd"/>
      <w:r w:rsidR="006D5272" w:rsidRPr="00105F0D">
        <w:rPr>
          <w:rStyle w:val="apple-style-span"/>
          <w:rFonts w:asciiTheme="minorHAnsi" w:hAnsiTheme="minorHAnsi" w:cstheme="minorHAnsi"/>
          <w:i/>
          <w:iCs/>
          <w:color w:val="000000"/>
        </w:rPr>
        <w:t xml:space="preserve"> </w:t>
      </w:r>
      <w:proofErr w:type="spellStart"/>
      <w:r w:rsidR="006D5272" w:rsidRPr="00105F0D">
        <w:rPr>
          <w:rStyle w:val="apple-style-span"/>
          <w:rFonts w:asciiTheme="minorHAnsi" w:hAnsiTheme="minorHAnsi" w:cstheme="minorHAnsi"/>
          <w:i/>
          <w:iCs/>
          <w:color w:val="000000"/>
        </w:rPr>
        <w:t>nigra</w:t>
      </w:r>
      <w:proofErr w:type="spellEnd"/>
      <w:r w:rsidR="006D5272">
        <w:t>)</w:t>
      </w:r>
      <w:r w:rsidR="006D5272">
        <w:rPr>
          <w:rFonts w:asciiTheme="minorHAnsi" w:hAnsiTheme="minorHAnsi" w:cstheme="minorHAnsi"/>
        </w:rPr>
        <w:t xml:space="preserve">, and </w:t>
      </w:r>
      <w:r w:rsidR="008F316F">
        <w:rPr>
          <w:rFonts w:asciiTheme="minorHAnsi" w:hAnsiTheme="minorHAnsi" w:cstheme="minorHAnsi"/>
        </w:rPr>
        <w:t>up to 20</w:t>
      </w:r>
      <w:r w:rsidR="008F316F">
        <w:rPr>
          <w:rFonts w:cs="Calibri"/>
        </w:rPr>
        <w:t xml:space="preserve">′ </w:t>
      </w:r>
      <w:r w:rsidR="008F316F">
        <w:rPr>
          <w:rFonts w:asciiTheme="minorHAnsi" w:hAnsiTheme="minorHAnsi" w:cstheme="minorHAnsi"/>
        </w:rPr>
        <w:t xml:space="preserve">less for </w:t>
      </w:r>
      <w:r w:rsidR="006D5272">
        <w:rPr>
          <w:rFonts w:asciiTheme="minorHAnsi" w:hAnsiTheme="minorHAnsi" w:cstheme="minorHAnsi"/>
        </w:rPr>
        <w:t>yellow poplar (</w:t>
      </w:r>
      <w:r w:rsidR="006D5272" w:rsidRPr="006D5272">
        <w:rPr>
          <w:rStyle w:val="apple-style-span"/>
          <w:rFonts w:asciiTheme="minorHAnsi" w:hAnsiTheme="minorHAnsi" w:cstheme="minorHAnsi"/>
          <w:i/>
          <w:color w:val="000000"/>
        </w:rPr>
        <w:t xml:space="preserve">Liriodendron </w:t>
      </w:r>
      <w:proofErr w:type="spellStart"/>
      <w:r w:rsidR="006D5272">
        <w:rPr>
          <w:rFonts w:asciiTheme="minorHAnsi" w:hAnsiTheme="minorHAnsi" w:cstheme="minorHAnsi"/>
          <w:i/>
        </w:rPr>
        <w:t>Tulipifera</w:t>
      </w:r>
      <w:proofErr w:type="spellEnd"/>
      <w:r w:rsidR="006D5272">
        <w:rPr>
          <w:rFonts w:asciiTheme="minorHAnsi" w:hAnsiTheme="minorHAnsi" w:cstheme="minorHAnsi"/>
        </w:rPr>
        <w:t xml:space="preserve">). </w:t>
      </w:r>
      <w:r w:rsidR="00F260AC">
        <w:rPr>
          <w:rFonts w:asciiTheme="minorHAnsi" w:hAnsiTheme="minorHAnsi" w:cstheme="minorHAnsi"/>
        </w:rPr>
        <w:t xml:space="preserve"> </w:t>
      </w:r>
      <w:r w:rsidR="000776C3">
        <w:rPr>
          <w:rFonts w:asciiTheme="minorHAnsi" w:hAnsiTheme="minorHAnsi" w:cstheme="minorHAnsi"/>
        </w:rPr>
        <w:t xml:space="preserve">The level of difficulty in understanding the context of NRCS soil productivity data was the primary cause of this potential error.  </w:t>
      </w:r>
      <w:r w:rsidR="00583F8F">
        <w:rPr>
          <w:rFonts w:asciiTheme="minorHAnsi" w:hAnsiTheme="minorHAnsi" w:cstheme="minorHAnsi"/>
        </w:rPr>
        <w:t>Consequently, the</w:t>
      </w:r>
      <w:r w:rsidR="00F260AC">
        <w:rPr>
          <w:rFonts w:asciiTheme="minorHAnsi" w:hAnsiTheme="minorHAnsi" w:cstheme="minorHAnsi"/>
        </w:rPr>
        <w:t xml:space="preserve"> simulation model was </w:t>
      </w:r>
      <w:r w:rsidR="00583F8F">
        <w:rPr>
          <w:rFonts w:asciiTheme="minorHAnsi" w:hAnsiTheme="minorHAnsi" w:cstheme="minorHAnsi"/>
        </w:rPr>
        <w:t>even more</w:t>
      </w:r>
      <w:r w:rsidR="00B649AD">
        <w:rPr>
          <w:rFonts w:asciiTheme="minorHAnsi" w:hAnsiTheme="minorHAnsi" w:cstheme="minorHAnsi"/>
        </w:rPr>
        <w:t xml:space="preserve"> </w:t>
      </w:r>
      <w:r w:rsidR="00F260AC">
        <w:rPr>
          <w:rFonts w:asciiTheme="minorHAnsi" w:hAnsiTheme="minorHAnsi" w:cstheme="minorHAnsi"/>
        </w:rPr>
        <w:t xml:space="preserve">favorable to </w:t>
      </w:r>
      <w:r w:rsidR="00B649AD">
        <w:rPr>
          <w:rFonts w:asciiTheme="minorHAnsi" w:hAnsiTheme="minorHAnsi" w:cstheme="minorHAnsi"/>
        </w:rPr>
        <w:t xml:space="preserve">the relative height-growth of </w:t>
      </w:r>
      <w:r w:rsidR="00F260AC">
        <w:rPr>
          <w:rFonts w:asciiTheme="minorHAnsi" w:hAnsiTheme="minorHAnsi" w:cstheme="minorHAnsi"/>
        </w:rPr>
        <w:t>oak regeneration</w:t>
      </w:r>
      <w:r w:rsidR="007707FA">
        <w:rPr>
          <w:rFonts w:asciiTheme="minorHAnsi" w:hAnsiTheme="minorHAnsi" w:cstheme="minorHAnsi"/>
        </w:rPr>
        <w:t xml:space="preserve"> because oak regeneration exhibits a much more conservative growth strategy than intolerant species on good to excellent sites.  This height-growth advantage</w:t>
      </w:r>
      <w:r w:rsidR="00461ED5">
        <w:rPr>
          <w:rFonts w:asciiTheme="minorHAnsi" w:hAnsiTheme="minorHAnsi" w:cstheme="minorHAnsi"/>
        </w:rPr>
        <w:t xml:space="preserve"> was </w:t>
      </w:r>
      <w:r w:rsidR="009E7895">
        <w:rPr>
          <w:rFonts w:asciiTheme="minorHAnsi" w:hAnsiTheme="minorHAnsi" w:cstheme="minorHAnsi"/>
        </w:rPr>
        <w:t xml:space="preserve">perhaps </w:t>
      </w:r>
      <w:r w:rsidR="00461ED5">
        <w:rPr>
          <w:rFonts w:asciiTheme="minorHAnsi" w:hAnsiTheme="minorHAnsi" w:cstheme="minorHAnsi"/>
        </w:rPr>
        <w:t xml:space="preserve">justified by </w:t>
      </w:r>
      <w:r w:rsidR="00461ED5">
        <w:t xml:space="preserve">the oak-promoting intention of simulated </w:t>
      </w:r>
      <w:r w:rsidR="00461ED5">
        <w:lastRenderedPageBreak/>
        <w:t>treatments</w:t>
      </w:r>
      <w:r w:rsidR="00583F8F">
        <w:rPr>
          <w:rFonts w:asciiTheme="minorHAnsi" w:hAnsiTheme="minorHAnsi" w:cstheme="minorHAnsi"/>
        </w:rPr>
        <w:t>.  Likewise</w:t>
      </w:r>
      <w:r w:rsidR="000776C3">
        <w:rPr>
          <w:rFonts w:asciiTheme="minorHAnsi" w:hAnsiTheme="minorHAnsi" w:cstheme="minorHAnsi"/>
        </w:rPr>
        <w:t xml:space="preserve">, </w:t>
      </w:r>
      <w:r w:rsidR="00B649AD">
        <w:rPr>
          <w:rFonts w:asciiTheme="minorHAnsi" w:hAnsiTheme="minorHAnsi" w:cstheme="minorHAnsi"/>
        </w:rPr>
        <w:t xml:space="preserve">forecasted </w:t>
      </w:r>
      <w:r w:rsidR="00CE4EE8">
        <w:rPr>
          <w:rFonts w:asciiTheme="minorHAnsi" w:hAnsiTheme="minorHAnsi" w:cstheme="minorHAnsi"/>
        </w:rPr>
        <w:t xml:space="preserve">stand </w:t>
      </w:r>
      <w:r w:rsidR="00B649AD">
        <w:rPr>
          <w:rFonts w:asciiTheme="minorHAnsi" w:hAnsiTheme="minorHAnsi" w:cstheme="minorHAnsi"/>
        </w:rPr>
        <w:t>growth was</w:t>
      </w:r>
      <w:r w:rsidR="00583F8F">
        <w:rPr>
          <w:rFonts w:asciiTheme="minorHAnsi" w:hAnsiTheme="minorHAnsi" w:cstheme="minorHAnsi"/>
        </w:rPr>
        <w:t xml:space="preserve"> </w:t>
      </w:r>
      <w:r w:rsidR="00B649AD">
        <w:rPr>
          <w:rFonts w:asciiTheme="minorHAnsi" w:hAnsiTheme="minorHAnsi" w:cstheme="minorHAnsi"/>
        </w:rPr>
        <w:t>more conservative</w:t>
      </w:r>
      <w:r w:rsidR="00F260AC">
        <w:rPr>
          <w:rFonts w:asciiTheme="minorHAnsi" w:hAnsiTheme="minorHAnsi" w:cstheme="minorHAnsi"/>
        </w:rPr>
        <w:t xml:space="preserve"> than </w:t>
      </w:r>
      <w:r w:rsidR="00B649AD">
        <w:rPr>
          <w:rFonts w:asciiTheme="minorHAnsi" w:hAnsiTheme="minorHAnsi" w:cstheme="minorHAnsi"/>
        </w:rPr>
        <w:t xml:space="preserve">what </w:t>
      </w:r>
      <w:r w:rsidR="00F260AC">
        <w:rPr>
          <w:rFonts w:asciiTheme="minorHAnsi" w:hAnsiTheme="minorHAnsi" w:cstheme="minorHAnsi"/>
        </w:rPr>
        <w:t xml:space="preserve">was originally </w:t>
      </w:r>
      <w:r w:rsidR="00583F8F">
        <w:rPr>
          <w:rFonts w:asciiTheme="minorHAnsi" w:hAnsiTheme="minorHAnsi" w:cstheme="minorHAnsi"/>
        </w:rPr>
        <w:t>intended</w:t>
      </w:r>
      <w:r w:rsidR="00F260AC">
        <w:rPr>
          <w:rFonts w:asciiTheme="minorHAnsi" w:hAnsiTheme="minorHAnsi" w:cstheme="minorHAnsi"/>
        </w:rPr>
        <w:t>.</w:t>
      </w:r>
      <w:r w:rsidR="00D16B01">
        <w:rPr>
          <w:rFonts w:asciiTheme="minorHAnsi" w:hAnsiTheme="minorHAnsi" w:cstheme="minorHAnsi"/>
        </w:rPr>
        <w:t xml:space="preserve"> </w:t>
      </w:r>
      <w:r w:rsidR="00D16B01" w:rsidRPr="00D16B01">
        <w:rPr>
          <w:rFonts w:asciiTheme="minorHAnsi" w:hAnsiTheme="minorHAnsi" w:cstheme="minorHAnsi"/>
        </w:rPr>
        <w:t xml:space="preserve"> </w:t>
      </w:r>
      <w:r w:rsidR="00FC434C">
        <w:rPr>
          <w:rFonts w:asciiTheme="minorHAnsi" w:hAnsiTheme="minorHAnsi" w:cstheme="minorHAnsi"/>
        </w:rPr>
        <w:t>However</w:t>
      </w:r>
      <w:r w:rsidR="00D16B01" w:rsidRPr="00D16B01">
        <w:rPr>
          <w:rFonts w:asciiTheme="minorHAnsi" w:hAnsiTheme="minorHAnsi" w:cstheme="minorHAnsi"/>
        </w:rPr>
        <w:t>, the overall degree of conservatism is unclear given that the exact effects of other adjusted parameters and augmentations of the model, contributing to and detracting from this negative bias, were not evaluated.</w:t>
      </w:r>
    </w:p>
    <w:p w:rsidR="00A22CFA" w:rsidRPr="002B58DD" w:rsidRDefault="00E637C1" w:rsidP="00A75A49">
      <w:pPr>
        <w:numPr>
          <w:ilvl w:val="1"/>
          <w:numId w:val="16"/>
        </w:numPr>
        <w:spacing w:line="480" w:lineRule="auto"/>
        <w:rPr>
          <w:b/>
          <w:bCs/>
          <w:i/>
        </w:rPr>
      </w:pPr>
      <w:r>
        <w:rPr>
          <w:rFonts w:cs="TimesNewRomanPSMT"/>
          <w:b/>
          <w:bCs/>
          <w:i/>
        </w:rPr>
        <w:t>Simulation Assumptions</w:t>
      </w:r>
    </w:p>
    <w:p w:rsidR="004E608B" w:rsidRDefault="00594D95" w:rsidP="00353FE0">
      <w:pPr>
        <w:autoSpaceDE w:val="0"/>
        <w:autoSpaceDN w:val="0"/>
        <w:adjustRightInd w:val="0"/>
        <w:spacing w:line="480" w:lineRule="auto"/>
        <w:ind w:firstLine="720"/>
      </w:pPr>
      <w:r w:rsidRPr="005E0A11">
        <w:t xml:space="preserve">First it is important to </w:t>
      </w:r>
      <w:r w:rsidR="007B3D42">
        <w:t>point out</w:t>
      </w:r>
      <w:r w:rsidRPr="005E0A11">
        <w:t xml:space="preserve"> that management simulated from the 84</w:t>
      </w:r>
      <w:r w:rsidR="004E608B">
        <w:t>’</w:t>
      </w:r>
      <w:r w:rsidRPr="005E0A11">
        <w:t xml:space="preserve"> CFI data set did not take 94</w:t>
      </w:r>
      <w:r w:rsidR="004E608B">
        <w:t>’</w:t>
      </w:r>
      <w:r w:rsidRPr="005E0A11">
        <w:t xml:space="preserve"> measurements into account</w:t>
      </w:r>
      <w:r w:rsidR="005E0A11" w:rsidRPr="005E0A11">
        <w:t xml:space="preserve"> </w:t>
      </w:r>
      <w:r w:rsidR="0042358E">
        <w:t xml:space="preserve">to the extent practicable </w:t>
      </w:r>
      <w:r w:rsidR="005E0A11" w:rsidRPr="005E0A11">
        <w:t>since this information would not be known in reality</w:t>
      </w:r>
      <w:r w:rsidR="00827DD6">
        <w:t xml:space="preserve"> at the outset of an IFM project</w:t>
      </w:r>
      <w:r w:rsidR="005E0A11">
        <w:rPr>
          <w:rStyle w:val="FootnoteReference"/>
        </w:rPr>
        <w:footnoteReference w:id="12"/>
      </w:r>
      <w:r w:rsidRPr="005E0A11">
        <w:t>.</w:t>
      </w:r>
      <w:r w:rsidR="007C1F40">
        <w:t xml:space="preserve"> </w:t>
      </w:r>
      <w:r>
        <w:t xml:space="preserve"> </w:t>
      </w:r>
      <w:r w:rsidR="00353FE0">
        <w:rPr>
          <w:rFonts w:asciiTheme="minorHAnsi" w:hAnsiTheme="minorHAnsi" w:cstheme="minorHAnsi"/>
        </w:rPr>
        <w:t>The</w:t>
      </w:r>
      <w:r w:rsidR="00A648B4">
        <w:t xml:space="preserve"> hypothetical FFO timberland </w:t>
      </w:r>
      <w:r w:rsidR="007C1F40">
        <w:t xml:space="preserve">assessed </w:t>
      </w:r>
      <w:r w:rsidR="00A648B4">
        <w:t xml:space="preserve">was assumed to be 400ac given the </w:t>
      </w:r>
      <w:r w:rsidR="00470D67">
        <w:t>ten</w:t>
      </w:r>
      <w:r w:rsidR="00E56933">
        <w:t>-</w:t>
      </w:r>
      <w:r w:rsidR="007C1F40">
        <w:t xml:space="preserve">stand </w:t>
      </w:r>
      <w:r w:rsidR="004E608B">
        <w:t xml:space="preserve">simulation design </w:t>
      </w:r>
      <w:r w:rsidR="007C1F40">
        <w:t xml:space="preserve">and the </w:t>
      </w:r>
      <w:r w:rsidR="00A648B4">
        <w:t xml:space="preserve">CAR 40ac limit to </w:t>
      </w:r>
      <w:r w:rsidR="003222D1">
        <w:t xml:space="preserve">contiguous </w:t>
      </w:r>
      <w:r w:rsidR="00A648B4">
        <w:t xml:space="preserve">even-age treatments.  </w:t>
      </w:r>
      <w:r w:rsidR="00D37A8D">
        <w:t xml:space="preserve">Best management practices (BMPs) </w:t>
      </w:r>
      <w:r w:rsidR="006F682D">
        <w:t xml:space="preserve">for both scenarios </w:t>
      </w:r>
      <w:r w:rsidR="00D37A8D">
        <w:t>were assumed to include practices found</w:t>
      </w:r>
      <w:r w:rsidR="00D37A8D" w:rsidRPr="00BB7804">
        <w:t xml:space="preserve"> </w:t>
      </w:r>
      <w:r w:rsidR="00D37A8D">
        <w:t xml:space="preserve">by Shaffer et al. </w:t>
      </w:r>
      <w:r w:rsidR="00D37A8D">
        <w:fldChar w:fldCharType="begin"/>
      </w:r>
      <w:r w:rsidR="00A87D07">
        <w:instrText xml:space="preserve"> ADDIN EN.CITE &lt;EndNote&gt;&lt;Cite ExcludeAuth="1"&gt;&lt;Author&gt;Shaffer&lt;/Author&gt;&lt;Year&gt;1998&lt;/Year&gt;&lt;RecNum&gt;162&lt;/RecNum&gt;&lt;DisplayText&gt;(1998)&lt;/DisplayText&gt;&lt;record&gt;&lt;rec-number&gt;162&lt;/rec-number&gt;&lt;foreign-keys&gt;&lt;key app="EN" db-id="a90s5zadewrawxeer07v2f90xr5vxv022sat"&gt;162&lt;/key&gt;&lt;/foreign-keys&gt;&lt;ref-type name="Journal Article"&gt;17&lt;/ref-type&gt;&lt;contributors&gt;&lt;authors&gt;&lt;author&gt;Shaffer, R.M.&lt;/author&gt;&lt;author&gt;Haney, H.L., Jr.&lt;/author&gt;&lt;author&gt;Worrell, E.G.&lt;/author&gt;&lt;author&gt;Aust, W.M.&lt;/author&gt;&lt;/authors&gt;&lt;/contributors&gt;&lt;titles&gt;&lt;title&gt;Forestry BMP Implementation Costs for Virginia&lt;/title&gt;&lt;secondary-title&gt;Forest Products Journal&lt;/secondary-title&gt;&lt;/titles&gt;&lt;periodical&gt;&lt;full-title&gt;Forest Products Journal&lt;/full-title&gt;&lt;abbr-1&gt;For. Prod. J.&lt;/abbr-1&gt;&lt;/periodical&gt;&lt;pages&gt;27-29&lt;/pages&gt;&lt;volume&gt; 48&lt;/volume&gt;&lt;number&gt;9&lt;/number&gt;&lt;dates&gt;&lt;year&gt;1998&lt;/year&gt;&lt;/dates&gt;&lt;urls&gt;&lt;related-urls&gt;&lt;url&gt;http://www.treesearch.fs.fed.us/pubs/1421&lt;/url&gt;&lt;/related-urls&gt;&lt;/urls&gt;&lt;/record&gt;&lt;/Cite&gt;&lt;/EndNote&gt;</w:instrText>
      </w:r>
      <w:r w:rsidR="00D37A8D">
        <w:fldChar w:fldCharType="separate"/>
      </w:r>
      <w:r w:rsidR="00A87D07">
        <w:rPr>
          <w:noProof/>
        </w:rPr>
        <w:t>(</w:t>
      </w:r>
      <w:hyperlink w:anchor="_ENREF_120" w:tooltip="Shaffer, 1998 #162" w:history="1">
        <w:r w:rsidR="001E4C88">
          <w:rPr>
            <w:noProof/>
          </w:rPr>
          <w:t>1998</w:t>
        </w:r>
      </w:hyperlink>
      <w:r w:rsidR="00A87D07">
        <w:rPr>
          <w:noProof/>
        </w:rPr>
        <w:t>)</w:t>
      </w:r>
      <w:r w:rsidR="00D37A8D">
        <w:fldChar w:fldCharType="end"/>
      </w:r>
      <w:r w:rsidR="00D37A8D">
        <w:t xml:space="preserve"> to be employed on harvest sites in the Virginia mountains in average intensities, which included about half a mile of haul road construction.  </w:t>
      </w:r>
      <w:r w:rsidR="00F906F8">
        <w:t>F</w:t>
      </w:r>
      <w:r w:rsidR="006F682D">
        <w:t>indings by</w:t>
      </w:r>
      <w:r w:rsidR="00F906F8">
        <w:t xml:space="preserve"> </w:t>
      </w:r>
      <w:proofErr w:type="spellStart"/>
      <w:r w:rsidR="00F906F8">
        <w:t>Kochenderfer</w:t>
      </w:r>
      <w:proofErr w:type="spellEnd"/>
      <w:r w:rsidR="006F682D">
        <w:t xml:space="preserve"> </w:t>
      </w:r>
      <w:r w:rsidR="006F682D">
        <w:fldChar w:fldCharType="begin"/>
      </w:r>
      <w:r w:rsidR="00A87D07">
        <w:instrText xml:space="preserve"> ADDIN EN.CITE &lt;EndNote&gt;&lt;Cite ExcludeAuth="1"&gt;&lt;Author&gt;Kochenderfer&lt;/Author&gt;&lt;Year&gt;1977&lt;/Year&gt;&lt;RecNum&gt;231&lt;/RecNum&gt;&lt;DisplayText&gt;(1977)&lt;/DisplayText&gt;&lt;record&gt;&lt;rec-number&gt;231&lt;/rec-number&gt;&lt;foreign-keys&gt;&lt;key app="EN" db-id="a90s5zadewrawxeer07v2f90xr5vxv022sat"&gt;231&lt;/key&gt;&lt;/foreign-keys&gt;&lt;ref-type name="Journal Article"&gt;17&lt;/ref-type&gt;&lt;contributors&gt;&lt;authors&gt;&lt;author&gt;Kochenderfer, J.N.&lt;/author&gt;&lt;/authors&gt;&lt;/contributors&gt;&lt;titles&gt;&lt;title&gt;Area in skidroads, truck roads, and landings in the central Appalachians&lt;/title&gt;&lt;secondary-title&gt;Journal of Forestry&lt;/secondary-title&gt;&lt;/titles&gt;&lt;periodical&gt;&lt;full-title&gt;Journal of Forestry&lt;/full-title&gt;&lt;abbr-1&gt;J. For.&lt;/abbr-1&gt;&lt;/periodical&gt;&lt;pages&gt;507-508&lt;/pages&gt;&lt;volume&gt;75&lt;/volume&gt;&lt;dates&gt;&lt;year&gt;1977&lt;/year&gt;&lt;/dates&gt;&lt;urls&gt;&lt;/urls&gt;&lt;/record&gt;&lt;/Cite&gt;&lt;/EndNote&gt;</w:instrText>
      </w:r>
      <w:r w:rsidR="006F682D">
        <w:fldChar w:fldCharType="separate"/>
      </w:r>
      <w:r w:rsidR="00A87D07">
        <w:rPr>
          <w:noProof/>
        </w:rPr>
        <w:t>(</w:t>
      </w:r>
      <w:hyperlink w:anchor="_ENREF_78" w:tooltip="Kochenderfer, 1977 #231" w:history="1">
        <w:r w:rsidR="001E4C88">
          <w:rPr>
            <w:noProof/>
          </w:rPr>
          <w:t>1977</w:t>
        </w:r>
      </w:hyperlink>
      <w:r w:rsidR="00A87D07">
        <w:rPr>
          <w:noProof/>
        </w:rPr>
        <w:t>)</w:t>
      </w:r>
      <w:r w:rsidR="006F682D">
        <w:fldChar w:fldCharType="end"/>
      </w:r>
      <w:r w:rsidR="006F682D">
        <w:t xml:space="preserve"> suggest that this distance would be </w:t>
      </w:r>
      <w:r w:rsidR="00F906F8">
        <w:t>enough to harvest only</w:t>
      </w:r>
      <w:r w:rsidR="00122570">
        <w:t xml:space="preserve"> about 25 percent of each stand, as all stands had </w:t>
      </w:r>
      <w:r w:rsidR="00F906F8">
        <w:t>slopes of 30 percent</w:t>
      </w:r>
      <w:r w:rsidR="006F682D">
        <w:t xml:space="preserve"> </w:t>
      </w:r>
      <w:r w:rsidR="00F906F8">
        <w:t>or greater</w:t>
      </w:r>
      <w:r w:rsidR="006F682D">
        <w:t xml:space="preserve">.  </w:t>
      </w:r>
      <w:r w:rsidR="003634D1">
        <w:t>Although the steep ter</w:t>
      </w:r>
      <w:r w:rsidR="008E4218">
        <w:t xml:space="preserve">rain modeled here would </w:t>
      </w:r>
      <w:r w:rsidR="003634D1">
        <w:t xml:space="preserve">require some amount of road (re)construction preceding harvest operations, it was assumed that road construction beyond </w:t>
      </w:r>
      <w:r w:rsidR="00F260AC">
        <w:t>that</w:t>
      </w:r>
      <w:r w:rsidR="003634D1">
        <w:t xml:space="preserve"> described here was not required.  </w:t>
      </w:r>
      <w:r w:rsidR="00D37A8D">
        <w:t xml:space="preserve">In effect, this implies that all additional BMP and other logging costs are assumed by the logging company and are </w:t>
      </w:r>
      <w:r w:rsidR="00C10108">
        <w:t>included in the</w:t>
      </w:r>
      <w:r w:rsidR="00D37A8D">
        <w:t xml:space="preserve"> </w:t>
      </w:r>
      <w:r w:rsidR="00C10108">
        <w:t xml:space="preserve">applied </w:t>
      </w:r>
      <w:r w:rsidR="00D37A8D">
        <w:t>stumpage</w:t>
      </w:r>
      <w:r w:rsidR="00C10108">
        <w:t xml:space="preserve"> </w:t>
      </w:r>
      <w:r w:rsidR="00303CA7">
        <w:t xml:space="preserve">(value above the stump) </w:t>
      </w:r>
      <w:r w:rsidR="00C10108">
        <w:t>rates</w:t>
      </w:r>
      <w:r w:rsidR="00D37A8D">
        <w:t>.</w:t>
      </w:r>
    </w:p>
    <w:p w:rsidR="001F3840" w:rsidRPr="009838FA" w:rsidRDefault="001F3840" w:rsidP="001F3840">
      <w:pPr>
        <w:numPr>
          <w:ilvl w:val="3"/>
          <w:numId w:val="16"/>
        </w:numPr>
        <w:spacing w:line="480" w:lineRule="auto"/>
        <w:rPr>
          <w:b/>
          <w:bCs/>
          <w:i/>
        </w:rPr>
      </w:pPr>
      <w:r>
        <w:rPr>
          <w:rFonts w:cs="TimesNewRomanPSMT"/>
          <w:b/>
          <w:bCs/>
          <w:i/>
        </w:rPr>
        <w:t>Harvesting System, Schedule</w:t>
      </w:r>
      <w:r w:rsidR="005766C0">
        <w:rPr>
          <w:rFonts w:cs="TimesNewRomanPSMT"/>
          <w:b/>
          <w:bCs/>
          <w:i/>
        </w:rPr>
        <w:t>,</w:t>
      </w:r>
      <w:r>
        <w:rPr>
          <w:rFonts w:cs="TimesNewRomanPSMT"/>
          <w:b/>
          <w:bCs/>
          <w:i/>
        </w:rPr>
        <w:t xml:space="preserve"> and </w:t>
      </w:r>
      <w:r w:rsidR="009838FA">
        <w:rPr>
          <w:rFonts w:cs="TimesNewRomanPSMT"/>
          <w:b/>
          <w:bCs/>
          <w:i/>
        </w:rPr>
        <w:t>Economics</w:t>
      </w:r>
    </w:p>
    <w:p w:rsidR="009838FA" w:rsidRDefault="009838FA" w:rsidP="009838FA">
      <w:pPr>
        <w:autoSpaceDE w:val="0"/>
        <w:autoSpaceDN w:val="0"/>
        <w:adjustRightInd w:val="0"/>
        <w:spacing w:line="480" w:lineRule="auto"/>
        <w:ind w:firstLine="720"/>
      </w:pPr>
      <w:r w:rsidRPr="00D60D4F">
        <w:t>Timber extraction via ground based yarding on steep Appalachian terrain requires the construction of a network of skidroads spaced roughly 150</w:t>
      </w:r>
      <w:r w:rsidRPr="009838FA">
        <w:rPr>
          <w:rFonts w:cs="Calibri"/>
        </w:rPr>
        <w:t>′</w:t>
      </w:r>
      <w:r w:rsidRPr="00D60D4F">
        <w:t xml:space="preserve"> apart</w:t>
      </w:r>
      <w:r>
        <w:t xml:space="preserve"> </w:t>
      </w:r>
      <w:r>
        <w:fldChar w:fldCharType="begin"/>
      </w:r>
      <w:r w:rsidR="00CE2DF2">
        <w:instrText xml:space="preserve"> ADDIN EN.CITE &lt;EndNote&gt;&lt;Cite&gt;&lt;Author&gt;KOCHENDERFER&lt;/Author&gt;&lt;Year&gt;1977&lt;/Year&gt;&lt;RecNum&gt;231&lt;/RecNum&gt;&lt;DisplayText&gt;(Kochenderfer 1977)&lt;/DisplayText&gt;&lt;record&gt;&lt;rec-number&gt;231&lt;/rec-number&gt;&lt;foreign-keys&gt;&lt;key app="EN" db-id="a90s5zadewrawxeer07v2f90xr5vxv022sat"&gt;231&lt;/key&gt;&lt;/foreign-keys&gt;&lt;ref-type name="Journal Article"&gt;17&lt;/ref-type&gt;&lt;contributors&gt;&lt;authors&gt;&lt;author&gt;Kochenderfer, J.N.&lt;/author&gt;&lt;/authors&gt;&lt;/contributors&gt;&lt;titles&gt;&lt;title&gt;Area in skidroads, truck roads, and landings in the central Appalachians&lt;/title&gt;&lt;secondary-title&gt;Journal of Forestry&lt;/secondary-title&gt;&lt;/titles&gt;&lt;periodical&gt;&lt;full-title&gt;Journal of Forestry&lt;/full-title&gt;&lt;abbr-1&gt;J. For.&lt;/abbr-1&gt;&lt;/periodical&gt;&lt;pages&gt;507-508&lt;/pages&gt;&lt;volume&gt;75&lt;/volume&gt;&lt;dates&gt;&lt;year&gt;1977&lt;/year&gt;&lt;/dates&gt;&lt;urls&gt;&lt;/urls&gt;&lt;/record&gt;&lt;/Cite&gt;&lt;/EndNote&gt;</w:instrText>
      </w:r>
      <w:r>
        <w:fldChar w:fldCharType="separate"/>
      </w:r>
      <w:r w:rsidR="00CE2DF2">
        <w:rPr>
          <w:noProof/>
        </w:rPr>
        <w:t>(</w:t>
      </w:r>
      <w:hyperlink w:anchor="_ENREF_78" w:tooltip="Kochenderfer, 1977 #231" w:history="1">
        <w:r w:rsidR="001E4C88">
          <w:rPr>
            <w:noProof/>
          </w:rPr>
          <w:t>Kochenderfer 1977</w:t>
        </w:r>
      </w:hyperlink>
      <w:r w:rsidR="00CE2DF2">
        <w:rPr>
          <w:noProof/>
        </w:rPr>
        <w:t>)</w:t>
      </w:r>
      <w:r>
        <w:fldChar w:fldCharType="end"/>
      </w:r>
      <w:r w:rsidRPr="00D60D4F">
        <w:t xml:space="preserve">.  Combined with the area </w:t>
      </w:r>
      <w:r>
        <w:t>converted to</w:t>
      </w:r>
      <w:r w:rsidRPr="00D60D4F">
        <w:t xml:space="preserve"> landings and truck roads, such an operation can permanently disturb over 10 percent of </w:t>
      </w:r>
      <w:r w:rsidR="002B58E9">
        <w:t>a</w:t>
      </w:r>
      <w:r w:rsidRPr="00D60D4F">
        <w:t xml:space="preserve"> tract.</w:t>
      </w:r>
      <w:r>
        <w:t xml:space="preserve">  </w:t>
      </w:r>
      <w:proofErr w:type="spellStart"/>
      <w:r>
        <w:t>Germain</w:t>
      </w:r>
      <w:proofErr w:type="spellEnd"/>
      <w:r>
        <w:t xml:space="preserve"> and </w:t>
      </w:r>
      <w:proofErr w:type="spellStart"/>
      <w:r>
        <w:lastRenderedPageBreak/>
        <w:t>Munsell</w:t>
      </w:r>
      <w:proofErr w:type="spellEnd"/>
      <w:r>
        <w:t xml:space="preserve"> </w:t>
      </w:r>
      <w:r w:rsidRPr="004A3A3B">
        <w:fldChar w:fldCharType="begin"/>
      </w:r>
      <w:r w:rsidR="00A87D07" w:rsidRPr="004A3A3B">
        <w:instrText xml:space="preserve"> ADDIN EN.CITE &lt;EndNote&gt;&lt;Cite ExcludeAuth="1"&gt;&lt;Author&gt;Germain&lt;/Author&gt;&lt;Year&gt;2005&lt;/Year&gt;&lt;RecNum&gt;256&lt;/RecNum&gt;&lt;DisplayText&gt;(2005)&lt;/DisplayText&gt;&lt;record&gt;&lt;rec-number&gt;256&lt;/rec-number&gt;&lt;foreign-keys&gt;&lt;key app="EN" db-id="a90s5zadewrawxeer07v2f90xr5vxv022sat"&gt;256&lt;/key&gt;&lt;/foreign-keys&gt;&lt;ref-type name="Journal Article"&gt;17&lt;/ref-type&gt;&lt;contributors&gt;&lt;authors&gt;&lt;author&gt;Germain, R.H.&lt;/author&gt;&lt;author&gt;J.F. Munsell  &lt;/author&gt;&lt;/authors&gt;&lt;/contributors&gt;&lt;titles&gt;&lt;title&gt;How Much Land is Needed for the Harvest Access System on Non-Industrial Private Forestlands Dominated by Northern Hardwoods?&lt;/title&gt;&lt;secondary-title&gt;Northern Journal of Applied Forestry&lt;/secondary-title&gt;&lt;/titles&gt;&lt;periodical&gt;&lt;full-title&gt;Northern Journal of Applied Forestry&lt;/full-title&gt;&lt;abbr-1&gt;North. J. Appl. For.&lt;/abbr-1&gt;&lt;/periodical&gt;&lt;pages&gt;243-247&lt;/pages&gt;&lt;volume&gt;22&lt;/volume&gt;&lt;number&gt;4&lt;/number&gt;&lt;dates&gt;&lt;year&gt;2005&lt;/year&gt;&lt;/dates&gt;&lt;urls&gt;&lt;/urls&gt;&lt;/record&gt;&lt;/Cite&gt;&lt;/EndNote&gt;</w:instrText>
      </w:r>
      <w:r w:rsidRPr="004A3A3B">
        <w:fldChar w:fldCharType="separate"/>
      </w:r>
      <w:r w:rsidR="00A87D07" w:rsidRPr="004A3A3B">
        <w:rPr>
          <w:noProof/>
        </w:rPr>
        <w:t>(</w:t>
      </w:r>
      <w:hyperlink w:anchor="_ENREF_59" w:tooltip="Germain, 2005 #256" w:history="1">
        <w:r w:rsidR="001E4C88" w:rsidRPr="004A3A3B">
          <w:rPr>
            <w:noProof/>
          </w:rPr>
          <w:t>2005</w:t>
        </w:r>
      </w:hyperlink>
      <w:r w:rsidR="00A87D07" w:rsidRPr="004A3A3B">
        <w:rPr>
          <w:noProof/>
        </w:rPr>
        <w:t>)</w:t>
      </w:r>
      <w:r w:rsidRPr="004A3A3B">
        <w:fldChar w:fldCharType="end"/>
      </w:r>
      <w:r w:rsidRPr="004A3A3B">
        <w:t xml:space="preserve"> found that a high degree of BMP implementation does not necessarily reduce surface area di</w:t>
      </w:r>
      <w:r w:rsidR="00930A4F" w:rsidRPr="004A3A3B">
        <w:t xml:space="preserve">sturbance and thereby might not be </w:t>
      </w:r>
      <w:r w:rsidR="004A3A3B" w:rsidRPr="004A3A3B">
        <w:t>enough</w:t>
      </w:r>
      <w:r w:rsidR="004A3A3B">
        <w:t xml:space="preserve"> to prevent </w:t>
      </w:r>
      <w:r w:rsidR="002B58E9">
        <w:t xml:space="preserve">significant </w:t>
      </w:r>
      <w:r w:rsidR="004A3A3B">
        <w:t>stream sedimentation.</w:t>
      </w:r>
      <w:r>
        <w:t xml:space="preserve">  In addition,</w:t>
      </w:r>
      <w:r w:rsidRPr="00771509">
        <w:t xml:space="preserve"> steep slopes and </w:t>
      </w:r>
      <w:proofErr w:type="spellStart"/>
      <w:r w:rsidRPr="00771509">
        <w:t>silty</w:t>
      </w:r>
      <w:proofErr w:type="spellEnd"/>
      <w:r w:rsidRPr="00771509">
        <w:t xml:space="preserve"> loam soils make logging more dangerous and </w:t>
      </w:r>
      <w:r>
        <w:t>e</w:t>
      </w:r>
      <w:r w:rsidRPr="00771509">
        <w:t>xpensive in the Cumberland Mountains.</w:t>
      </w:r>
      <w:r>
        <w:t xml:space="preserve">  Cable yarding can markedly reduce the surface area disturbed by equipment and haul roads </w:t>
      </w:r>
      <w:r>
        <w:fldChar w:fldCharType="begin"/>
      </w:r>
      <w:r w:rsidR="00CE2DF2">
        <w:instrText xml:space="preserve"> ADDIN EN.CITE &lt;EndNote&gt;&lt;Cite&gt;&lt;Author&gt;Kochenderfer&lt;/Author&gt;&lt;Year&gt;1978&lt;/Year&gt;&lt;RecNum&gt;176&lt;/RecNum&gt;&lt;DisplayText&gt;(Kochenderfer and Wendel 1978)&lt;/DisplayText&gt;&lt;record&gt;&lt;rec-number&gt;176&lt;/rec-number&gt;&lt;foreign-keys&gt;&lt;key app="EN" db-id="a90s5zadewrawxeer07v2f90xr5vxv022sat"&gt;176&lt;/key&gt;&lt;/foreign-keys&gt;&lt;ref-type name="Report"&gt;27&lt;/ref-type&gt;&lt;contributors&gt;&lt;authors&gt;&lt;author&gt;Kochenderfer, J. N.&lt;/author&gt;&lt;author&gt;Wendel, G. W.  &lt;/author&gt;&lt;/authors&gt;&lt;/contributors&gt;&lt;titles&gt;&lt;title&gt;Skyline Harvesting in Appalachia. Res. Pap. NE-400. Broomall, PA: U.S. Department of Agriculture, Forest Service, Northeastern Forest Experiment Station. 9p&lt;/title&gt;&lt;/titles&gt;&lt;dates&gt;&lt;year&gt;1978&lt;/year&gt;&lt;/dates&gt;&lt;urls&gt;&lt;related-urls&gt;&lt;url&gt;http://www.treesearch.fs.fed.us/pubs/14653&lt;/url&gt;&lt;/related-urls&gt;&lt;/urls&gt;&lt;/record&gt;&lt;/Cite&gt;&lt;/EndNote&gt;</w:instrText>
      </w:r>
      <w:r>
        <w:fldChar w:fldCharType="separate"/>
      </w:r>
      <w:r w:rsidR="00CE2DF2">
        <w:rPr>
          <w:noProof/>
        </w:rPr>
        <w:t>(</w:t>
      </w:r>
      <w:hyperlink w:anchor="_ENREF_79" w:tooltip="Kochenderfer, 1978 #176" w:history="1">
        <w:r w:rsidR="001E4C88">
          <w:rPr>
            <w:noProof/>
          </w:rPr>
          <w:t>Kochenderfer and Wendel 1978</w:t>
        </w:r>
      </w:hyperlink>
      <w:r w:rsidR="00CE2DF2">
        <w:rPr>
          <w:noProof/>
        </w:rPr>
        <w:t>)</w:t>
      </w:r>
      <w:r>
        <w:fldChar w:fldCharType="end"/>
      </w:r>
      <w:r>
        <w:t>, but simulating it would have overcomplicated forest modeling, requiring more assumptions and separate simulations to model yarding corridors.  In light of these findings, it was assumed that productivity was not diminished on the area disturbed in harvest operations and that roads and landings were reconstructed on previously disturbed areas such as former coal mining areas/roads (as opposed to construction on forested land).  This notion inherently rests on the assumption that contracted logging companies employ safer and lower-impact equipment</w:t>
      </w:r>
      <w:r w:rsidRPr="00446B2F">
        <w:t xml:space="preserve"> </w:t>
      </w:r>
      <w:r>
        <w:t>with highly skilled operators, such as steep-terrain harvesters with a carefully managed ground-based yarding system</w:t>
      </w:r>
      <w:r>
        <w:rPr>
          <w:rStyle w:val="FootnoteReference"/>
        </w:rPr>
        <w:footnoteReference w:id="13"/>
      </w:r>
      <w:r>
        <w:t xml:space="preserve">.  This non-conventional system would make </w:t>
      </w:r>
      <w:r w:rsidR="0081497E">
        <w:t>logging</w:t>
      </w:r>
      <w:r>
        <w:t xml:space="preserve"> operations relatively expensive, especially for small-diameter mechanical thinnings </w:t>
      </w:r>
      <w:r>
        <w:fldChar w:fldCharType="begin"/>
      </w:r>
      <w:r w:rsidR="00A87D07">
        <w:instrText xml:space="preserve"> ADDIN EN.CITE &lt;EndNote&gt;&lt;Cite&gt;&lt;Author&gt;Li&lt;/Author&gt;&lt;Year&gt;2006&lt;/Year&gt;&lt;RecNum&gt;255&lt;/RecNum&gt;&lt;DisplayText&gt;(Li et al. 2006)&lt;/DisplayText&gt;&lt;record&gt;&lt;rec-number&gt;255&lt;/rec-number&gt;&lt;foreign-keys&gt;&lt;key app="EN" db-id="a90s5zadewrawxeer07v2f90xr5vxv022sat"&gt;255&lt;/key&gt;&lt;/foreign-keys&gt;&lt;ref-type name="Journal Article"&gt;17&lt;/ref-type&gt;&lt;contributors&gt;&lt;authors&gt;&lt;author&gt;Li, Yaoxiang&lt;/author&gt;&lt;author&gt;Wang, Jingxin&lt;/author&gt;&lt;author&gt;Miller, Gary W.&lt;/author&gt;&lt;author&gt;McNeel, Joe&lt;/author&gt;&lt;/authors&gt;&lt;/contributors&gt;&lt;titles&gt;&lt;title&gt;Production economics of harvesting small-diameter hardwood stands in central Appalachia&lt;/title&gt;&lt;secondary-title&gt;Forest Products Journal&lt;/secondary-title&gt;&lt;/titles&gt;&lt;periodical&gt;&lt;full-title&gt;Forest Products Journal&lt;/full-title&gt;&lt;abbr-1&gt;For. Prod. J.&lt;/abbr-1&gt;&lt;/periodical&gt;&lt;pages&gt;81-86&lt;/pages&gt;&lt;volume&gt;56&lt;/volume&gt;&lt;number&gt;3&lt;/number&gt;&lt;dates&gt;&lt;year&gt;2006&lt;/year&gt;&lt;/dates&gt;&lt;urls&gt;&lt;/urls&gt;&lt;/record&gt;&lt;/Cite&gt;&lt;/EndNote&gt;</w:instrText>
      </w:r>
      <w:r>
        <w:fldChar w:fldCharType="separate"/>
      </w:r>
      <w:r w:rsidR="00A87D07">
        <w:rPr>
          <w:noProof/>
        </w:rPr>
        <w:t>(</w:t>
      </w:r>
      <w:hyperlink w:anchor="_ENREF_87" w:tooltip="Li, 2006 #255" w:history="1">
        <w:r w:rsidR="001E4C88">
          <w:rPr>
            <w:noProof/>
          </w:rPr>
          <w:t>Li et al. 2006</w:t>
        </w:r>
      </w:hyperlink>
      <w:r w:rsidR="00A87D07">
        <w:rPr>
          <w:noProof/>
        </w:rPr>
        <w:t>)</w:t>
      </w:r>
      <w:r>
        <w:fldChar w:fldCharType="end"/>
      </w:r>
      <w:r>
        <w:t xml:space="preserve">, but the extra expense </w:t>
      </w:r>
      <w:r w:rsidR="002B58E9">
        <w:t>could be somewhat or entirely</w:t>
      </w:r>
      <w:r>
        <w:t xml:space="preserve"> offset by increases in </w:t>
      </w:r>
      <w:proofErr w:type="spellStart"/>
      <w:r>
        <w:t>delimbing</w:t>
      </w:r>
      <w:proofErr w:type="spellEnd"/>
      <w:r>
        <w:t xml:space="preserve"> and log extraction efficiency </w:t>
      </w:r>
      <w:r>
        <w:fldChar w:fldCharType="begin"/>
      </w:r>
      <w:r w:rsidR="00A87D07">
        <w:instrText xml:space="preserve"> ADDIN EN.CITE &lt;EndNote&gt;&lt;Cite&gt;&lt;Author&gt;Rummer&lt;/Author&gt;&lt;Year&gt;2008&lt;/Year&gt;&lt;RecNum&gt;250&lt;/RecNum&gt;&lt;DisplayText&gt;(Rummer and Erwin 2008)&lt;/DisplayText&gt;&lt;record&gt;&lt;rec-number&gt;250&lt;/rec-number&gt;&lt;foreign-keys&gt;&lt;key app="EN" db-id="a90s5zadewrawxeer07v2f90xr5vxv022sat"&gt;250&lt;/key&gt;&lt;/foreign-keys&gt;&lt;ref-type name="Web Page"&gt;12&lt;/ref-type&gt;&lt;contributors&gt;&lt;authors&gt;&lt;author&gt;B. Rummer&lt;/author&gt;&lt;author&gt;C. Erwin&lt;/author&gt;&lt;/authors&gt;&lt;/contributors&gt;&lt;titles&gt;&lt;title&gt;Mechanical Felling&lt;/title&gt;&lt;/titles&gt;&lt;volume&gt;2010&lt;/volume&gt;&lt;number&gt;November 3&lt;/number&gt;&lt;edition&gt;Encyclopedia of Southern Appalachian Forest Ecosystems&lt;/edition&gt;&lt;dates&gt;&lt;year&gt;2008&lt;/year&gt;&lt;/dates&gt;&lt;urls&gt;&lt;related-urls&gt;&lt;url&gt;http://www.forestencyclopedia.net/p/p2276&lt;/url&gt;&lt;/related-urls&gt;&lt;/urls&gt;&lt;/record&gt;&lt;/Cite&gt;&lt;/EndNote&gt;</w:instrText>
      </w:r>
      <w:r>
        <w:fldChar w:fldCharType="separate"/>
      </w:r>
      <w:r w:rsidR="00A87D07">
        <w:rPr>
          <w:noProof/>
        </w:rPr>
        <w:t>(</w:t>
      </w:r>
      <w:hyperlink w:anchor="_ENREF_114" w:tooltip="Rummer, 2008 #250" w:history="1">
        <w:r w:rsidR="001E4C88">
          <w:rPr>
            <w:noProof/>
          </w:rPr>
          <w:t>Rummer and Erwin 2008</w:t>
        </w:r>
      </w:hyperlink>
      <w:r w:rsidR="00A87D07">
        <w:rPr>
          <w:noProof/>
        </w:rPr>
        <w:t>)</w:t>
      </w:r>
      <w:r>
        <w:fldChar w:fldCharType="end"/>
      </w:r>
      <w:r>
        <w:t>.</w:t>
      </w:r>
    </w:p>
    <w:p w:rsidR="009838FA" w:rsidRDefault="009838FA" w:rsidP="009838FA">
      <w:pPr>
        <w:spacing w:before="100" w:beforeAutospacing="1" w:after="100" w:afterAutospacing="1" w:line="480" w:lineRule="auto"/>
        <w:ind w:firstLine="720"/>
      </w:pPr>
      <w:r>
        <w:t xml:space="preserve">The most critical piece of this experiment’s design is the construction of harvest schedules.  Harvest schedules of the two contrasted scenarios and their underlying approaches to forest management were drawn from behaviors and trends observed in the forestry sector (including silvicultural guides) but </w:t>
      </w:r>
      <w:r w:rsidRPr="00BE3275">
        <w:t xml:space="preserve">were </w:t>
      </w:r>
      <w:r>
        <w:t>not determined empirically or based upon pre-existing models.  While starkly different attitudes and preferences may be ascribed to the hypothetical FFO in the business as usual management (BAU) scenario compared to the sustainable oak</w:t>
      </w:r>
      <w:r w:rsidR="000A2899">
        <w:t>-</w:t>
      </w:r>
      <w:r>
        <w:t xml:space="preserve">management (or project) scenario, economic considerations were the principal drivers of harvest timing in each.  In particular, simulated harvest timing was guided by the volume of potential removals, percent stocking (growing space per tree), mean diameter of overstory trees, risk of defect or mortality, and </w:t>
      </w:r>
      <w:r>
        <w:lastRenderedPageBreak/>
        <w:t>maximum diameters</w:t>
      </w:r>
      <w:r>
        <w:rPr>
          <w:rStyle w:val="FootnoteReference"/>
        </w:rPr>
        <w:footnoteReference w:id="14"/>
      </w:r>
      <w:r>
        <w:t>.  For obvious reasons, it had to be assumed that simulated harvest years coincided with sufficiently good timber markets.  It should also be noted that aggregate merchantable volume may be indicative of the opportunity for commercial (i.e. profitable) treatments but is just one of many determinants of whether timber extraction operations are indeed commercial.   Aside from volume ac</w:t>
      </w:r>
      <w:r w:rsidRPr="009838FA">
        <w:rPr>
          <w:vertAlign w:val="superscript"/>
        </w:rPr>
        <w:t>-1</w:t>
      </w:r>
      <w:r>
        <w:t>, t</w:t>
      </w:r>
      <w:r w:rsidRPr="00181CAA">
        <w:t xml:space="preserve">he viability of commercial thinning operations </w:t>
      </w:r>
      <w:r>
        <w:t>is</w:t>
      </w:r>
      <w:r w:rsidRPr="00181CAA">
        <w:t xml:space="preserve"> largely influenced by</w:t>
      </w:r>
      <w:r>
        <w:t xml:space="preserve"> timber markets, average tree size, proximity to a road, distance to mills, logging crew efficiency, and</w:t>
      </w:r>
      <w:r w:rsidRPr="00181CAA">
        <w:t xml:space="preserve"> </w:t>
      </w:r>
      <w:r>
        <w:t>extraction equipment utilized, among other factors</w:t>
      </w:r>
      <w:r w:rsidRPr="00181CAA">
        <w:t xml:space="preserve"> </w:t>
      </w:r>
      <w:r w:rsidRPr="00181CAA">
        <w:fldChar w:fldCharType="begin"/>
      </w:r>
      <w:r w:rsidR="00083723">
        <w:instrText xml:space="preserve"> ADDIN EN.CITE &lt;EndNote&gt;&lt;Cite&gt;&lt;Author&gt;LeDoux&lt;/Author&gt;&lt;Year&gt;2000&lt;/Year&gt;&lt;RecNum&gt;167&lt;/RecNum&gt;&lt;DisplayText&gt;(Ledoux 2000)&lt;/DisplayText&gt;&lt;record&gt;&lt;rec-number&gt;167&lt;/rec-number&gt;&lt;foreign-keys&gt;&lt;key app="EN" db-id="a90s5zadewrawxeer07v2f90xr5vxv022sat"&gt;167&lt;/key&gt;&lt;/foreign-keys&gt;&lt;ref-type name="Journal Article"&gt;17&lt;/ref-type&gt;&lt;contributors&gt;&lt;authors&gt;&lt;author&gt;LeDoux, Chris B.&lt;/author&gt;&lt;/authors&gt;&lt;/contributors&gt;&lt;titles&gt;&lt;title&gt;Matching Skidder Size to Wood Harvested to Increase Hardwood Fiber Availability: A Case Study&lt;/title&gt;&lt;secondary-title&gt;Forest Products Journal&lt;/secondary-title&gt;&lt;/titles&gt;&lt;periodical&gt;&lt;full-title&gt;Forest Products Journal&lt;/full-title&gt;&lt;abbr-1&gt;For. Prod. J.&lt;/abbr-1&gt;&lt;/periodical&gt;&lt;pages&gt;86-90&lt;/pages&gt;&lt;volume&gt;50&lt;/volume&gt;&lt;number&gt;10&lt;/number&gt;&lt;dates&gt;&lt;year&gt;2000&lt;/year&gt;&lt;/dates&gt;&lt;urls&gt;&lt;related-urls&gt;&lt;url&gt;http://www.treesearch.fs.fed.us/pubs/14452&lt;/url&gt;&lt;/related-urls&gt;&lt;/urls&gt;&lt;/record&gt;&lt;/Cite&gt;&lt;/EndNote&gt;</w:instrText>
      </w:r>
      <w:r w:rsidRPr="00181CAA">
        <w:fldChar w:fldCharType="separate"/>
      </w:r>
      <w:r w:rsidR="00083723">
        <w:rPr>
          <w:noProof/>
        </w:rPr>
        <w:t>(</w:t>
      </w:r>
      <w:hyperlink w:anchor="_ENREF_82" w:tooltip="LeDoux, 2000 #167" w:history="1">
        <w:r w:rsidR="001E4C88">
          <w:rPr>
            <w:noProof/>
          </w:rPr>
          <w:t>Ledoux 2000</w:t>
        </w:r>
      </w:hyperlink>
      <w:r w:rsidR="00083723">
        <w:rPr>
          <w:noProof/>
        </w:rPr>
        <w:t>)</w:t>
      </w:r>
      <w:r w:rsidRPr="00181CAA">
        <w:fldChar w:fldCharType="end"/>
      </w:r>
      <w:r>
        <w:t>.  Software that uses such variables to predict harvesting costs exists but was not deemed necessary.</w:t>
      </w:r>
    </w:p>
    <w:p w:rsidR="009838FA" w:rsidRDefault="009838FA" w:rsidP="009838FA">
      <w:pPr>
        <w:spacing w:before="100" w:beforeAutospacing="1" w:after="100" w:afterAutospacing="1" w:line="480" w:lineRule="auto"/>
        <w:ind w:firstLine="720"/>
      </w:pPr>
      <w:r>
        <w:t>Instead, logging costs were ignored for commercial thinning treatments performed during years in which regeneration harvests occurred,</w:t>
      </w:r>
      <w:r w:rsidRPr="009838FA">
        <w:rPr>
          <w:rFonts w:cs="TimesNewRomanPSMT"/>
        </w:rPr>
        <w:t xml:space="preserve"> because appreciable sawtimber removals provide cost advantages in harvesting poletimber</w:t>
      </w:r>
      <w:r>
        <w:t>.  At least 75 percent of Southern Appalachian private forests were estimated to have harvesting and hauling costs of over $1,000 ac</w:t>
      </w:r>
      <w:r w:rsidRPr="009838FA">
        <w:rPr>
          <w:vertAlign w:val="superscript"/>
        </w:rPr>
        <w:t>-1</w:t>
      </w:r>
      <w:r>
        <w:t xml:space="preserve"> </w:t>
      </w:r>
      <w:r>
        <w:fldChar w:fldCharType="begin"/>
      </w:r>
      <w:r w:rsidR="00A87D07">
        <w:instrText xml:space="preserve"> ADDIN EN.CITE &lt;EndNote&gt;&lt;Cite ExcludeAuth="1"&gt;&lt;Year&gt;Southern Appalachian Man and the Biosphere 1996&lt;/Year&gt;&lt;RecNum&gt;291&lt;/RecNum&gt;&lt;DisplayText&gt;(Southern Appalachian Man and the Biosphere 1996)&lt;/DisplayText&gt;&lt;record&gt;&lt;rec-number&gt;291&lt;/rec-number&gt;&lt;foreign-keys&gt;&lt;key app="EN" db-id="a90s5zadewrawxeer07v2f90xr5vxv022sat"&gt;291&lt;/key&gt;&lt;/foreign-keys&gt;&lt;ref-type name="Electronic Book Section"&gt;60&lt;/ref-type&gt;&lt;contributors&gt;&lt;/contributors&gt;&lt;titles&gt;&lt;title&gt;The Southern Appalachian Assessment Social/Cultural/Economic Technical Report. Report 4 of 5. Atlanta: U.S. Department of Agriculture, Forest Service, Southern Region&lt;/title&gt;&lt;/titles&gt;&lt;dates&gt;&lt;year&gt;Southern Appalachian Man and the Biosphere 1996&lt;/year&gt;&lt;/dates&gt;&lt;urls&gt;&lt;related-urls&gt;&lt;url&gt;http://sunsite.utk.edu/samab/saa/saa_reports.html&lt;/url&gt;&lt;/related-urls&gt;&lt;/urls&gt;&lt;/record&gt;&lt;/Cite&gt;&lt;/EndNote&gt;</w:instrText>
      </w:r>
      <w:r>
        <w:fldChar w:fldCharType="separate"/>
      </w:r>
      <w:r w:rsidR="00A87D07">
        <w:rPr>
          <w:noProof/>
        </w:rPr>
        <w:t>(</w:t>
      </w:r>
      <w:hyperlink w:anchor="_ENREF_9" w:tooltip=", Southern Appalachian Man and the Biosphere 1996 #291" w:history="1">
        <w:r w:rsidR="001E4C88">
          <w:rPr>
            <w:noProof/>
          </w:rPr>
          <w:t>Southern Appalachian Man and the Biosphere 1996</w:t>
        </w:r>
      </w:hyperlink>
      <w:r w:rsidR="00A87D07">
        <w:rPr>
          <w:noProof/>
        </w:rPr>
        <w:t>)</w:t>
      </w:r>
      <w:r>
        <w:fldChar w:fldCharType="end"/>
      </w:r>
      <w:r>
        <w:t xml:space="preserve">.  These costs are </w:t>
      </w:r>
      <w:r w:rsidR="002B58E9">
        <w:t>largely influenced by</w:t>
      </w:r>
      <w:r>
        <w:t xml:space="preserve"> slope steepness and are relatively high owing to the fact that over one-third of Southern Appalachian forests occupy slopes of </w:t>
      </w:r>
      <w:r w:rsidRPr="00D60D4F">
        <w:t>3</w:t>
      </w:r>
      <w:r>
        <w:t>5</w:t>
      </w:r>
      <w:r w:rsidRPr="00D60D4F">
        <w:t xml:space="preserve"> percent</w:t>
      </w:r>
      <w:r w:rsidR="005766C0">
        <w:t xml:space="preserve"> and above.  Such f</w:t>
      </w:r>
      <w:r>
        <w:t xml:space="preserve">elling and removal costs of common yields and field conditions are naturally incorporated into reported stumpage rates, so there is no need for further accounting of these costs for regeneration harvests and coinciding sawtimber yielding treatments.  </w:t>
      </w:r>
    </w:p>
    <w:p w:rsidR="002969ED" w:rsidRDefault="009838FA" w:rsidP="002969ED">
      <w:pPr>
        <w:spacing w:before="100" w:beforeAutospacing="1" w:after="100" w:afterAutospacing="1" w:line="480" w:lineRule="auto"/>
        <w:ind w:firstLine="720"/>
      </w:pPr>
      <w:r>
        <w:t>Likewise, harvested volumes from stream-side management zones (SMZs) in both scenarios appear large enough to assume their removal cost does not exceed those already embedded in stumpage rates.  In treatment years yieldin</w:t>
      </w:r>
      <w:r w:rsidR="005766C0">
        <w:t>g low</w:t>
      </w:r>
      <w:r>
        <w:t xml:space="preserve"> </w:t>
      </w:r>
      <w:r w:rsidR="005766C0">
        <w:t xml:space="preserve">commercial </w:t>
      </w:r>
      <w:r>
        <w:t xml:space="preserve">volumes, stumpage rates were used to estimate gross revenues from removals while associated costs of tree felling and chemical treatments were accounted for separately.  </w:t>
      </w:r>
      <w:r w:rsidR="00826813">
        <w:t xml:space="preserve">Given that </w:t>
      </w:r>
      <w:r w:rsidR="00406A88">
        <w:t>reported mean-prices</w:t>
      </w:r>
      <w:r w:rsidR="00826813">
        <w:t xml:space="preserve"> </w:t>
      </w:r>
      <w:r w:rsidR="00406A88">
        <w:t>emanate from a wide array of sources and on the ground circumstances,</w:t>
      </w:r>
      <w:r w:rsidR="00826813">
        <w:t xml:space="preserve"> </w:t>
      </w:r>
      <w:r w:rsidR="00406A88">
        <w:t>recent</w:t>
      </w:r>
      <w:r w:rsidR="00AC5481">
        <w:t xml:space="preserve"> and </w:t>
      </w:r>
      <w:r w:rsidR="00406A88">
        <w:lastRenderedPageBreak/>
        <w:t xml:space="preserve">optimistic </w:t>
      </w:r>
      <w:r w:rsidR="00AC5481">
        <w:t>s</w:t>
      </w:r>
      <w:r>
        <w:t>tumpage rates</w:t>
      </w:r>
      <w:r w:rsidR="00406A88">
        <w:t>,</w:t>
      </w:r>
      <w:r>
        <w:t xml:space="preserve"> from the James Sewall Company </w:t>
      </w:r>
      <w:r w:rsidR="00254A1D">
        <w:t>first</w:t>
      </w:r>
      <w:r>
        <w:t xml:space="preserve"> quarter 20</w:t>
      </w:r>
      <w:r w:rsidR="00254A1D">
        <w:t>11</w:t>
      </w:r>
      <w:r w:rsidR="00D11167">
        <w:t xml:space="preserve"> and second quarter 2007</w:t>
      </w:r>
      <w:r>
        <w:t xml:space="preserve"> eastern TN report</w:t>
      </w:r>
      <w:r w:rsidR="00826813">
        <w:t>s</w:t>
      </w:r>
      <w:r>
        <w:rPr>
          <w:rStyle w:val="FootnoteReference"/>
        </w:rPr>
        <w:footnoteReference w:id="15"/>
      </w:r>
      <w:r>
        <w:t xml:space="preserve"> </w:t>
      </w:r>
      <w:r w:rsidR="00AC5481">
        <w:t>respectfully</w:t>
      </w:r>
      <w:r w:rsidR="00406A88">
        <w:t>,</w:t>
      </w:r>
      <w:r w:rsidR="00AC5481">
        <w:t xml:space="preserve"> </w:t>
      </w:r>
      <w:r>
        <w:t xml:space="preserve">were used for year-one values and grown at a 1 percent rate </w:t>
      </w:r>
      <w:r w:rsidRPr="00F64D99">
        <w:t xml:space="preserve">annually thereafter.  This growth rate was inferred from projected real hardwood-sawtimber stumpage prices reported in Haynes et al. </w:t>
      </w:r>
      <w:r w:rsidRPr="00F64D99">
        <w:fldChar w:fldCharType="begin"/>
      </w:r>
      <w:r w:rsidR="00A87D07">
        <w:instrText xml:space="preserve"> ADDIN EN.CITE &lt;EndNote&gt;&lt;Cite ExcludeAuth="1"&gt;&lt;Author&gt;Haynes&lt;/Author&gt;&lt;Year&gt;2007&lt;/Year&gt;&lt;RecNum&gt;251&lt;/RecNum&gt;&lt;DisplayText&gt;(2007)&lt;/DisplayText&gt;&lt;record&gt;&lt;rec-number&gt;251&lt;/rec-number&gt;&lt;foreign-keys&gt;&lt;key app="EN" db-id="a90s5zadewrawxeer07v2f90xr5vxv022sat"&gt;251&lt;/key&gt;&lt;/foreign-keys&gt;&lt;ref-type name="Report"&gt;27&lt;/ref-type&gt;&lt;contributors&gt;&lt;authors&gt;&lt;author&gt;Haynes, Richard W.&lt;/author&gt;&lt;author&gt;Adams, Darius M.&lt;/author&gt;&lt;author&gt;Alig, Ralph J.&lt;/author&gt;&lt;author&gt;Ince, Peter J.&lt;/author&gt;&lt;author&gt;Mills, John R.&lt;/author&gt;&lt;author&gt;Zhou, Xiaoping&lt;/author&gt;&lt;/authors&gt;&lt;/contributors&gt;&lt;titles&gt;&lt;title&gt;The 2005 RPA timber assessment update. Gen. Tech. Rep. PNW-GTR-699. Portland, OR: U.S. Department of Agriculture, Forest Service, Pacific Northwest Research Station. 212 p&lt;/title&gt;&lt;/titles&gt;&lt;dates&gt;&lt;year&gt;2007&lt;/year&gt;&lt;/dates&gt;&lt;urls&gt;&lt;/urls&gt;&lt;/record&gt;&lt;/Cite&gt;&lt;/EndNote&gt;</w:instrText>
      </w:r>
      <w:r w:rsidRPr="00F64D99">
        <w:fldChar w:fldCharType="separate"/>
      </w:r>
      <w:r w:rsidR="00A87D07">
        <w:rPr>
          <w:noProof/>
        </w:rPr>
        <w:t>(</w:t>
      </w:r>
      <w:hyperlink w:anchor="_ENREF_68" w:tooltip="Haynes, 2007 #251" w:history="1">
        <w:r w:rsidR="001E4C88">
          <w:rPr>
            <w:noProof/>
          </w:rPr>
          <w:t>2007</w:t>
        </w:r>
      </w:hyperlink>
      <w:r w:rsidR="00A87D07">
        <w:rPr>
          <w:noProof/>
        </w:rPr>
        <w:t>)</w:t>
      </w:r>
      <w:r w:rsidRPr="00F64D99">
        <w:fldChar w:fldCharType="end"/>
      </w:r>
      <w:r w:rsidR="00930A4F">
        <w:t xml:space="preserve">, which could be too </w:t>
      </w:r>
      <w:r w:rsidR="00406A88">
        <w:t>optimistic</w:t>
      </w:r>
      <w:r w:rsidRPr="00F64D99">
        <w:t xml:space="preserve"> if the stagnant </w:t>
      </w:r>
      <w:r>
        <w:t xml:space="preserve">sawtimber </w:t>
      </w:r>
      <w:r w:rsidRPr="00F64D99">
        <w:t xml:space="preserve">price projections of </w:t>
      </w:r>
      <w:proofErr w:type="spellStart"/>
      <w:r w:rsidRPr="00F64D99">
        <w:t>Abt</w:t>
      </w:r>
      <w:proofErr w:type="spellEnd"/>
      <w:r w:rsidRPr="00F64D99">
        <w:t xml:space="preserve"> et al. </w:t>
      </w:r>
      <w:r w:rsidRPr="00F64D99">
        <w:fldChar w:fldCharType="begin"/>
      </w:r>
      <w:r w:rsidR="00A87D07">
        <w:instrText xml:space="preserve"> ADDIN EN.CITE &lt;EndNote&gt;&lt;Cite ExcludeAuth="1"&gt;&lt;Author&gt;Abt&lt;/Author&gt;&lt;Year&gt;2009&lt;/Year&gt;&lt;RecNum&gt;193&lt;/RecNum&gt;&lt;DisplayText&gt;(2009)&lt;/DisplayText&gt;&lt;record&gt;&lt;rec-number&gt;193&lt;/rec-number&gt;&lt;foreign-keys&gt;&lt;key app="EN" db-id="a90s5zadewrawxeer07v2f90xr5vxv022sat"&gt;193&lt;/key&gt;&lt;/foreign-keys&gt;&lt;ref-type name="Journal Article"&gt;17&lt;/ref-type&gt;&lt;contributors&gt;&lt;authors&gt;&lt;author&gt;Abt, Robert C.&lt;/author&gt;&lt;author&gt;Cubbage, Frederick W.&lt;/author&gt;&lt;author&gt;Abt, Karen L.&lt;/author&gt;&lt;/authors&gt;&lt;/contributors&gt;&lt;titles&gt;&lt;title&gt;Projecting southern timber supply for multiple products by subregion&lt;/title&gt;&lt;secondary-title&gt;Forest Products Journal&lt;/secondary-title&gt;&lt;alt-title&gt;Anglais&lt;/alt-title&gt;&lt;/titles&gt;&lt;periodical&gt;&lt;full-title&gt;Forest Products Journal&lt;/full-title&gt;&lt;abbr-1&gt;For. Prod. J.&lt;/abbr-1&gt;&lt;/periodical&gt;&lt;pages&gt;7-16&lt;/pages&gt;&lt;volume&gt;59&lt;/volume&gt;&lt;number&gt;7-8&lt;/number&gt;&lt;dates&gt;&lt;year&gt;2009&lt;/year&gt;&lt;/dates&gt;&lt;urls&gt;&lt;/urls&gt;&lt;language&gt;0015-7473&lt;/language&gt;&lt;/record&gt;&lt;/Cite&gt;&lt;/EndNote&gt;</w:instrText>
      </w:r>
      <w:r w:rsidRPr="00F64D99">
        <w:fldChar w:fldCharType="separate"/>
      </w:r>
      <w:r w:rsidR="00A87D07">
        <w:rPr>
          <w:noProof/>
        </w:rPr>
        <w:t>(</w:t>
      </w:r>
      <w:hyperlink w:anchor="_ENREF_17" w:tooltip="Abt, 2009 #193" w:history="1">
        <w:r w:rsidR="001E4C88">
          <w:rPr>
            <w:noProof/>
          </w:rPr>
          <w:t>2009</w:t>
        </w:r>
      </w:hyperlink>
      <w:r w:rsidR="00A87D07">
        <w:rPr>
          <w:noProof/>
        </w:rPr>
        <w:t>)</w:t>
      </w:r>
      <w:r w:rsidRPr="00F64D99">
        <w:fldChar w:fldCharType="end"/>
      </w:r>
      <w:r w:rsidRPr="00F64D99">
        <w:t xml:space="preserve"> become a reality</w:t>
      </w:r>
      <w:r w:rsidRPr="006E3F82">
        <w:t xml:space="preserve"> </w:t>
      </w:r>
      <w:r>
        <w:t>(over the 17 years following the</w:t>
      </w:r>
      <w:r w:rsidR="00D676BF">
        <w:t>ir</w:t>
      </w:r>
      <w:r>
        <w:t xml:space="preserve"> assumed post-recession price recovery)</w:t>
      </w:r>
      <w:r w:rsidRPr="00F64D99">
        <w:t xml:space="preserve">.  </w:t>
      </w:r>
      <w:r w:rsidR="002B58E9" w:rsidRPr="002B58E9">
        <w:t>In addition, th</w:t>
      </w:r>
      <w:r w:rsidR="00D676BF">
        <w:t>is</w:t>
      </w:r>
      <w:r w:rsidR="002B58E9" w:rsidRPr="002B58E9">
        <w:t xml:space="preserve"> economic analysis employed </w:t>
      </w:r>
      <w:r w:rsidR="00DE055B">
        <w:t xml:space="preserve">common </w:t>
      </w:r>
      <w:r w:rsidR="005B76BD">
        <w:t>financial accounting method</w:t>
      </w:r>
      <w:r w:rsidR="00392B28">
        <w:t>s;</w:t>
      </w:r>
      <w:r w:rsidR="0000241F">
        <w:t xml:space="preserve"> </w:t>
      </w:r>
      <w:r w:rsidR="00392B28">
        <w:t xml:space="preserve">revenues </w:t>
      </w:r>
      <w:r w:rsidR="00531D08">
        <w:t xml:space="preserve">(timber/carbon) </w:t>
      </w:r>
      <w:r w:rsidR="00392B28">
        <w:t>were computed</w:t>
      </w:r>
      <w:r w:rsidR="0000241F">
        <w:t xml:space="preserve"> with prices given by the assumed price growth trajectory and </w:t>
      </w:r>
      <w:r w:rsidR="00531D08">
        <w:t>all</w:t>
      </w:r>
      <w:r w:rsidR="00392B28">
        <w:t xml:space="preserve"> </w:t>
      </w:r>
      <w:r w:rsidR="0000241F">
        <w:t xml:space="preserve">cash flows </w:t>
      </w:r>
      <w:r w:rsidR="005B76BD">
        <w:t>(</w:t>
      </w:r>
      <w:r w:rsidR="00531D08">
        <w:t>positive/</w:t>
      </w:r>
      <w:r w:rsidR="005B76BD">
        <w:t>negative</w:t>
      </w:r>
      <w:r w:rsidR="00531D08">
        <w:t>)</w:t>
      </w:r>
      <w:r w:rsidR="005B76BD">
        <w:t xml:space="preserve"> </w:t>
      </w:r>
      <w:r w:rsidR="00531D08">
        <w:t xml:space="preserve">were converted </w:t>
      </w:r>
      <w:r w:rsidR="0000241F">
        <w:t>to present v</w:t>
      </w:r>
      <w:r w:rsidR="00D676BF">
        <w:t>alues using the discount rate.</w:t>
      </w:r>
    </w:p>
    <w:p w:rsidR="009838FA" w:rsidRPr="002B58DD" w:rsidRDefault="009838FA" w:rsidP="001F3840">
      <w:pPr>
        <w:numPr>
          <w:ilvl w:val="3"/>
          <w:numId w:val="16"/>
        </w:numPr>
        <w:spacing w:line="480" w:lineRule="auto"/>
        <w:rPr>
          <w:b/>
          <w:bCs/>
          <w:i/>
        </w:rPr>
      </w:pPr>
      <w:r>
        <w:rPr>
          <w:rFonts w:cs="TimesNewRomanPSMT"/>
          <w:b/>
          <w:bCs/>
          <w:i/>
        </w:rPr>
        <w:t>Timber Volume Calculations and Merchantability Assumptions</w:t>
      </w:r>
    </w:p>
    <w:p w:rsidR="006B462E" w:rsidRDefault="00FD2D85" w:rsidP="00020458">
      <w:pPr>
        <w:spacing w:line="480" w:lineRule="auto"/>
        <w:ind w:firstLine="720"/>
        <w:rPr>
          <w:rFonts w:cs="Calibri"/>
        </w:rPr>
      </w:pPr>
      <w:r>
        <w:rPr>
          <w:rFonts w:cs="Calibri"/>
        </w:rPr>
        <w:t xml:space="preserve">The </w:t>
      </w:r>
      <w:r w:rsidR="00020458" w:rsidRPr="00591524">
        <w:rPr>
          <w:rFonts w:cs="Calibri"/>
        </w:rPr>
        <w:t>SN</w:t>
      </w:r>
      <w:r>
        <w:rPr>
          <w:rFonts w:cs="Calibri"/>
        </w:rPr>
        <w:t>-variant</w:t>
      </w:r>
      <w:r w:rsidR="00020458" w:rsidRPr="00591524">
        <w:rPr>
          <w:rFonts w:cs="Calibri"/>
        </w:rPr>
        <w:t xml:space="preserve"> computes board foot </w:t>
      </w:r>
      <w:r w:rsidR="00D00031">
        <w:rPr>
          <w:rFonts w:cs="Calibri"/>
        </w:rPr>
        <w:t xml:space="preserve">(BF) </w:t>
      </w:r>
      <w:r w:rsidR="00020458" w:rsidRPr="00591524">
        <w:rPr>
          <w:rFonts w:cs="Calibri"/>
        </w:rPr>
        <w:t xml:space="preserve">volumes from equations that were developed by Ted Lasher and are a function of DBH, merchantable height, relative height, total height, site index, and basal area variables. </w:t>
      </w:r>
      <w:r w:rsidR="007E47B6" w:rsidRPr="00591524">
        <w:rPr>
          <w:rFonts w:cs="Calibri"/>
        </w:rPr>
        <w:t xml:space="preserve"> </w:t>
      </w:r>
      <w:r w:rsidR="00020458" w:rsidRPr="00591524">
        <w:rPr>
          <w:rFonts w:cs="Calibri"/>
        </w:rPr>
        <w:t xml:space="preserve">The coefficients of these predictors are known but all records of the corresponding data and analysis were lost.  As a result, the log </w:t>
      </w:r>
      <w:r w:rsidR="007E47B6" w:rsidRPr="00591524">
        <w:rPr>
          <w:rFonts w:cs="Calibri"/>
        </w:rPr>
        <w:t xml:space="preserve">scale (or </w:t>
      </w:r>
      <w:r w:rsidR="00020458" w:rsidRPr="00591524">
        <w:rPr>
          <w:rFonts w:cs="Calibri"/>
        </w:rPr>
        <w:t>rule</w:t>
      </w:r>
      <w:r w:rsidR="007E47B6" w:rsidRPr="00591524">
        <w:rPr>
          <w:rFonts w:cs="Calibri"/>
        </w:rPr>
        <w:t>)</w:t>
      </w:r>
      <w:r w:rsidR="00020458" w:rsidRPr="00591524">
        <w:rPr>
          <w:rFonts w:cs="Calibri"/>
        </w:rPr>
        <w:t xml:space="preserve"> in which it predicts volumes is unknown, though it is thought to be either the Scribner or International ¼ inch rule</w:t>
      </w:r>
      <w:r w:rsidR="00020458" w:rsidRPr="00591524">
        <w:rPr>
          <w:rFonts w:cs="Calibri"/>
          <w:vertAlign w:val="superscript"/>
        </w:rPr>
        <w:footnoteReference w:id="16"/>
      </w:r>
      <w:r w:rsidR="00020458" w:rsidRPr="00591524">
        <w:rPr>
          <w:rFonts w:cs="Calibri"/>
        </w:rPr>
        <w:t xml:space="preserve">.  </w:t>
      </w:r>
      <w:r w:rsidR="00C2222E">
        <w:rPr>
          <w:rFonts w:cs="Calibri"/>
        </w:rPr>
        <w:t>Regardless, s</w:t>
      </w:r>
      <w:r w:rsidR="007E47B6" w:rsidRPr="007E47B6">
        <w:rPr>
          <w:rFonts w:cs="Calibri"/>
        </w:rPr>
        <w:t xml:space="preserve">awlog stumpage rates for eastern hardwood species are primarily defined in dollars per thousand </w:t>
      </w:r>
      <w:r w:rsidR="00D00031" w:rsidRPr="00D00031">
        <w:rPr>
          <w:rFonts w:cs="Calibri"/>
        </w:rPr>
        <w:t>BF</w:t>
      </w:r>
      <w:r w:rsidR="007E47B6" w:rsidRPr="007E47B6">
        <w:rPr>
          <w:rFonts w:cs="Calibri"/>
        </w:rPr>
        <w:t xml:space="preserve"> on the Doyle scale</w:t>
      </w:r>
      <w:r>
        <w:rPr>
          <w:rFonts w:cs="Calibri"/>
        </w:rPr>
        <w:t xml:space="preserve">.  </w:t>
      </w:r>
      <w:r w:rsidR="00020458" w:rsidRPr="00591524">
        <w:rPr>
          <w:rFonts w:cs="Calibri"/>
        </w:rPr>
        <w:t>Despite the multiple sources that imply or offer average conversion factors to use for volume conversion between common log rules, volumes from another log rule cannot be systematically adjusted to account for the discrepancies between it and the Doyle rule due to the associated incons</w:t>
      </w:r>
      <w:r w:rsidR="0085780D">
        <w:rPr>
          <w:rFonts w:cs="Calibri"/>
        </w:rPr>
        <w:t xml:space="preserve">istent bias and causal factors </w:t>
      </w:r>
      <w:r w:rsidR="0085780D">
        <w:rPr>
          <w:rFonts w:cs="Calibri"/>
        </w:rPr>
        <w:fldChar w:fldCharType="begin"/>
      </w:r>
      <w:r w:rsidR="0085780D">
        <w:rPr>
          <w:rFonts w:cs="Calibri"/>
        </w:rPr>
        <w:instrText xml:space="preserve"> ADDIN EN.CITE &lt;EndNote&gt;&lt;Cite&gt;&lt;Author&gt;Spelter&lt;/Author&gt;&lt;Year&gt;2004&lt;/Year&gt;&lt;RecNum&gt;313&lt;/RecNum&gt;&lt;DisplayText&gt;(Spelter 2004)&lt;/DisplayText&gt;&lt;record&gt;&lt;rec-number&gt;313&lt;/rec-number&gt;&lt;foreign-keys&gt;&lt;key app="EN" db-id="a90s5zadewrawxeer07v2f90xr5vxv022sat"&gt;313&lt;/key&gt;&lt;/foreign-keys&gt;&lt;ref-type name="Journal Article"&gt;17&lt;/ref-type&gt;&lt;contributors&gt;&lt;authors&gt;&lt;author&gt;Spelter, Henry&lt;/author&gt;&lt;/authors&gt;&lt;/contributors&gt;&lt;titles&gt;&lt;title&gt;Converting among log scaling methods: Scriber, International, and Doyle versus cubic&lt;/title&gt;&lt;secondary-title&gt;Journal of forestry&lt;/secondary-title&gt;&lt;/titles&gt;&lt;periodical&gt;&lt;full-title&gt;Journal of Forestry&lt;/full-title&gt;&lt;abbr-1&gt;J. For.&lt;/abbr-1&gt;&lt;/periodical&gt;&lt;pages&gt;33-39&lt;/pages&gt;&lt;volume&gt;102&lt;/volume&gt;&lt;number&gt;4&lt;/number&gt;&lt;dates&gt;&lt;year&gt;2004&lt;/year&gt;&lt;/dates&gt;&lt;urls&gt;&lt;related-urls&gt;&lt;url&gt;http://www.treesearch.fs.fed.us/pubs/9504&lt;/url&gt;&lt;/related-urls&gt;&lt;/urls&gt;&lt;/record&gt;&lt;/Cite&gt;&lt;/EndNote&gt;</w:instrText>
      </w:r>
      <w:r w:rsidR="0085780D">
        <w:rPr>
          <w:rFonts w:cs="Calibri"/>
        </w:rPr>
        <w:fldChar w:fldCharType="separate"/>
      </w:r>
      <w:r w:rsidR="0085780D">
        <w:rPr>
          <w:rFonts w:cs="Calibri"/>
          <w:noProof/>
        </w:rPr>
        <w:t>(</w:t>
      </w:r>
      <w:hyperlink w:anchor="_ENREF_132" w:tooltip="Spelter, 2004 #313" w:history="1">
        <w:r w:rsidR="001E4C88">
          <w:rPr>
            <w:rFonts w:cs="Calibri"/>
            <w:noProof/>
          </w:rPr>
          <w:t>Spelter 2004</w:t>
        </w:r>
      </w:hyperlink>
      <w:r w:rsidR="0085780D">
        <w:rPr>
          <w:rFonts w:cs="Calibri"/>
          <w:noProof/>
        </w:rPr>
        <w:t>)</w:t>
      </w:r>
      <w:r w:rsidR="0085780D">
        <w:rPr>
          <w:rFonts w:cs="Calibri"/>
        </w:rPr>
        <w:fldChar w:fldCharType="end"/>
      </w:r>
      <w:r w:rsidR="0057224F">
        <w:rPr>
          <w:rFonts w:cs="Calibri"/>
        </w:rPr>
        <w:t>.</w:t>
      </w:r>
      <w:r w:rsidR="00254A1D">
        <w:rPr>
          <w:rFonts w:cs="Calibri"/>
        </w:rPr>
        <w:t xml:space="preserve">  </w:t>
      </w:r>
      <w:r>
        <w:rPr>
          <w:rFonts w:cs="Calibri"/>
        </w:rPr>
        <w:t>Thus,</w:t>
      </w:r>
      <w:r w:rsidRPr="00FD2D85">
        <w:rPr>
          <w:rFonts w:cs="Calibri"/>
        </w:rPr>
        <w:t xml:space="preserve"> </w:t>
      </w:r>
      <w:proofErr w:type="spellStart"/>
      <w:r>
        <w:rPr>
          <w:rFonts w:cs="Calibri"/>
        </w:rPr>
        <w:t>Sn</w:t>
      </w:r>
      <w:proofErr w:type="spellEnd"/>
      <w:r>
        <w:rPr>
          <w:rFonts w:cs="Calibri"/>
        </w:rPr>
        <w:t xml:space="preserve">-variant </w:t>
      </w:r>
      <w:r w:rsidRPr="00FD2D85">
        <w:rPr>
          <w:rFonts w:cs="Calibri"/>
        </w:rPr>
        <w:t>BF volumes are not useful</w:t>
      </w:r>
      <w:r>
        <w:rPr>
          <w:rFonts w:cs="Calibri"/>
        </w:rPr>
        <w:t>.</w:t>
      </w:r>
    </w:p>
    <w:p w:rsidR="0028547E" w:rsidRDefault="00020458" w:rsidP="0076022D">
      <w:pPr>
        <w:spacing w:line="480" w:lineRule="auto"/>
        <w:ind w:firstLine="720"/>
        <w:rPr>
          <w:rFonts w:cs="Calibri"/>
        </w:rPr>
      </w:pPr>
      <w:r w:rsidRPr="00591524">
        <w:rPr>
          <w:rFonts w:cs="Calibri"/>
        </w:rPr>
        <w:t xml:space="preserve">The standardized method of estimating </w:t>
      </w:r>
      <w:r w:rsidR="00254A1D">
        <w:rPr>
          <w:rFonts w:cs="Calibri"/>
        </w:rPr>
        <w:t>Doyle</w:t>
      </w:r>
      <w:r w:rsidRPr="00591524">
        <w:rPr>
          <w:rFonts w:cs="Calibri"/>
        </w:rPr>
        <w:t xml:space="preserve"> volume is to use form-class volume tables that, for a given Girard form-class, provide </w:t>
      </w:r>
      <w:r w:rsidR="00D00031" w:rsidRPr="00D00031">
        <w:rPr>
          <w:rFonts w:cs="Calibri"/>
        </w:rPr>
        <w:t xml:space="preserve">BF </w:t>
      </w:r>
      <w:r w:rsidRPr="00591524">
        <w:rPr>
          <w:rFonts w:cs="Calibri"/>
        </w:rPr>
        <w:t>values by D</w:t>
      </w:r>
      <w:r w:rsidR="0057247E">
        <w:rPr>
          <w:rFonts w:cs="Calibri"/>
        </w:rPr>
        <w:t>BH</w:t>
      </w:r>
      <w:r w:rsidR="00217B47">
        <w:rPr>
          <w:rFonts w:cs="Calibri"/>
        </w:rPr>
        <w:t xml:space="preserve"> </w:t>
      </w:r>
      <w:r w:rsidR="00652175">
        <w:rPr>
          <w:rFonts w:cs="Calibri"/>
        </w:rPr>
        <w:t>and the</w:t>
      </w:r>
      <w:r w:rsidR="00773E6E">
        <w:rPr>
          <w:rFonts w:cs="Calibri"/>
        </w:rPr>
        <w:t xml:space="preserve"> </w:t>
      </w:r>
      <w:r w:rsidRPr="00591524">
        <w:rPr>
          <w:rFonts w:cs="Calibri"/>
        </w:rPr>
        <w:t>number of 16</w:t>
      </w:r>
      <w:r w:rsidR="0057247E">
        <w:rPr>
          <w:rFonts w:cs="Calibri"/>
        </w:rPr>
        <w:t>′</w:t>
      </w:r>
      <w:r w:rsidRPr="00591524">
        <w:rPr>
          <w:rFonts w:cs="Calibri"/>
        </w:rPr>
        <w:t xml:space="preserve"> </w:t>
      </w:r>
      <w:proofErr w:type="spellStart"/>
      <w:r w:rsidR="00652175">
        <w:rPr>
          <w:rFonts w:cs="Calibri"/>
        </w:rPr>
        <w:t>saw</w:t>
      </w:r>
      <w:r w:rsidRPr="00591524">
        <w:rPr>
          <w:rFonts w:cs="Calibri"/>
        </w:rPr>
        <w:t>logs</w:t>
      </w:r>
      <w:proofErr w:type="spellEnd"/>
      <w:r w:rsidRPr="00591524">
        <w:rPr>
          <w:rFonts w:cs="Calibri"/>
        </w:rPr>
        <w:t xml:space="preserve"> (½ log increments).  However, the </w:t>
      </w:r>
      <w:r w:rsidRPr="00591524">
        <w:rPr>
          <w:rFonts w:cs="Calibri"/>
        </w:rPr>
        <w:lastRenderedPageBreak/>
        <w:t xml:space="preserve">Doyle formula </w:t>
      </w:r>
      <w:r w:rsidR="00217B47">
        <w:rPr>
          <w:rFonts w:cs="Calibri"/>
        </w:rPr>
        <w:t>shown in equation 2</w:t>
      </w:r>
      <w:r w:rsidR="00C55891" w:rsidRPr="00591524">
        <w:rPr>
          <w:rFonts w:cs="Calibri"/>
        </w:rPr>
        <w:t xml:space="preserve"> </w:t>
      </w:r>
      <w:r w:rsidR="00C55891" w:rsidRPr="00C55891">
        <w:rPr>
          <w:rFonts w:cs="Calibri"/>
        </w:rPr>
        <w:t xml:space="preserve">was used </w:t>
      </w:r>
      <w:r w:rsidRPr="00591524">
        <w:rPr>
          <w:rFonts w:cs="Calibri"/>
        </w:rPr>
        <w:t xml:space="preserve">to compute </w:t>
      </w:r>
      <w:r w:rsidR="00D00031" w:rsidRPr="00D00031">
        <w:rPr>
          <w:rFonts w:cs="Calibri"/>
        </w:rPr>
        <w:t>BF</w:t>
      </w:r>
      <w:r w:rsidRPr="00591524">
        <w:rPr>
          <w:rFonts w:cs="Calibri"/>
        </w:rPr>
        <w:t xml:space="preserve"> volumes directly in the interest of accurately reflecting reality (i.e. delivered volumes).  </w:t>
      </w:r>
      <w:r w:rsidRPr="0028547E">
        <w:rPr>
          <w:rFonts w:cs="Calibri"/>
        </w:rPr>
        <w:t xml:space="preserve">Because the Doyle </w:t>
      </w:r>
      <w:r w:rsidR="00C55891" w:rsidRPr="0028547E">
        <w:rPr>
          <w:rFonts w:cs="Calibri"/>
        </w:rPr>
        <w:t>scale</w:t>
      </w:r>
      <w:r w:rsidRPr="0028547E">
        <w:rPr>
          <w:rFonts w:cs="Calibri"/>
        </w:rPr>
        <w:t xml:space="preserve"> is </w:t>
      </w:r>
      <w:r w:rsidR="00724B9D" w:rsidRPr="0028547E">
        <w:rPr>
          <w:rFonts w:cs="Calibri"/>
        </w:rPr>
        <w:t>less</w:t>
      </w:r>
      <w:r w:rsidRPr="0028547E">
        <w:rPr>
          <w:rFonts w:cs="Calibri"/>
        </w:rPr>
        <w:t xml:space="preserve"> accurate if applied to </w:t>
      </w:r>
      <w:r w:rsidR="00724B9D" w:rsidRPr="0028547E">
        <w:rPr>
          <w:rFonts w:cs="Calibri"/>
        </w:rPr>
        <w:t>longer</w:t>
      </w:r>
      <w:r w:rsidRPr="0028547E">
        <w:rPr>
          <w:rFonts w:cs="Calibri"/>
        </w:rPr>
        <w:t xml:space="preserve"> logs, </w:t>
      </w:r>
      <w:r w:rsidRPr="00591524">
        <w:rPr>
          <w:rFonts w:cs="Calibri"/>
        </w:rPr>
        <w:t>the pricing scheme adopted at most sawmills incentivize length maximizing hardwood bucking strategies</w:t>
      </w:r>
      <w:r w:rsidR="006A3E3A">
        <w:rPr>
          <w:rStyle w:val="FootnoteReference"/>
        </w:rPr>
        <w:footnoteReference w:id="17"/>
      </w:r>
      <w:r w:rsidR="00040539">
        <w:rPr>
          <w:rFonts w:cs="Calibri"/>
        </w:rPr>
        <w:t>.  Theref</w:t>
      </w:r>
      <w:r w:rsidRPr="00591524">
        <w:rPr>
          <w:rFonts w:cs="Calibri"/>
        </w:rPr>
        <w:t xml:space="preserve">ore, </w:t>
      </w:r>
      <w:r w:rsidR="00C2222E">
        <w:rPr>
          <w:rFonts w:cs="Calibri"/>
        </w:rPr>
        <w:t xml:space="preserve">in a separate model built in Microsoft Excel </w:t>
      </w:r>
      <w:r w:rsidR="00040539">
        <w:rPr>
          <w:rFonts w:cs="Calibri"/>
        </w:rPr>
        <w:t>based on a unique method of computing log taper from in</w:t>
      </w:r>
      <w:r w:rsidR="00FB5C1A">
        <w:rPr>
          <w:rFonts w:cs="Calibri"/>
        </w:rPr>
        <w:t>i</w:t>
      </w:r>
      <w:r w:rsidR="00040539">
        <w:rPr>
          <w:rFonts w:cs="Calibri"/>
        </w:rPr>
        <w:t xml:space="preserve">tial sawtimber measurements </w:t>
      </w:r>
      <w:r w:rsidR="00245B52">
        <w:rPr>
          <w:rFonts w:cs="Calibri"/>
        </w:rPr>
        <w:t xml:space="preserve">using tree profile equations from </w:t>
      </w:r>
      <w:r w:rsidR="00245B52" w:rsidRPr="00245B52">
        <w:rPr>
          <w:rFonts w:cs="Calibri"/>
        </w:rPr>
        <w:t>Clark III et al.</w:t>
      </w:r>
      <w:r w:rsidR="00245B52">
        <w:rPr>
          <w:rFonts w:cs="Calibri"/>
        </w:rPr>
        <w:t xml:space="preserve"> (1991)</w:t>
      </w:r>
      <w:r w:rsidR="00BE2F0D">
        <w:rPr>
          <w:rFonts w:cs="Calibri"/>
        </w:rPr>
        <w:t xml:space="preserve"> and the </w:t>
      </w:r>
      <w:proofErr w:type="spellStart"/>
      <w:r w:rsidR="00BE2F0D" w:rsidRPr="00BE2F0D">
        <w:rPr>
          <w:rFonts w:cs="Calibri"/>
        </w:rPr>
        <w:t>Smailian</w:t>
      </w:r>
      <w:proofErr w:type="spellEnd"/>
      <w:r w:rsidR="00BE2F0D" w:rsidRPr="00BE2F0D">
        <w:rPr>
          <w:rFonts w:cs="Calibri"/>
        </w:rPr>
        <w:t xml:space="preserve"> formula</w:t>
      </w:r>
      <w:r w:rsidR="00BE2F0D">
        <w:rPr>
          <w:rFonts w:cs="Calibri"/>
        </w:rPr>
        <w:t xml:space="preserve"> expressed in equation 3</w:t>
      </w:r>
      <w:r w:rsidR="00040539">
        <w:rPr>
          <w:rFonts w:cs="Calibri"/>
        </w:rPr>
        <w:t xml:space="preserve">, </w:t>
      </w:r>
      <w:r w:rsidRPr="00591524">
        <w:rPr>
          <w:rFonts w:cs="Calibri"/>
        </w:rPr>
        <w:t>sawtimber volume was estimated for each tree’s 16</w:t>
      </w:r>
      <w:r w:rsidR="0028547E">
        <w:rPr>
          <w:rFonts w:cs="Calibri"/>
        </w:rPr>
        <w:t>′</w:t>
      </w:r>
      <w:r w:rsidRPr="00591524">
        <w:rPr>
          <w:rFonts w:cs="Calibri"/>
        </w:rPr>
        <w:t xml:space="preserve"> log(s) and for progressively shorter logs in 2</w:t>
      </w:r>
      <w:r w:rsidR="0021630E">
        <w:rPr>
          <w:rFonts w:cs="Calibri"/>
        </w:rPr>
        <w:t>′</w:t>
      </w:r>
      <w:r w:rsidRPr="00591524">
        <w:rPr>
          <w:rFonts w:cs="Calibri"/>
        </w:rPr>
        <w:t xml:space="preserve"> increments up to the greater of a 9</w:t>
      </w:r>
      <w:r w:rsidR="0028547E">
        <w:rPr>
          <w:rFonts w:cs="Calibri"/>
        </w:rPr>
        <w:t>″</w:t>
      </w:r>
      <w:r w:rsidRPr="00591524">
        <w:rPr>
          <w:rFonts w:cs="Calibri"/>
        </w:rPr>
        <w:t xml:space="preserve"> scaling </w:t>
      </w:r>
      <w:r w:rsidRPr="002969ED">
        <w:rPr>
          <w:rFonts w:cs="Calibri"/>
        </w:rPr>
        <w:t>diameter or 8</w:t>
      </w:r>
      <w:r w:rsidR="0028547E" w:rsidRPr="002969ED">
        <w:rPr>
          <w:rFonts w:cs="Calibri"/>
        </w:rPr>
        <w:t>′</w:t>
      </w:r>
      <w:r w:rsidR="00040539" w:rsidRPr="002969ED">
        <w:rPr>
          <w:rFonts w:cs="Calibri"/>
        </w:rPr>
        <w:t xml:space="preserve"> </w:t>
      </w:r>
      <w:r w:rsidRPr="002969ED">
        <w:rPr>
          <w:rFonts w:cs="Calibri"/>
        </w:rPr>
        <w:t>log</w:t>
      </w:r>
      <w:r w:rsidRPr="002969ED">
        <w:rPr>
          <w:rStyle w:val="FootnoteReference"/>
          <w:rFonts w:cs="Calibri"/>
        </w:rPr>
        <w:footnoteReference w:id="18"/>
      </w:r>
      <w:r w:rsidRPr="002969ED">
        <w:rPr>
          <w:rFonts w:cs="Calibri"/>
        </w:rPr>
        <w:t>.</w:t>
      </w:r>
      <w:r w:rsidR="002969ED">
        <w:rPr>
          <w:rFonts w:cs="Calibri"/>
        </w:rPr>
        <w:t xml:space="preserve"> </w:t>
      </w:r>
      <w:r w:rsidR="00FD6A2E" w:rsidRPr="00FD6A2E">
        <w:rPr>
          <w:noProof/>
        </w:rPr>
        <mc:AlternateContent>
          <mc:Choice Requires="wps">
            <w:drawing>
              <wp:inline distT="0" distB="0" distL="0" distR="0" wp14:anchorId="4A14E534" wp14:editId="1EA9D62E">
                <wp:extent cx="6205540" cy="405517"/>
                <wp:effectExtent l="0" t="0" r="0" b="0"/>
                <wp:docPr id="18" name="TextBox 3"/>
                <wp:cNvGraphicFramePr/>
                <a:graphic xmlns:a="http://schemas.openxmlformats.org/drawingml/2006/main">
                  <a:graphicData uri="http://schemas.microsoft.com/office/word/2010/wordprocessingShape">
                    <wps:wsp>
                      <wps:cNvSpPr txBox="1"/>
                      <wps:spPr>
                        <a:xfrm>
                          <a:off x="0" y="0"/>
                          <a:ext cx="6205540" cy="40551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16BE1" w:rsidRDefault="00816BE1" w:rsidP="00FD6A2E">
                            <w:pPr>
                              <w:pStyle w:val="NormalWeb"/>
                              <w:spacing w:before="0" w:beforeAutospacing="0" w:after="0" w:afterAutospacing="0"/>
                            </w:pPr>
                            <w:r w:rsidRPr="0028547E">
                              <w:rPr>
                                <w:rFonts w:asciiTheme="minorHAnsi" w:hAnsi="Calibri" w:cstheme="minorBidi"/>
                                <w:i/>
                                <w:color w:val="000000" w:themeColor="text1"/>
                              </w:rPr>
                              <w:t>Equation 2</w:t>
                            </w:r>
                            <w:r w:rsidRPr="00FD6A2E">
                              <w:rPr>
                                <w:rFonts w:asciiTheme="minorHAnsi" w:hAnsi="Calibri" w:cstheme="minorBidi"/>
                                <w:color w:val="000000" w:themeColor="text1"/>
                              </w:rPr>
                              <w:t xml:space="preserve">:        Board </w:t>
                            </w:r>
                            <w:r>
                              <w:rPr>
                                <w:rFonts w:asciiTheme="minorHAnsi" w:hAnsi="Calibri" w:cstheme="minorBidi"/>
                                <w:color w:val="000000" w:themeColor="text1"/>
                              </w:rPr>
                              <w:t>feet</w:t>
                            </w:r>
                            <w:r w:rsidRPr="00FD6A2E">
                              <w:rPr>
                                <w:rFonts w:asciiTheme="minorHAnsi" w:hAnsi="Calibri" w:cstheme="minorBidi"/>
                                <w:color w:val="000000" w:themeColor="text1"/>
                              </w:rPr>
                              <w:t xml:space="preserve"> (Doyle)</w:t>
                            </w:r>
                            <w:r>
                              <w:rPr>
                                <w:rFonts w:asciiTheme="minorHAnsi" w:hAnsi="Calibri" w:cstheme="minorBidi"/>
                                <w:color w:val="000000" w:themeColor="text1"/>
                              </w:rPr>
                              <w:t xml:space="preserve"> =</w:t>
                            </w:r>
                            <m:oMath>
                              <m:sSup>
                                <m:sSupPr>
                                  <m:ctrlPr>
                                    <w:rPr>
                                      <w:rFonts w:ascii="Cambria Math" w:eastAsiaTheme="minorEastAsia" w:hAnsi="Cambria Math" w:cstheme="minorBidi"/>
                                      <w:i/>
                                      <w:iCs/>
                                      <w:color w:val="000000" w:themeColor="text1"/>
                                      <w:sz w:val="22"/>
                                      <w:szCs w:val="28"/>
                                    </w:rPr>
                                  </m:ctrlPr>
                                </m:sSupPr>
                                <m:e>
                                  <m:r>
                                    <w:rPr>
                                      <w:rFonts w:ascii="Cambria Math" w:hAnsi="Cambria Math" w:cstheme="minorBidi"/>
                                      <w:color w:val="000000" w:themeColor="text1"/>
                                      <w:sz w:val="22"/>
                                      <w:szCs w:val="28"/>
                                    </w:rPr>
                                    <m:t xml:space="preserve"> </m:t>
                                  </m:r>
                                  <m:d>
                                    <m:dPr>
                                      <m:ctrlPr>
                                        <w:rPr>
                                          <w:rFonts w:ascii="Cambria Math" w:hAnsi="Cambria Math" w:cstheme="minorBidi"/>
                                          <w:i/>
                                          <w:color w:val="000000" w:themeColor="text1"/>
                                          <w:sz w:val="22"/>
                                          <w:szCs w:val="28"/>
                                        </w:rPr>
                                      </m:ctrlPr>
                                    </m:dPr>
                                    <m:e>
                                      <m:r>
                                        <m:rPr>
                                          <m:sty m:val="p"/>
                                        </m:rPr>
                                        <w:rPr>
                                          <w:rFonts w:ascii="Cambria Math" w:hAnsi="Cambria Math" w:cstheme="minorBidi"/>
                                          <w:color w:val="000000" w:themeColor="text1"/>
                                          <w:sz w:val="22"/>
                                          <w:szCs w:val="28"/>
                                        </w:rPr>
                                        <m:t>DIB</m:t>
                                      </m:r>
                                      <m:r>
                                        <m:rPr>
                                          <m:sty m:val="p"/>
                                        </m:rPr>
                                        <w:rPr>
                                          <w:rFonts w:ascii="Cambria Math" w:hAnsi="Cambria Math" w:cstheme="minorBidi"/>
                                          <w:color w:val="000000" w:themeColor="text1"/>
                                          <w:position w:val="-7"/>
                                          <w:sz w:val="22"/>
                                          <w:szCs w:val="28"/>
                                          <w:vertAlign w:val="subscript"/>
                                        </w:rPr>
                                        <m:t>small</m:t>
                                      </m:r>
                                      <m:r>
                                        <w:rPr>
                                          <w:rFonts w:ascii="Cambria Math" w:hAnsi="Cambria Math" w:cstheme="minorBidi"/>
                                          <w:color w:val="000000" w:themeColor="text1"/>
                                          <w:sz w:val="22"/>
                                          <w:szCs w:val="28"/>
                                        </w:rPr>
                                        <m:t> -4</m:t>
                                      </m:r>
                                    </m:e>
                                  </m:d>
                                </m:e>
                                <m:sup>
                                  <m:r>
                                    <w:rPr>
                                      <w:rFonts w:ascii="Cambria Math" w:hAnsi="Cambria Math" w:cstheme="minorBidi"/>
                                      <w:color w:val="000000" w:themeColor="text1"/>
                                      <w:sz w:val="22"/>
                                      <w:szCs w:val="28"/>
                                    </w:rPr>
                                    <m:t>2</m:t>
                                  </m:r>
                                </m:sup>
                              </m:sSup>
                              <m:r>
                                <w:rPr>
                                  <w:rFonts w:ascii="Cambria Math" w:hAnsi="Cambria Math" w:cstheme="minorBidi"/>
                                  <w:color w:val="000000" w:themeColor="text1"/>
                                  <w:sz w:val="22"/>
                                  <w:szCs w:val="28"/>
                                </w:rPr>
                                <m:t xml:space="preserve"> ∙ </m:t>
                              </m:r>
                            </m:oMath>
                            <w:r>
                              <w:rPr>
                                <w:rFonts w:asciiTheme="minorHAnsi" w:hAnsi="Calibri" w:cstheme="minorBidi"/>
                                <w:color w:val="000000" w:themeColor="text1"/>
                              </w:rPr>
                              <w:t xml:space="preserve"> </w:t>
                            </w:r>
                            <m:oMath>
                              <m:f>
                                <m:fPr>
                                  <m:ctrlPr>
                                    <w:rPr>
                                      <w:rFonts w:ascii="Cambria Math" w:eastAsiaTheme="minorEastAsia" w:hAnsi="Cambria Math" w:cstheme="minorBidi"/>
                                      <w:i/>
                                      <w:iCs/>
                                      <w:color w:val="000000" w:themeColor="text1"/>
                                      <w:sz w:val="28"/>
                                      <w:szCs w:val="28"/>
                                    </w:rPr>
                                  </m:ctrlPr>
                                </m:fPr>
                                <m:num>
                                  <m:r>
                                    <m:rPr>
                                      <m:sty m:val="p"/>
                                    </m:rPr>
                                    <w:rPr>
                                      <w:rFonts w:ascii="Cambria Math" w:hAnsi="Cambria Math" w:cstheme="minorBidi"/>
                                      <w:color w:val="000000" w:themeColor="text1"/>
                                      <w:sz w:val="28"/>
                                      <w:szCs w:val="28"/>
                                    </w:rPr>
                                    <m:t>Length</m:t>
                                  </m:r>
                                </m:num>
                                <m:den>
                                  <m:r>
                                    <m:rPr>
                                      <m:sty m:val="p"/>
                                    </m:rPr>
                                    <w:rPr>
                                      <w:rFonts w:ascii="Cambria Math" w:hAnsi="Cambria Math" w:cstheme="minorBidi"/>
                                      <w:color w:val="000000" w:themeColor="text1"/>
                                      <w:sz w:val="28"/>
                                      <w:szCs w:val="28"/>
                                    </w:rPr>
                                    <m:t>16</m:t>
                                  </m:r>
                                </m:den>
                              </m:f>
                            </m:oMath>
                            <w:r>
                              <w:rPr>
                                <w:rFonts w:asciiTheme="minorHAnsi" w:hAnsi="Calibri" w:cstheme="minorBidi"/>
                                <w:color w:val="000000" w:themeColor="text1"/>
                              </w:rPr>
                              <w:t xml:space="preserve">                   </w:t>
                            </w:r>
                          </w:p>
                        </w:txbxContent>
                      </wps:txbx>
                      <wps:bodyPr vertOverflow="clip" horzOverflow="clip" wrap="square" rtlCol="0" anchor="t">
                        <a:noAutofit/>
                      </wps:bodyPr>
                    </wps:wsp>
                  </a:graphicData>
                </a:graphic>
              </wp:inline>
            </w:drawing>
          </mc:Choice>
          <mc:Fallback>
            <w:pict>
              <v:shape id="TextBox 3" o:spid="_x0000_s1027" type="#_x0000_t202" style="width:488.6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" filled="f" stroked="f">
                <v:textbox>
                  <w:txbxContent>
                    <w:p w:rsidR="00816BE1" w:rsidRDefault="00816BE1" w:rsidP="00FD6A2E">
                      <w:pPr>
                        <w:pStyle w:val="NormalWeb"/>
                        <w:spacing w:before="0" w:beforeAutospacing="0" w:after="0" w:afterAutospacing="0"/>
                      </w:pPr>
                      <w:r w:rsidRPr="0028547E">
                        <w:rPr>
                          <w:rFonts w:asciiTheme="minorHAnsi" w:hAnsi="Calibri" w:cstheme="minorBidi"/>
                          <w:i/>
                          <w:color w:val="000000" w:themeColor="text1"/>
                        </w:rPr>
                        <w:t>Equation 2</w:t>
                      </w:r>
                      <w:r w:rsidRPr="00FD6A2E">
                        <w:rPr>
                          <w:rFonts w:asciiTheme="minorHAnsi" w:hAnsi="Calibri" w:cstheme="minorBidi"/>
                          <w:color w:val="000000" w:themeColor="text1"/>
                        </w:rPr>
                        <w:t xml:space="preserve">:        Board </w:t>
                      </w:r>
                      <w:r>
                        <w:rPr>
                          <w:rFonts w:asciiTheme="minorHAnsi" w:hAnsi="Calibri" w:cstheme="minorBidi"/>
                          <w:color w:val="000000" w:themeColor="text1"/>
                        </w:rPr>
                        <w:t>feet</w:t>
                      </w:r>
                      <w:r w:rsidRPr="00FD6A2E">
                        <w:rPr>
                          <w:rFonts w:asciiTheme="minorHAnsi" w:hAnsi="Calibri" w:cstheme="minorBidi"/>
                          <w:color w:val="000000" w:themeColor="text1"/>
                        </w:rPr>
                        <w:t xml:space="preserve"> (Doyle)</w:t>
                      </w:r>
                      <w:r>
                        <w:rPr>
                          <w:rFonts w:asciiTheme="minorHAnsi" w:hAnsi="Calibri" w:cstheme="minorBidi"/>
                          <w:color w:val="000000" w:themeColor="text1"/>
                        </w:rPr>
                        <w:t xml:space="preserve"> =</w:t>
                      </w:r>
                      <m:oMath>
                        <m:sSup>
                          <m:sSupPr>
                            <m:ctrlPr>
                              <w:rPr>
                                <w:rFonts w:ascii="Cambria Math" w:eastAsiaTheme="minorEastAsia" w:hAnsi="Cambria Math" w:cstheme="minorBidi"/>
                                <w:i/>
                                <w:iCs/>
                                <w:color w:val="000000" w:themeColor="text1"/>
                                <w:sz w:val="22"/>
                                <w:szCs w:val="28"/>
                              </w:rPr>
                            </m:ctrlPr>
                          </m:sSupPr>
                          <m:e>
                            <m:r>
                              <w:rPr>
                                <w:rFonts w:ascii="Cambria Math" w:hAnsi="Cambria Math" w:cstheme="minorBidi"/>
                                <w:color w:val="000000" w:themeColor="text1"/>
                                <w:sz w:val="22"/>
                                <w:szCs w:val="28"/>
                              </w:rPr>
                              <m:t xml:space="preserve"> </m:t>
                            </m:r>
                            <m:d>
                              <m:dPr>
                                <m:ctrlPr>
                                  <w:rPr>
                                    <w:rFonts w:ascii="Cambria Math" w:hAnsi="Cambria Math" w:cstheme="minorBidi"/>
                                    <w:i/>
                                    <w:color w:val="000000" w:themeColor="text1"/>
                                    <w:sz w:val="22"/>
                                    <w:szCs w:val="28"/>
                                  </w:rPr>
                                </m:ctrlPr>
                              </m:dPr>
                              <m:e>
                                <m:r>
                                  <m:rPr>
                                    <m:sty m:val="p"/>
                                  </m:rPr>
                                  <w:rPr>
                                    <w:rFonts w:ascii="Cambria Math" w:hAnsi="Cambria Math" w:cstheme="minorBidi"/>
                                    <w:color w:val="000000" w:themeColor="text1"/>
                                    <w:sz w:val="22"/>
                                    <w:szCs w:val="28"/>
                                  </w:rPr>
                                  <m:t>DIB</m:t>
                                </m:r>
                                <m:r>
                                  <m:rPr>
                                    <m:sty m:val="p"/>
                                  </m:rPr>
                                  <w:rPr>
                                    <w:rFonts w:ascii="Cambria Math" w:hAnsi="Cambria Math" w:cstheme="minorBidi"/>
                                    <w:color w:val="000000" w:themeColor="text1"/>
                                    <w:position w:val="-7"/>
                                    <w:sz w:val="22"/>
                                    <w:szCs w:val="28"/>
                                    <w:vertAlign w:val="subscript"/>
                                  </w:rPr>
                                  <m:t>small</m:t>
                                </m:r>
                                <m:r>
                                  <w:rPr>
                                    <w:rFonts w:ascii="Cambria Math" w:hAnsi="Cambria Math" w:cstheme="minorBidi"/>
                                    <w:color w:val="000000" w:themeColor="text1"/>
                                    <w:sz w:val="22"/>
                                    <w:szCs w:val="28"/>
                                  </w:rPr>
                                  <m:t> -4</m:t>
                                </m:r>
                              </m:e>
                            </m:d>
                          </m:e>
                          <m:sup>
                            <m:r>
                              <w:rPr>
                                <w:rFonts w:ascii="Cambria Math" w:hAnsi="Cambria Math" w:cstheme="minorBidi"/>
                                <w:color w:val="000000" w:themeColor="text1"/>
                                <w:sz w:val="22"/>
                                <w:szCs w:val="28"/>
                              </w:rPr>
                              <m:t>2</m:t>
                            </m:r>
                          </m:sup>
                        </m:sSup>
                        <m:r>
                          <w:rPr>
                            <w:rFonts w:ascii="Cambria Math" w:hAnsi="Cambria Math" w:cstheme="minorBidi"/>
                            <w:color w:val="000000" w:themeColor="text1"/>
                            <w:sz w:val="22"/>
                            <w:szCs w:val="28"/>
                          </w:rPr>
                          <m:t xml:space="preserve"> ∙ </m:t>
                        </m:r>
                      </m:oMath>
                      <w:r>
                        <w:rPr>
                          <w:rFonts w:asciiTheme="minorHAnsi" w:hAnsi="Calibri" w:cstheme="minorBidi"/>
                          <w:color w:val="000000" w:themeColor="text1"/>
                        </w:rPr>
                        <w:t xml:space="preserve"> </w:t>
                      </w:r>
                      <m:oMath>
                        <m:f>
                          <m:fPr>
                            <m:ctrlPr>
                              <w:rPr>
                                <w:rFonts w:ascii="Cambria Math" w:eastAsiaTheme="minorEastAsia" w:hAnsi="Cambria Math" w:cstheme="minorBidi"/>
                                <w:i/>
                                <w:iCs/>
                                <w:color w:val="000000" w:themeColor="text1"/>
                                <w:sz w:val="28"/>
                                <w:szCs w:val="28"/>
                              </w:rPr>
                            </m:ctrlPr>
                          </m:fPr>
                          <m:num>
                            <m:r>
                              <m:rPr>
                                <m:sty m:val="p"/>
                              </m:rPr>
                              <w:rPr>
                                <w:rFonts w:ascii="Cambria Math" w:hAnsi="Cambria Math" w:cstheme="minorBidi"/>
                                <w:color w:val="000000" w:themeColor="text1"/>
                                <w:sz w:val="28"/>
                                <w:szCs w:val="28"/>
                              </w:rPr>
                              <m:t>Length</m:t>
                            </m:r>
                          </m:num>
                          <m:den>
                            <m:r>
                              <m:rPr>
                                <m:sty m:val="p"/>
                              </m:rPr>
                              <w:rPr>
                                <w:rFonts w:ascii="Cambria Math" w:hAnsi="Cambria Math" w:cstheme="minorBidi"/>
                                <w:color w:val="000000" w:themeColor="text1"/>
                                <w:sz w:val="28"/>
                                <w:szCs w:val="28"/>
                              </w:rPr>
                              <m:t>16</m:t>
                            </m:r>
                          </m:den>
                        </m:f>
                      </m:oMath>
                      <w:r>
                        <w:rPr>
                          <w:rFonts w:asciiTheme="minorHAnsi" w:hAnsi="Calibri" w:cstheme="minorBidi"/>
                          <w:color w:val="000000" w:themeColor="text1"/>
                        </w:rPr>
                        <w:t xml:space="preserve">                   </w:t>
                      </w:r>
                    </w:p>
                  </w:txbxContent>
                </v:textbox>
                <w10:anchorlock/>
              </v:shape>
            </w:pict>
          </mc:Fallback>
        </mc:AlternateContent>
      </w:r>
    </w:p>
    <w:p w:rsidR="00652175" w:rsidRDefault="00254A1D" w:rsidP="00CA66E2">
      <w:pPr>
        <w:autoSpaceDE w:val="0"/>
        <w:autoSpaceDN w:val="0"/>
        <w:adjustRightInd w:val="0"/>
        <w:spacing w:line="480" w:lineRule="auto"/>
        <w:ind w:firstLine="720"/>
        <w:rPr>
          <w:rFonts w:cs="Calibri"/>
        </w:rPr>
      </w:pPr>
      <w:r>
        <w:rPr>
          <w:rFonts w:cs="Calibri"/>
        </w:rPr>
        <w:t>M</w:t>
      </w:r>
      <w:r w:rsidR="00CA66E2">
        <w:rPr>
          <w:rFonts w:cs="Calibri"/>
        </w:rPr>
        <w:t xml:space="preserve">erchantable </w:t>
      </w:r>
      <w:r w:rsidR="00617619">
        <w:rPr>
          <w:rFonts w:cs="Calibri"/>
        </w:rPr>
        <w:t xml:space="preserve">sawtimber </w:t>
      </w:r>
      <w:r w:rsidR="00CA66E2">
        <w:rPr>
          <w:rFonts w:cs="Calibri"/>
        </w:rPr>
        <w:t>height</w:t>
      </w:r>
      <w:r w:rsidR="00E75C5C">
        <w:rPr>
          <w:rFonts w:cs="Calibri"/>
        </w:rPr>
        <w:t xml:space="preserve"> growth was ignored in</w:t>
      </w:r>
      <w:r w:rsidR="00CA66E2">
        <w:rPr>
          <w:rFonts w:cs="Calibri"/>
        </w:rPr>
        <w:t xml:space="preserve"> the first </w:t>
      </w:r>
      <w:r w:rsidR="003A2315">
        <w:rPr>
          <w:rFonts w:cs="Calibri"/>
        </w:rPr>
        <w:t>four decades</w:t>
      </w:r>
      <w:r w:rsidR="00CA66E2">
        <w:rPr>
          <w:rFonts w:cs="Calibri"/>
        </w:rPr>
        <w:t xml:space="preserve"> of the simulation</w:t>
      </w:r>
      <w:r w:rsidR="00E75C5C">
        <w:rPr>
          <w:rFonts w:cs="Calibri"/>
        </w:rPr>
        <w:t>.  Merchantable sawtimber heights</w:t>
      </w:r>
      <w:r w:rsidR="00CA66E2">
        <w:rPr>
          <w:rFonts w:cs="Calibri"/>
        </w:rPr>
        <w:t xml:space="preserve"> thereafter were assumed to be the greater of the </w:t>
      </w:r>
      <w:r w:rsidR="00E75C5C">
        <w:rPr>
          <w:rFonts w:cs="Calibri"/>
        </w:rPr>
        <w:t>initial</w:t>
      </w:r>
      <w:r w:rsidR="00CA66E2">
        <w:rPr>
          <w:rFonts w:cs="Calibri"/>
        </w:rPr>
        <w:t xml:space="preserve"> measurement or one-third of total height </w:t>
      </w:r>
      <w:r w:rsidR="003A2315">
        <w:rPr>
          <w:rFonts w:cs="Calibri"/>
        </w:rPr>
        <w:t>(</w:t>
      </w:r>
      <w:r w:rsidR="00CA66E2">
        <w:rPr>
          <w:rFonts w:cs="Calibri"/>
        </w:rPr>
        <w:t xml:space="preserve">minus </w:t>
      </w:r>
      <w:r w:rsidR="00585824">
        <w:rPr>
          <w:rFonts w:cs="Calibri"/>
        </w:rPr>
        <w:t xml:space="preserve">a </w:t>
      </w:r>
      <w:r w:rsidR="00CA66E2">
        <w:rPr>
          <w:rFonts w:cs="Calibri"/>
        </w:rPr>
        <w:t>one ft.</w:t>
      </w:r>
      <w:r w:rsidR="00585824">
        <w:rPr>
          <w:rFonts w:cs="Calibri"/>
        </w:rPr>
        <w:t xml:space="preserve"> stump</w:t>
      </w:r>
      <w:r w:rsidR="003A2315">
        <w:rPr>
          <w:rFonts w:cs="Calibri"/>
        </w:rPr>
        <w:t>)</w:t>
      </w:r>
      <w:r w:rsidR="00CA66E2">
        <w:rPr>
          <w:rFonts w:cs="Calibri"/>
        </w:rPr>
        <w:t xml:space="preserve">, which </w:t>
      </w:r>
      <w:r w:rsidR="00D676BF">
        <w:rPr>
          <w:rFonts w:cs="Calibri"/>
        </w:rPr>
        <w:t xml:space="preserve">is the fraction that </w:t>
      </w:r>
      <w:r w:rsidR="00CA66E2">
        <w:rPr>
          <w:rFonts w:cs="Calibri"/>
        </w:rPr>
        <w:t xml:space="preserve">best approximates </w:t>
      </w:r>
      <w:r w:rsidR="00585824">
        <w:rPr>
          <w:rFonts w:cs="Calibri"/>
        </w:rPr>
        <w:t xml:space="preserve">merchantable </w:t>
      </w:r>
      <w:r w:rsidR="00CA66E2">
        <w:rPr>
          <w:rFonts w:cs="Calibri"/>
        </w:rPr>
        <w:t xml:space="preserve">bole length between the stump and live limbs or dead branch stubs </w:t>
      </w:r>
      <w:r w:rsidR="00D676BF">
        <w:rPr>
          <w:rFonts w:cs="Calibri"/>
        </w:rPr>
        <w:t>for oaks</w:t>
      </w:r>
      <w:r w:rsidR="00E75C5C">
        <w:rPr>
          <w:rFonts w:cs="Calibri"/>
        </w:rPr>
        <w:t xml:space="preserve"> (i.e. the high grade portion)</w:t>
      </w:r>
      <w:r w:rsidR="00D676BF">
        <w:rPr>
          <w:rFonts w:cs="Calibri"/>
        </w:rPr>
        <w:t xml:space="preserve"> </w:t>
      </w:r>
      <w:r w:rsidR="00CA66E2">
        <w:rPr>
          <w:rFonts w:cs="Calibri"/>
        </w:rPr>
        <w:fldChar w:fldCharType="begin"/>
      </w:r>
      <w:r w:rsidR="00A87D07">
        <w:rPr>
          <w:rFonts w:cs="Calibri"/>
        </w:rPr>
        <w:instrText xml:space="preserve"> ADDIN EN.CITE &lt;EndNote&gt;&lt;Cite&gt;&lt;Author&gt;Carmean&lt;/Author&gt;&lt;Year&gt;1974&lt;/Year&gt;&lt;RecNum&gt;282&lt;/RecNum&gt;&lt;DisplayText&gt;(Carmean and Boyce 1974)&lt;/DisplayText&gt;&lt;record&gt;&lt;rec-number&gt;282&lt;/rec-number&gt;&lt;foreign-keys&gt;&lt;key app="EN" db-id="a90s5zadewrawxeer07v2f90xr5vxv022sat"&gt;282&lt;/key&gt;&lt;/foreign-keys&gt;&lt;ref-type name="Journal Article"&gt;17&lt;/ref-type&gt;&lt;contributors&gt;&lt;authors&gt;&lt;author&gt;Carmean, Willard H.&lt;/author&gt;&lt;author&gt;Stephen G. Boyce&lt;/author&gt;&lt;/authors&gt;&lt;/contributors&gt;&lt;titles&gt;&lt;title&gt;Hardwood log quality in relation to site quality. Research Paper NC-103. St. Paul, MN: U.S. Dept. of Agriculture, Forest Service, North Central Forest Experiment Station. 7p&lt;/title&gt;&lt;/titles&gt;&lt;dates&gt;&lt;year&gt;1974&lt;/year&gt;&lt;/dates&gt;&lt;urls&gt;&lt;/urls&gt;&lt;/record&gt;&lt;/Cite&gt;&lt;/EndNote&gt;</w:instrText>
      </w:r>
      <w:r w:rsidR="00CA66E2">
        <w:rPr>
          <w:rFonts w:cs="Calibri"/>
        </w:rPr>
        <w:fldChar w:fldCharType="separate"/>
      </w:r>
      <w:r w:rsidR="00A87D07">
        <w:rPr>
          <w:rFonts w:cs="Calibri"/>
          <w:noProof/>
        </w:rPr>
        <w:t>(</w:t>
      </w:r>
      <w:hyperlink w:anchor="_ENREF_34" w:tooltip="Carmean, 1974 #282" w:history="1">
        <w:r w:rsidR="001E4C88">
          <w:rPr>
            <w:rFonts w:cs="Calibri"/>
            <w:noProof/>
          </w:rPr>
          <w:t>Carmean and Boyce 1974</w:t>
        </w:r>
      </w:hyperlink>
      <w:r w:rsidR="00A87D07">
        <w:rPr>
          <w:rFonts w:cs="Calibri"/>
          <w:noProof/>
        </w:rPr>
        <w:t>)</w:t>
      </w:r>
      <w:r w:rsidR="00CA66E2">
        <w:rPr>
          <w:rFonts w:cs="Calibri"/>
        </w:rPr>
        <w:fldChar w:fldCharType="end"/>
      </w:r>
      <w:r w:rsidR="00CA66E2">
        <w:rPr>
          <w:rFonts w:cs="Calibri"/>
        </w:rPr>
        <w:t xml:space="preserve">.  </w:t>
      </w:r>
      <w:r w:rsidR="001F3C80">
        <w:rPr>
          <w:rFonts w:cs="Calibri"/>
        </w:rPr>
        <w:t>As m</w:t>
      </w:r>
      <w:r w:rsidR="00CA66E2">
        <w:rPr>
          <w:rFonts w:cs="Calibri"/>
        </w:rPr>
        <w:t xml:space="preserve">ost hardwood trees </w:t>
      </w:r>
      <w:r w:rsidR="001F3C80">
        <w:rPr>
          <w:rFonts w:cs="Calibri"/>
        </w:rPr>
        <w:t>in mature stands</w:t>
      </w:r>
      <w:r w:rsidR="00E75C5C">
        <w:rPr>
          <w:rFonts w:cs="Calibri"/>
        </w:rPr>
        <w:t xml:space="preserve"> have merchantable sawtimber above this high grade fraction</w:t>
      </w:r>
      <w:r w:rsidR="001F3C80">
        <w:rPr>
          <w:rFonts w:cs="Calibri"/>
        </w:rPr>
        <w:t xml:space="preserve">, this merchantable height growth assumption made stumpage and HWP carbon values </w:t>
      </w:r>
      <w:r w:rsidR="002C5776">
        <w:rPr>
          <w:rFonts w:cs="Calibri"/>
        </w:rPr>
        <w:t xml:space="preserve">for hardwood lumber </w:t>
      </w:r>
      <w:r w:rsidR="001F3C80">
        <w:rPr>
          <w:rFonts w:cs="Calibri"/>
        </w:rPr>
        <w:t xml:space="preserve">more conservative.  </w:t>
      </w:r>
      <w:r w:rsidR="002C5776">
        <w:rPr>
          <w:rFonts w:cs="Calibri"/>
        </w:rPr>
        <w:t>Because it is unclear whether</w:t>
      </w:r>
      <w:r w:rsidR="001F3C80">
        <w:rPr>
          <w:rFonts w:cs="Calibri"/>
        </w:rPr>
        <w:t xml:space="preserve"> </w:t>
      </w:r>
      <w:r w:rsidR="00652175" w:rsidRPr="007E47B6">
        <w:rPr>
          <w:rFonts w:cs="Calibri"/>
        </w:rPr>
        <w:t xml:space="preserve">stumpage </w:t>
      </w:r>
      <w:r w:rsidR="001F3C80">
        <w:rPr>
          <w:rFonts w:cs="Calibri"/>
        </w:rPr>
        <w:t>rates</w:t>
      </w:r>
      <w:r w:rsidR="00652175" w:rsidRPr="007E47B6">
        <w:rPr>
          <w:rFonts w:cs="Calibri"/>
        </w:rPr>
        <w:t xml:space="preserve"> were based on </w:t>
      </w:r>
      <w:r w:rsidR="007E2178">
        <w:rPr>
          <w:rFonts w:cs="Calibri"/>
        </w:rPr>
        <w:t xml:space="preserve">actual harvested </w:t>
      </w:r>
      <w:r w:rsidR="00652175" w:rsidRPr="007E47B6">
        <w:rPr>
          <w:rFonts w:cs="Calibri"/>
        </w:rPr>
        <w:t>volumes</w:t>
      </w:r>
      <w:r w:rsidR="002C5776">
        <w:rPr>
          <w:rFonts w:cs="Calibri"/>
        </w:rPr>
        <w:t xml:space="preserve"> or sawn volumes, </w:t>
      </w:r>
      <w:r w:rsidR="00652175">
        <w:rPr>
          <w:rFonts w:cs="Calibri"/>
        </w:rPr>
        <w:t>Doyle</w:t>
      </w:r>
      <w:r w:rsidR="00652175" w:rsidRPr="007E47B6">
        <w:rPr>
          <w:rFonts w:cs="Calibri"/>
        </w:rPr>
        <w:t xml:space="preserve"> volume calculations </w:t>
      </w:r>
      <w:r w:rsidR="002C5776">
        <w:rPr>
          <w:rFonts w:cs="Calibri"/>
        </w:rPr>
        <w:t xml:space="preserve">were adjusted </w:t>
      </w:r>
      <w:r w:rsidR="00652175" w:rsidRPr="007E47B6">
        <w:rPr>
          <w:rFonts w:cs="Calibri"/>
        </w:rPr>
        <w:t xml:space="preserve">to </w:t>
      </w:r>
      <w:r w:rsidR="00FD2D85">
        <w:rPr>
          <w:rFonts w:cs="Calibri"/>
        </w:rPr>
        <w:t>exclude</w:t>
      </w:r>
      <w:r w:rsidR="00652175" w:rsidRPr="007E47B6">
        <w:rPr>
          <w:rFonts w:cs="Calibri"/>
        </w:rPr>
        <w:t xml:space="preserve"> </w:t>
      </w:r>
      <w:r w:rsidR="002C5776">
        <w:rPr>
          <w:rFonts w:cs="Calibri"/>
        </w:rPr>
        <w:t xml:space="preserve">the assumed </w:t>
      </w:r>
      <w:r w:rsidR="00652175">
        <w:rPr>
          <w:rFonts w:cs="Calibri"/>
        </w:rPr>
        <w:t>4″</w:t>
      </w:r>
      <w:r w:rsidR="00652175" w:rsidRPr="007E47B6">
        <w:rPr>
          <w:rFonts w:cs="Calibri"/>
        </w:rPr>
        <w:t xml:space="preserve"> </w:t>
      </w:r>
      <w:r w:rsidR="002C5776">
        <w:rPr>
          <w:rFonts w:cs="Calibri"/>
        </w:rPr>
        <w:t xml:space="preserve">of </w:t>
      </w:r>
      <w:r w:rsidR="00652175" w:rsidRPr="007E47B6">
        <w:rPr>
          <w:rFonts w:cs="Calibri"/>
        </w:rPr>
        <w:t xml:space="preserve">trim </w:t>
      </w:r>
      <w:r w:rsidR="002C5776">
        <w:rPr>
          <w:rFonts w:cs="Calibri"/>
        </w:rPr>
        <w:t xml:space="preserve">(extra length) </w:t>
      </w:r>
      <w:r w:rsidR="00652175" w:rsidRPr="007E47B6">
        <w:rPr>
          <w:rFonts w:cs="Calibri"/>
        </w:rPr>
        <w:t xml:space="preserve">on each sawlog.  </w:t>
      </w:r>
      <w:r w:rsidR="00617619">
        <w:rPr>
          <w:rFonts w:cs="Calibri"/>
        </w:rPr>
        <w:t xml:space="preserve">All </w:t>
      </w:r>
      <w:r w:rsidR="007E2178">
        <w:rPr>
          <w:rFonts w:cs="Calibri"/>
        </w:rPr>
        <w:t xml:space="preserve">cut </w:t>
      </w:r>
      <w:r w:rsidR="00617619">
        <w:rPr>
          <w:rFonts w:cs="Calibri"/>
        </w:rPr>
        <w:t xml:space="preserve">poletimber and the pulpwood </w:t>
      </w:r>
      <w:r w:rsidR="003A2315">
        <w:rPr>
          <w:rFonts w:cs="Calibri"/>
        </w:rPr>
        <w:t>portion of</w:t>
      </w:r>
      <w:r w:rsidR="00617619">
        <w:rPr>
          <w:rFonts w:cs="Calibri"/>
        </w:rPr>
        <w:t xml:space="preserve"> </w:t>
      </w:r>
      <w:r w:rsidR="0081497E">
        <w:rPr>
          <w:rFonts w:cs="Calibri"/>
        </w:rPr>
        <w:t>sawtimber</w:t>
      </w:r>
      <w:r w:rsidR="00617619">
        <w:rPr>
          <w:rFonts w:cs="Calibri"/>
        </w:rPr>
        <w:t xml:space="preserve"> </w:t>
      </w:r>
      <w:r w:rsidR="003A2315">
        <w:rPr>
          <w:rFonts w:cs="Calibri"/>
        </w:rPr>
        <w:t xml:space="preserve">trees </w:t>
      </w:r>
      <w:r w:rsidR="0081497E">
        <w:rPr>
          <w:rFonts w:cs="Calibri"/>
        </w:rPr>
        <w:t>(</w:t>
      </w:r>
      <w:r w:rsidR="00617619">
        <w:rPr>
          <w:rFonts w:cs="Calibri"/>
        </w:rPr>
        <w:t>to 4″DOBs</w:t>
      </w:r>
      <w:r w:rsidR="0081497E">
        <w:rPr>
          <w:rFonts w:cs="Calibri"/>
        </w:rPr>
        <w:t>)</w:t>
      </w:r>
      <w:r w:rsidR="00617619">
        <w:rPr>
          <w:rFonts w:cs="Calibri"/>
        </w:rPr>
        <w:t xml:space="preserve"> were assumed to be harvested</w:t>
      </w:r>
      <w:r w:rsidR="004514F9">
        <w:rPr>
          <w:rFonts w:cs="Calibri"/>
        </w:rPr>
        <w:t xml:space="preserve"> in the project scenario but not in the BAU scenario</w:t>
      </w:r>
      <w:r w:rsidR="00617619">
        <w:rPr>
          <w:rFonts w:cs="Calibri"/>
        </w:rPr>
        <w:t xml:space="preserve">.  </w:t>
      </w:r>
      <w:r w:rsidR="00652175" w:rsidRPr="007E47B6">
        <w:rPr>
          <w:rFonts w:cs="Calibri"/>
        </w:rPr>
        <w:t xml:space="preserve">In addition, sawtimber trees </w:t>
      </w:r>
      <w:r w:rsidR="00252939">
        <w:rPr>
          <w:rFonts w:cs="Calibri"/>
        </w:rPr>
        <w:t>under 19</w:t>
      </w:r>
      <w:r w:rsidR="00252939" w:rsidRPr="00252939">
        <w:rPr>
          <w:rFonts w:cs="Calibri"/>
        </w:rPr>
        <w:t>″</w:t>
      </w:r>
      <w:r w:rsidR="00252939">
        <w:rPr>
          <w:rFonts w:cs="Calibri"/>
        </w:rPr>
        <w:t xml:space="preserve"> DBH </w:t>
      </w:r>
      <w:r w:rsidR="00652175" w:rsidRPr="007E47B6">
        <w:rPr>
          <w:rFonts w:cs="Calibri"/>
        </w:rPr>
        <w:t xml:space="preserve">with more than 35 percent cull </w:t>
      </w:r>
      <w:r w:rsidR="00252939">
        <w:rPr>
          <w:rFonts w:cs="Calibri"/>
        </w:rPr>
        <w:t xml:space="preserve">or larger trees with more than 40 percent cull </w:t>
      </w:r>
      <w:r w:rsidR="00652175" w:rsidRPr="007E47B6">
        <w:rPr>
          <w:rFonts w:cs="Calibri"/>
        </w:rPr>
        <w:t xml:space="preserve">contributed only to </w:t>
      </w:r>
      <w:r w:rsidR="00652175" w:rsidRPr="007E47B6">
        <w:rPr>
          <w:rFonts w:cs="Calibri"/>
        </w:rPr>
        <w:lastRenderedPageBreak/>
        <w:t xml:space="preserve">pulpwood </w:t>
      </w:r>
      <w:r w:rsidR="00C222AC">
        <w:rPr>
          <w:rFonts w:cs="Calibri"/>
        </w:rPr>
        <w:t>sales</w:t>
      </w:r>
      <w:r w:rsidR="003A2315">
        <w:rPr>
          <w:rStyle w:val="FootnoteReference"/>
        </w:rPr>
        <w:footnoteReference w:id="19"/>
      </w:r>
      <w:r w:rsidR="00652175" w:rsidRPr="007E47B6">
        <w:rPr>
          <w:rFonts w:cs="Calibri"/>
        </w:rPr>
        <w:t xml:space="preserve"> since it is uncommon for sawmills to apply the requisite time-consuming scaling rules for defective logs </w:t>
      </w:r>
      <w:r w:rsidR="00652175" w:rsidRPr="007E47B6">
        <w:rPr>
          <w:rFonts w:cs="Calibri"/>
        </w:rPr>
        <w:fldChar w:fldCharType="begin"/>
      </w:r>
      <w:r w:rsidR="00A87D07">
        <w:rPr>
          <w:rFonts w:cs="Calibri"/>
        </w:rPr>
        <w:instrText xml:space="preserve"> ADDIN EN.CITE &lt;EndNote&gt;&lt;Cite&gt;&lt;Author&gt;Cassens&lt;/Author&gt;&lt;Year&gt;2001&lt;/Year&gt;&lt;RecNum&gt;209&lt;/RecNum&gt;&lt;DisplayText&gt;(Cassens 2001)&lt;/DisplayText&gt;&lt;record&gt;&lt;rec-number&gt;209&lt;/rec-number&gt;&lt;foreign-keys&gt;&lt;key app="EN" db-id="a90s5zadewrawxeer07v2f90xr5vxv022sat"&gt;209&lt;/key&gt;&lt;/foreign-keys&gt;&lt;ref-type name="Report"&gt;27&lt;/ref-type&gt;&lt;contributors&gt;&lt;authors&gt;&lt;author&gt;Daniel Cassens&lt;/author&gt;&lt;/authors&gt;&lt;/contributors&gt;&lt;titles&gt;&lt;title&gt;Log and Tree Scaling Techniques. Publication FNR-191. West Lafayette, Indiana: Purdue University Cooperative Extension Service. 16 p&lt;/title&gt;&lt;/titles&gt;&lt;dates&gt;&lt;year&gt;2001&lt;/year&gt;&lt;/dates&gt;&lt;urls&gt;&lt;/urls&gt;&lt;/record&gt;&lt;/Cite&gt;&lt;/EndNote&gt;</w:instrText>
      </w:r>
      <w:r w:rsidR="00652175" w:rsidRPr="007E47B6">
        <w:rPr>
          <w:rFonts w:cs="Calibri"/>
        </w:rPr>
        <w:fldChar w:fldCharType="separate"/>
      </w:r>
      <w:r w:rsidR="00A87D07">
        <w:rPr>
          <w:rFonts w:cs="Calibri"/>
          <w:noProof/>
        </w:rPr>
        <w:t>(</w:t>
      </w:r>
      <w:hyperlink w:anchor="_ENREF_36" w:tooltip="Cassens, 2001 #209" w:history="1">
        <w:r w:rsidR="001E4C88">
          <w:rPr>
            <w:rFonts w:cs="Calibri"/>
            <w:noProof/>
          </w:rPr>
          <w:t>Cassens 2001</w:t>
        </w:r>
      </w:hyperlink>
      <w:r w:rsidR="00A87D07">
        <w:rPr>
          <w:rFonts w:cs="Calibri"/>
          <w:noProof/>
        </w:rPr>
        <w:t>)</w:t>
      </w:r>
      <w:r w:rsidR="00652175" w:rsidRPr="007E47B6">
        <w:rPr>
          <w:rFonts w:cs="Calibri"/>
        </w:rPr>
        <w:fldChar w:fldCharType="end"/>
      </w:r>
      <w:r w:rsidR="00617619">
        <w:rPr>
          <w:rFonts w:cs="Calibri"/>
        </w:rPr>
        <w:t>.</w:t>
      </w:r>
    </w:p>
    <w:p w:rsidR="00480358" w:rsidRDefault="00465CD3" w:rsidP="00531D08">
      <w:pPr>
        <w:autoSpaceDE w:val="0"/>
        <w:autoSpaceDN w:val="0"/>
        <w:adjustRightInd w:val="0"/>
        <w:spacing w:line="480" w:lineRule="auto"/>
        <w:ind w:firstLine="720"/>
        <w:rPr>
          <w:rFonts w:asciiTheme="minorHAnsi" w:hAnsiTheme="minorHAnsi" w:cstheme="minorHAnsi"/>
        </w:rPr>
      </w:pPr>
      <w:r>
        <w:t xml:space="preserve">To inform management decisions and wood product allocation, </w:t>
      </w:r>
      <w:r w:rsidR="006A3E3A">
        <w:t>FVS tree value codes</w:t>
      </w:r>
      <w:r>
        <w:t xml:space="preserve"> </w:t>
      </w:r>
      <w:r w:rsidR="00061C37">
        <w:t>were u</w:t>
      </w:r>
      <w:r w:rsidR="00334405">
        <w:t>sed to distinguish between tree conditions on a tree grade or canopy class basis.</w:t>
      </w:r>
      <w:r w:rsidR="00061C37">
        <w:t xml:space="preserve">  </w:t>
      </w:r>
      <w:r w:rsidR="00446CCE">
        <w:t xml:space="preserve">Under the assumption that the future condition of each </w:t>
      </w:r>
      <w:r w:rsidR="00334405">
        <w:t xml:space="preserve">merchantable </w:t>
      </w:r>
      <w:r w:rsidR="00446CCE">
        <w:t>tree was more than likely predictable from indicators present at the first sampling, conditions from both inventories were considered in the assignment of tree values</w:t>
      </w:r>
      <w:r w:rsidR="006A3E3A">
        <w:t>.</w:t>
      </w:r>
      <w:r w:rsidR="004E6B21" w:rsidRPr="00C51473">
        <w:rPr>
          <w:b/>
        </w:rPr>
        <w:t xml:space="preserve">  </w:t>
      </w:r>
      <w:r w:rsidR="00DC7B0B" w:rsidRPr="00724B9D">
        <w:t xml:space="preserve">Other than some cases where trees </w:t>
      </w:r>
      <w:r w:rsidR="005837C8">
        <w:t xml:space="preserve">in the first inventory </w:t>
      </w:r>
      <w:r w:rsidR="00DC7B0B" w:rsidRPr="00724B9D">
        <w:t>showed compelling signs of impending mortality</w:t>
      </w:r>
      <w:r w:rsidR="000E0994">
        <w:t>,</w:t>
      </w:r>
      <w:r w:rsidR="00DC7B0B" w:rsidRPr="00724B9D">
        <w:t xml:space="preserve"> mortality </w:t>
      </w:r>
      <w:r w:rsidR="005837C8">
        <w:t xml:space="preserve">observed </w:t>
      </w:r>
      <w:r w:rsidR="00DC7B0B" w:rsidRPr="00724B9D">
        <w:t>in-between inventories was n</w:t>
      </w:r>
      <w:r w:rsidR="00724B9D" w:rsidRPr="00724B9D">
        <w:t>ot reflected in simulations.</w:t>
      </w:r>
      <w:r w:rsidR="005837C8">
        <w:t xml:space="preserve"> </w:t>
      </w:r>
      <w:r w:rsidR="00773E6E">
        <w:t xml:space="preserve"> </w:t>
      </w:r>
      <w:r w:rsidR="002C5776">
        <w:rPr>
          <w:rFonts w:asciiTheme="minorHAnsi" w:hAnsiTheme="minorHAnsi" w:cstheme="minorHAnsi"/>
        </w:rPr>
        <w:t>As a consequence</w:t>
      </w:r>
      <w:r w:rsidR="00E252A8">
        <w:rPr>
          <w:rFonts w:asciiTheme="minorHAnsi" w:hAnsiTheme="minorHAnsi" w:cstheme="minorHAnsi"/>
        </w:rPr>
        <w:t xml:space="preserve">, trees that were actually </w:t>
      </w:r>
      <w:r w:rsidR="00252939">
        <w:rPr>
          <w:rFonts w:asciiTheme="minorHAnsi" w:hAnsiTheme="minorHAnsi" w:cstheme="minorHAnsi"/>
        </w:rPr>
        <w:t>dying</w:t>
      </w:r>
      <w:r w:rsidR="00E252A8">
        <w:rPr>
          <w:rFonts w:asciiTheme="minorHAnsi" w:hAnsiTheme="minorHAnsi" w:cstheme="minorHAnsi"/>
        </w:rPr>
        <w:t xml:space="preserve"> </w:t>
      </w:r>
      <w:r w:rsidR="002C5776">
        <w:rPr>
          <w:rFonts w:asciiTheme="minorHAnsi" w:hAnsiTheme="minorHAnsi" w:cstheme="minorHAnsi"/>
        </w:rPr>
        <w:t xml:space="preserve">instead </w:t>
      </w:r>
      <w:r w:rsidR="00E252A8">
        <w:rPr>
          <w:rFonts w:asciiTheme="minorHAnsi" w:hAnsiTheme="minorHAnsi" w:cstheme="minorHAnsi"/>
        </w:rPr>
        <w:t>lived on in the management scenarios</w:t>
      </w:r>
      <w:r w:rsidR="00460208">
        <w:rPr>
          <w:rFonts w:asciiTheme="minorHAnsi" w:hAnsiTheme="minorHAnsi" w:cstheme="minorHAnsi"/>
        </w:rPr>
        <w:t xml:space="preserve"> until harvested</w:t>
      </w:r>
      <w:r w:rsidR="002C5776">
        <w:rPr>
          <w:rFonts w:asciiTheme="minorHAnsi" w:hAnsiTheme="minorHAnsi" w:cstheme="minorHAnsi"/>
        </w:rPr>
        <w:t>, which</w:t>
      </w:r>
      <w:r w:rsidR="00E252A8">
        <w:rPr>
          <w:rFonts w:asciiTheme="minorHAnsi" w:hAnsiTheme="minorHAnsi" w:cstheme="minorHAnsi"/>
        </w:rPr>
        <w:t xml:space="preserve"> helped keep stand SDI elevated, thereby helping</w:t>
      </w:r>
      <w:r w:rsidR="00334405">
        <w:rPr>
          <w:rFonts w:asciiTheme="minorHAnsi" w:hAnsiTheme="minorHAnsi" w:cstheme="minorHAnsi"/>
        </w:rPr>
        <w:t xml:space="preserve"> to</w:t>
      </w:r>
      <w:r w:rsidR="00FB5C1A">
        <w:rPr>
          <w:rFonts w:asciiTheme="minorHAnsi" w:hAnsiTheme="minorHAnsi" w:cstheme="minorHAnsi"/>
        </w:rPr>
        <w:t xml:space="preserve"> counteract potentially excessive </w:t>
      </w:r>
      <w:r w:rsidR="00E252A8">
        <w:rPr>
          <w:rFonts w:asciiTheme="minorHAnsi" w:hAnsiTheme="minorHAnsi" w:cstheme="minorHAnsi"/>
        </w:rPr>
        <w:t xml:space="preserve">net growth </w:t>
      </w:r>
      <w:r w:rsidR="00652175">
        <w:rPr>
          <w:rFonts w:asciiTheme="minorHAnsi" w:hAnsiTheme="minorHAnsi" w:cstheme="minorHAnsi"/>
        </w:rPr>
        <w:t>induced</w:t>
      </w:r>
      <w:r w:rsidR="00E252A8">
        <w:rPr>
          <w:rFonts w:asciiTheme="minorHAnsi" w:hAnsiTheme="minorHAnsi" w:cstheme="minorHAnsi"/>
        </w:rPr>
        <w:t xml:space="preserve"> by </w:t>
      </w:r>
      <w:r w:rsidR="00460208">
        <w:rPr>
          <w:rFonts w:asciiTheme="minorHAnsi" w:hAnsiTheme="minorHAnsi" w:cstheme="minorHAnsi"/>
        </w:rPr>
        <w:t xml:space="preserve">the </w:t>
      </w:r>
      <w:r w:rsidR="00E252A8">
        <w:rPr>
          <w:rFonts w:asciiTheme="minorHAnsi" w:hAnsiTheme="minorHAnsi" w:cstheme="minorHAnsi"/>
        </w:rPr>
        <w:t xml:space="preserve">small-tree growth </w:t>
      </w:r>
      <w:r w:rsidR="007E2178">
        <w:rPr>
          <w:rFonts w:asciiTheme="minorHAnsi" w:hAnsiTheme="minorHAnsi" w:cstheme="minorHAnsi"/>
        </w:rPr>
        <w:t>reductions</w:t>
      </w:r>
      <w:r w:rsidR="00460208">
        <w:rPr>
          <w:rFonts w:asciiTheme="minorHAnsi" w:hAnsiTheme="minorHAnsi" w:cstheme="minorHAnsi"/>
        </w:rPr>
        <w:t xml:space="preserve"> mentioned earlier</w:t>
      </w:r>
      <w:r w:rsidR="00223669">
        <w:rPr>
          <w:rFonts w:asciiTheme="minorHAnsi" w:hAnsiTheme="minorHAnsi" w:cstheme="minorHAnsi"/>
        </w:rPr>
        <w:t>.</w:t>
      </w:r>
    </w:p>
    <w:p w:rsidR="003D00A9" w:rsidRPr="002B58DD" w:rsidRDefault="003D00A9" w:rsidP="006A1A98">
      <w:pPr>
        <w:numPr>
          <w:ilvl w:val="2"/>
          <w:numId w:val="16"/>
        </w:numPr>
        <w:spacing w:line="480" w:lineRule="auto"/>
        <w:rPr>
          <w:b/>
          <w:bCs/>
          <w:i/>
        </w:rPr>
      </w:pPr>
      <w:r w:rsidRPr="002B58DD">
        <w:rPr>
          <w:rFonts w:cs="TimesNewRomanPSMT"/>
          <w:b/>
          <w:bCs/>
          <w:i/>
        </w:rPr>
        <w:t>BAU Simulation</w:t>
      </w:r>
    </w:p>
    <w:p w:rsidR="00B03197" w:rsidRDefault="00027819" w:rsidP="00591524">
      <w:pPr>
        <w:spacing w:line="480" w:lineRule="auto"/>
        <w:ind w:firstLine="720"/>
      </w:pPr>
      <w:r>
        <w:t xml:space="preserve">The timber market </w:t>
      </w:r>
      <w:r w:rsidR="007442EB">
        <w:t>situation</w:t>
      </w:r>
      <w:r>
        <w:t xml:space="preserve"> mentioned </w:t>
      </w:r>
      <w:r w:rsidR="007442EB">
        <w:t xml:space="preserve">earlier </w:t>
      </w:r>
      <w:r>
        <w:t>co</w:t>
      </w:r>
      <w:r w:rsidRPr="00EC024A">
        <w:t xml:space="preserve">uld fortuitously set the stage for many </w:t>
      </w:r>
      <w:r w:rsidR="005926F5">
        <w:t>FFOs</w:t>
      </w:r>
      <w:r w:rsidRPr="00EC024A">
        <w:t xml:space="preserve"> who presumably ha</w:t>
      </w:r>
      <w:r>
        <w:t>ve</w:t>
      </w:r>
      <w:r w:rsidRPr="00EC024A">
        <w:t xml:space="preserve"> recently experienced some degree of</w:t>
      </w:r>
      <w:r w:rsidR="005926F5">
        <w:t xml:space="preserve"> financial </w:t>
      </w:r>
      <w:r w:rsidR="008D58D2">
        <w:t>limitation</w:t>
      </w:r>
      <w:r w:rsidR="005926F5">
        <w:t xml:space="preserve"> or stress</w:t>
      </w:r>
      <w:r w:rsidRPr="00EC024A">
        <w:t xml:space="preserve"> to look favorably on the opportunity to earn supplementary</w:t>
      </w:r>
      <w:r w:rsidR="00C20C34">
        <w:t xml:space="preserve"> income from timber harvesting.</w:t>
      </w:r>
      <w:r>
        <w:t xml:space="preserve"> </w:t>
      </w:r>
      <w:r w:rsidR="00622B35">
        <w:t xml:space="preserve"> </w:t>
      </w:r>
      <w:r w:rsidR="0083116F" w:rsidRPr="0083116F">
        <w:t xml:space="preserve">Although retaining a seemingly adequate amount of sizable trees on steep but accessible terrain portrays (to the untrained eye) a compromise between timber and amenity values, “thinning” sawtimber stands from above down to a diameter limit can ironically render higher net revenues </w:t>
      </w:r>
      <w:r w:rsidR="006675AB">
        <w:t>than</w:t>
      </w:r>
      <w:r w:rsidR="0083116F" w:rsidRPr="0083116F">
        <w:t xml:space="preserve"> clearcutting</w:t>
      </w:r>
      <w:r w:rsidR="0083116F">
        <w:t xml:space="preserve"> </w:t>
      </w:r>
      <w:r w:rsidR="0083116F">
        <w:fldChar w:fldCharType="begin"/>
      </w:r>
      <w:r w:rsidR="00CE2DF2">
        <w:instrText xml:space="preserve"> ADDIN EN.CITE &lt;EndNote&gt;&lt;Cite&gt;&lt;Author&gt;Baumgras&lt;/Author&gt;&lt;Year&gt;1995&lt;/Year&gt;&lt;RecNum&gt;157&lt;/RecNum&gt;&lt;DisplayText&gt;(Baumgras and Ledoux 1995; Miller 1993)&lt;/DisplayText&gt;&lt;record&gt;&lt;rec-number&gt;157&lt;/rec-number&gt;&lt;foreign-keys&gt;&lt;key app="EN" db-id="a90s5zadewrawxeer07v2f90xr5vxv022sat"&gt;157&lt;/key&gt;&lt;/foreign-keys&gt;&lt;ref-type name="Report"&gt;27&lt;/ref-type&gt;&lt;contributors&gt;&lt;authors&gt;&lt;author&gt;Baumgras, John E.&lt;/author&gt;&lt;author&gt;LeDoux, Chris B.&lt;/author&gt;&lt;/authors&gt;&lt;/contributors&gt;&lt;titles&gt;&lt;title&gt;Hardwood silviculture and skyline yarding on steep slopes: economic and environmental impacts. In: Gottschalk, Kurt W.; Fosbroke, Sandra L. C., ed. Proceedings, 10th Central Hardwood Forest Conference; 1995 March 5-8; Morgantown, WV.: Gen. Tech. Rep. NE-197. Radnor, PA: U.S. Department of Agriculture, Forest Service, Northeastern Forest Experiment Station. 463-473&lt;/title&gt;&lt;/titles&gt;&lt;dates&gt;&lt;year&gt;1995&lt;/year&gt;&lt;/dates&gt;&lt;urls&gt;&lt;/urls&gt;&lt;/record&gt;&lt;/Cite&gt;&lt;Cite&gt;&lt;Author&gt;Miller&lt;/Author&gt;&lt;Year&gt;1993&lt;/Year&gt;&lt;RecNum&gt;219&lt;/RecNum&gt;&lt;record&gt;&lt;rec-number&gt;219&lt;/rec-number&gt;&lt;foreign-keys&gt;&lt;key app="EN" db-id="a90s5zadewrawxeer07v2f90xr5vxv022sat"&gt;219&lt;/key&gt;&lt;/foreign-keys&gt;&lt;ref-type name="Journal Article"&gt;17&lt;/ref-type&gt;&lt;contributors&gt;&lt;authors&gt;&lt;author&gt;Miller, Gary W.&lt;/author&gt;&lt;/authors&gt;&lt;/contributors&gt;&lt;titles&gt;&lt;title&gt;Financial aspects of partial cutting practices in central Appalachian hardwoods. Res. Pap. NE-673. Radnor, PA: U.S. Department of Agriculture, Forest Service, Northeastern Forest Experiment Station. 9 p&lt;/title&gt;&lt;/titles&gt;&lt;dates&gt;&lt;year&gt;1993&lt;/year&gt;&lt;/dates&gt;&lt;urls&gt;&lt;related-urls&gt;&lt;url&gt;http://www.treesearch.fs.fed.us/pubs/20775&lt;/url&gt;&lt;/related-urls&gt;&lt;/urls&gt;&lt;/record&gt;&lt;/Cite&gt;&lt;/EndNote&gt;</w:instrText>
      </w:r>
      <w:r w:rsidR="0083116F">
        <w:fldChar w:fldCharType="separate"/>
      </w:r>
      <w:r w:rsidR="00CE2DF2">
        <w:rPr>
          <w:noProof/>
        </w:rPr>
        <w:t>(</w:t>
      </w:r>
      <w:hyperlink w:anchor="_ENREF_24" w:tooltip="Baumgras, 1995 #157" w:history="1">
        <w:r w:rsidR="001E4C88">
          <w:rPr>
            <w:noProof/>
          </w:rPr>
          <w:t>Baumgras and Ledoux 1995</w:t>
        </w:r>
      </w:hyperlink>
      <w:r w:rsidR="00CE2DF2">
        <w:rPr>
          <w:noProof/>
        </w:rPr>
        <w:t xml:space="preserve">; </w:t>
      </w:r>
      <w:hyperlink w:anchor="_ENREF_94" w:tooltip="Miller, 1993 #219" w:history="1">
        <w:r w:rsidR="001E4C88">
          <w:rPr>
            <w:noProof/>
          </w:rPr>
          <w:t>Miller 1993</w:t>
        </w:r>
      </w:hyperlink>
      <w:r w:rsidR="00CE2DF2">
        <w:rPr>
          <w:noProof/>
        </w:rPr>
        <w:t>)</w:t>
      </w:r>
      <w:r w:rsidR="0083116F">
        <w:fldChar w:fldCharType="end"/>
      </w:r>
      <w:r w:rsidR="0083116F" w:rsidRPr="0083116F">
        <w:t>.</w:t>
      </w:r>
      <w:r w:rsidR="0083116F">
        <w:t xml:space="preserve">  </w:t>
      </w:r>
      <w:r w:rsidR="00622B35">
        <w:t>Therefore,</w:t>
      </w:r>
      <w:r w:rsidR="00B30539">
        <w:t xml:space="preserve"> the BAU scenario was built to simulate </w:t>
      </w:r>
      <w:r w:rsidR="00622B35">
        <w:t>a</w:t>
      </w:r>
      <w:r w:rsidR="00B30539">
        <w:t xml:space="preserve"> series</w:t>
      </w:r>
      <w:r w:rsidR="00622B35">
        <w:t xml:space="preserve"> </w:t>
      </w:r>
      <w:r w:rsidR="00B30539">
        <w:t xml:space="preserve">of </w:t>
      </w:r>
      <w:r w:rsidR="00622B35">
        <w:t>DL harvest</w:t>
      </w:r>
      <w:r w:rsidR="00B30539">
        <w:t>s</w:t>
      </w:r>
      <w:r w:rsidR="00622B35">
        <w:t xml:space="preserve"> </w:t>
      </w:r>
      <w:r w:rsidR="00E94BA4">
        <w:t>for each of two harvest groups</w:t>
      </w:r>
      <w:r w:rsidR="00B30539">
        <w:t xml:space="preserve">.  The </w:t>
      </w:r>
      <w:r w:rsidR="00622B35">
        <w:t xml:space="preserve">five stands </w:t>
      </w:r>
      <w:r w:rsidR="006B679B">
        <w:t xml:space="preserve">with the largest mean DBH (trees </w:t>
      </w:r>
      <w:r w:rsidR="00AD2180">
        <w:t>5+</w:t>
      </w:r>
      <w:r w:rsidR="00EC57F4">
        <w:rPr>
          <w:rFonts w:cs="Calibri"/>
        </w:rPr>
        <w:t>″</w:t>
      </w:r>
      <w:r w:rsidR="006145FA">
        <w:t xml:space="preserve">DBH) </w:t>
      </w:r>
      <w:r w:rsidR="00E94BA4">
        <w:t>comprised the first harvest group and were</w:t>
      </w:r>
      <w:r w:rsidR="00B30539">
        <w:t xml:space="preserve"> </w:t>
      </w:r>
      <w:r w:rsidR="00B03197">
        <w:t xml:space="preserve">scheduled to be cut </w:t>
      </w:r>
      <w:r w:rsidR="003D7FA8">
        <w:t>initially</w:t>
      </w:r>
      <w:r w:rsidR="00E94BA4">
        <w:t xml:space="preserve"> </w:t>
      </w:r>
      <w:r w:rsidR="00622B35" w:rsidRPr="00EC024A">
        <w:t>at</w:t>
      </w:r>
      <w:r w:rsidR="00622B35">
        <w:t xml:space="preserve"> the end of year two of the simulation (201</w:t>
      </w:r>
      <w:r w:rsidR="002C5776">
        <w:t>3</w:t>
      </w:r>
      <w:r w:rsidR="00622B35">
        <w:t>)</w:t>
      </w:r>
      <w:r w:rsidR="00FB1FC0">
        <w:t>;</w:t>
      </w:r>
      <w:r w:rsidR="00622B35">
        <w:t xml:space="preserve"> the </w:t>
      </w:r>
      <w:r w:rsidR="00E94BA4">
        <w:t>second group of five</w:t>
      </w:r>
      <w:r w:rsidR="00622B35">
        <w:t xml:space="preserve"> </w:t>
      </w:r>
      <w:r w:rsidR="005926F5">
        <w:t>r</w:t>
      </w:r>
      <w:r w:rsidR="00622B35">
        <w:t>eceived the same treatment te</w:t>
      </w:r>
      <w:r w:rsidR="00F76D3E">
        <w:t xml:space="preserve">n years later.  </w:t>
      </w:r>
      <w:r w:rsidR="004D380A">
        <w:t>Both groups were subjected to DL cuts every</w:t>
      </w:r>
      <w:r w:rsidR="006675AB">
        <w:t xml:space="preserve"> </w:t>
      </w:r>
      <w:r w:rsidR="005926F5">
        <w:t>4</w:t>
      </w:r>
      <w:r w:rsidR="004D380A">
        <w:t>0 years thereafter</w:t>
      </w:r>
      <w:r w:rsidR="005926F5">
        <w:t xml:space="preserve"> (205</w:t>
      </w:r>
      <w:r w:rsidR="002C5776">
        <w:t>3</w:t>
      </w:r>
      <w:r w:rsidR="005926F5">
        <w:t>/206</w:t>
      </w:r>
      <w:r w:rsidR="002C5776">
        <w:t>3</w:t>
      </w:r>
      <w:r w:rsidR="005926F5">
        <w:t>/209</w:t>
      </w:r>
      <w:r w:rsidR="002C5776">
        <w:t>3</w:t>
      </w:r>
      <w:r w:rsidR="005926F5">
        <w:t>/210</w:t>
      </w:r>
      <w:r w:rsidR="002C5776">
        <w:t>3</w:t>
      </w:r>
      <w:r w:rsidR="005926F5">
        <w:t>)</w:t>
      </w:r>
      <w:r w:rsidR="004D380A">
        <w:t xml:space="preserve">. </w:t>
      </w:r>
      <w:r w:rsidR="006675AB">
        <w:t xml:space="preserve"> </w:t>
      </w:r>
      <w:r w:rsidR="003222D1">
        <w:t xml:space="preserve">Harvest areas of this </w:t>
      </w:r>
      <w:r w:rsidR="003222D1">
        <w:lastRenderedPageBreak/>
        <w:t xml:space="preserve">size </w:t>
      </w:r>
      <w:r w:rsidR="00773E6E">
        <w:t xml:space="preserve">(200ac) </w:t>
      </w:r>
      <w:r w:rsidR="003222D1">
        <w:t xml:space="preserve">are relatively common compared to those observed on the south end of the TN Cumberlands </w:t>
      </w:r>
      <w:r w:rsidR="003222D1">
        <w:fldChar w:fldCharType="begin"/>
      </w:r>
      <w:r w:rsidR="00083723">
        <w:instrText xml:space="preserve"> ADDIN EN.CITE &lt;EndNote&gt;&lt;Cite&gt;&lt;Author&gt;McGrath&lt;/Author&gt;&lt;Year&gt;2004&lt;/Year&gt;&lt;RecNum&gt;124&lt;/RecNum&gt;&lt;DisplayText&gt;(Mcgrath et al. 2004)&lt;/DisplayText&gt;&lt;record&gt;&lt;rec-number&gt;124&lt;/rec-number&gt;&lt;foreign-keys&gt;&lt;key app="EN" db-id="a90s5zadewrawxeer07v2f90xr5vxv022sat"&gt;124&lt;/key&gt;&lt;/foreign-keys&gt;&lt;ref-type name="Journal Article"&gt;17&lt;/ref-type&gt;&lt;contributors&gt;&lt;authors&gt;&lt;author&gt;McGrath, Deborah A.&lt;/author&gt;&lt;author&gt;Evans, Jonathan P.&lt;/author&gt;&lt;author&gt;Smith, C. Ken&lt;/author&gt;&lt;author&gt;Haskell, David G.&lt;/author&gt;&lt;author&gt;Pelkey, Neil W.&lt;/author&gt;&lt;author&gt;Gottfried, Robert R.&lt;/author&gt;&lt;author&gt;Brockett, Charles D.&lt;/author&gt;&lt;author&gt;Lane, Matthew D.&lt;/author&gt;&lt;author&gt;Williams, E. Douglass&lt;/author&gt;&lt;/authors&gt;&lt;/contributors&gt;&lt;titles&gt;&lt;title&gt;Mapping Land-Use Change and Monitoring the Impacts of Hardwood-to-Pine Conversion on the Southern Cumberland Plateau in Tennessee&lt;/title&gt;&lt;secondary-title&gt;Earth Interactions&lt;/secondary-title&gt;&lt;/titles&gt;&lt;periodical&gt;&lt;full-title&gt;Earth Interactions&lt;/full-title&gt;&lt;/periodical&gt;&lt;pages&gt;1-24&lt;/pages&gt;&lt;volume&gt;8&lt;/volume&gt;&lt;number&gt;9&lt;/number&gt;&lt;dates&gt;&lt;year&gt;2004&lt;/year&gt;&lt;/dates&gt;&lt;urls&gt;&lt;related-urls&gt;&lt;url&gt;http://journals.ametsoc.org/doi/abs/10.1175/1087-3562%282004%29008%3C0001%3AMLCAMT%3E2.0.CO%3B2&lt;/url&gt;&lt;/related-urls&gt;&lt;/urls&gt;&lt;electronic-resource-num&gt;doi:10.1175/1087-3562(2004)008&amp;lt;0001:MLCAMT&amp;gt;2.0.CO;2&lt;/electronic-resource-num&gt;&lt;/record&gt;&lt;/Cite&gt;&lt;/EndNote&gt;</w:instrText>
      </w:r>
      <w:r w:rsidR="003222D1">
        <w:fldChar w:fldCharType="separate"/>
      </w:r>
      <w:r w:rsidR="00083723">
        <w:rPr>
          <w:noProof/>
        </w:rPr>
        <w:t>(</w:t>
      </w:r>
      <w:hyperlink w:anchor="_ENREF_89" w:tooltip="McGrath, 2004 #124" w:history="1">
        <w:r w:rsidR="001E4C88">
          <w:rPr>
            <w:noProof/>
          </w:rPr>
          <w:t>Mcgrath et al. 2004</w:t>
        </w:r>
      </w:hyperlink>
      <w:r w:rsidR="00083723">
        <w:rPr>
          <w:noProof/>
        </w:rPr>
        <w:t>)</w:t>
      </w:r>
      <w:r w:rsidR="003222D1">
        <w:fldChar w:fldCharType="end"/>
      </w:r>
      <w:r w:rsidR="003222D1">
        <w:t>.</w:t>
      </w:r>
      <w:r w:rsidR="004000F9" w:rsidRPr="004000F9">
        <w:t xml:space="preserve"> </w:t>
      </w:r>
      <w:r w:rsidR="00C20C34">
        <w:t xml:space="preserve"> </w:t>
      </w:r>
      <w:r w:rsidR="00B03197" w:rsidRPr="00945778">
        <w:t xml:space="preserve">Only trees under </w:t>
      </w:r>
      <w:r w:rsidR="00B03197">
        <w:t>60</w:t>
      </w:r>
      <w:r w:rsidR="00B03197" w:rsidRPr="00945778">
        <w:t xml:space="preserve"> percent cu</w:t>
      </w:r>
      <w:r w:rsidR="00B03197">
        <w:t>ll and above a 12.5</w:t>
      </w:r>
      <w:r w:rsidR="00B03197" w:rsidRPr="005077DB">
        <w:t>″</w:t>
      </w:r>
      <w:r w:rsidR="00B03197">
        <w:t xml:space="preserve"> DBH diameter limit were targeted in BAU harvests in consideration of the fact that a 12</w:t>
      </w:r>
      <w:r w:rsidR="00B03197" w:rsidRPr="005077DB">
        <w:t>″</w:t>
      </w:r>
      <w:r w:rsidR="00B03197">
        <w:t xml:space="preserve"> DBH diameter limit is commonly observed in the region </w:t>
      </w:r>
      <w:r w:rsidR="00B03197">
        <w:fldChar w:fldCharType="begin"/>
      </w:r>
      <w:r w:rsidR="00B03197">
        <w:instrText xml:space="preserve"> ADDIN EN.CITE </w:instrText>
      </w:r>
      <w:r w:rsidR="00B03197">
        <w:fldChar w:fldCharType="begin"/>
      </w:r>
      <w:r w:rsidR="00B03197">
        <w:instrText xml:space="preserve"> ADDIN EN.CITE.DATA </w:instrText>
      </w:r>
      <w:r w:rsidR="00B03197">
        <w:fldChar w:fldCharType="end"/>
      </w:r>
      <w:r w:rsidR="00B03197">
        <w:fldChar w:fldCharType="separate"/>
      </w:r>
      <w:r w:rsidR="00B03197">
        <w:rPr>
          <w:noProof/>
        </w:rPr>
        <w:t>(</w:t>
      </w:r>
      <w:hyperlink w:anchor="_ENREF_41" w:tooltip="Miller, 1993 #219" w:history="1">
        <w:r w:rsidR="00B03197">
          <w:rPr>
            <w:noProof/>
          </w:rPr>
          <w:t>Miller 1993</w:t>
        </w:r>
      </w:hyperlink>
      <w:r w:rsidR="00B03197">
        <w:rPr>
          <w:noProof/>
        </w:rPr>
        <w:t xml:space="preserve">; </w:t>
      </w:r>
      <w:hyperlink w:anchor="_ENREF_24" w:tooltip="Fajvan, 2002 #230" w:history="1">
        <w:r w:rsidR="00B03197">
          <w:rPr>
            <w:noProof/>
          </w:rPr>
          <w:t>Fajvan</w:t>
        </w:r>
        <w:r w:rsidR="00B03197" w:rsidRPr="00725C55">
          <w:rPr>
            <w:i/>
            <w:noProof/>
          </w:rPr>
          <w:t xml:space="preserve"> </w:t>
        </w:r>
        <w:r w:rsidR="00B03197" w:rsidRPr="00773E6E">
          <w:rPr>
            <w:noProof/>
          </w:rPr>
          <w:t>et al.</w:t>
        </w:r>
        <w:r w:rsidR="00B03197">
          <w:rPr>
            <w:noProof/>
          </w:rPr>
          <w:t xml:space="preserve"> 2002</w:t>
        </w:r>
      </w:hyperlink>
      <w:r w:rsidR="00B03197">
        <w:rPr>
          <w:noProof/>
        </w:rPr>
        <w:t>)</w:t>
      </w:r>
      <w:r w:rsidR="00B03197">
        <w:fldChar w:fldCharType="end"/>
      </w:r>
      <w:r w:rsidR="00B03197">
        <w:t xml:space="preserve">.  The extra half inch was added to buffer the potential for slight upward bias in measurements and to reflect the concern from a logger’s perspective that trees near </w:t>
      </w:r>
      <w:r w:rsidR="00B03197" w:rsidRPr="00B95310">
        <w:t>12″ DBH</w:t>
      </w:r>
      <w:r w:rsidR="00B03197">
        <w:t xml:space="preserve"> are likely to have low marketability.</w:t>
      </w:r>
      <w:r w:rsidR="00252939">
        <w:t xml:space="preserve">  Low grade sawtimber was only harvested when a substantial volume of grade sawtimber was simultaneously cut</w:t>
      </w:r>
      <w:r w:rsidR="003F46B6">
        <w:t xml:space="preserve"> but only if </w:t>
      </w:r>
      <w:r w:rsidR="00481404">
        <w:t xml:space="preserve">the low grade tree was </w:t>
      </w:r>
      <w:r w:rsidR="003F46B6" w:rsidRPr="003F46B6">
        <w:t>19″ DBH</w:t>
      </w:r>
      <w:r w:rsidR="003F46B6">
        <w:t xml:space="preserve"> or larger.</w:t>
      </w:r>
    </w:p>
    <w:p w:rsidR="006B7BF5" w:rsidRDefault="00B03197" w:rsidP="00591524">
      <w:pPr>
        <w:spacing w:line="480" w:lineRule="auto"/>
        <w:ind w:firstLine="720"/>
      </w:pPr>
      <w:r>
        <w:t>Two stands were duplicated to explicitly characterize SMZ effects on timber and carbon stocks in the model because the plots they represented fell near apparent streams.  The affected stands (ER34 and ER35) had slopes suggesting 85</w:t>
      </w:r>
      <w:r>
        <w:rPr>
          <w:rFonts w:cs="Calibri"/>
        </w:rPr>
        <w:t>′</w:t>
      </w:r>
      <w:r>
        <w:t xml:space="preserve"> and 125</w:t>
      </w:r>
      <w:r>
        <w:rPr>
          <w:rFonts w:cs="Calibri"/>
        </w:rPr>
        <w:t>′</w:t>
      </w:r>
      <w:r>
        <w:t xml:space="preserve"> minimum SMZ buffers for compliance with voluntary Tennessee BMPs </w:t>
      </w:r>
      <w:r>
        <w:fldChar w:fldCharType="begin"/>
      </w:r>
      <w:r>
        <w:instrText xml:space="preserve"> ADDIN EN.CITE &lt;EndNote&gt;&lt;Cite ExcludeAuth="1"&gt;&lt;Year&gt;TN Dept. of Agriculture 2003&lt;/Year&gt;&lt;RecNum&gt;254&lt;/RecNum&gt;&lt;DisplayText&gt;(TN Dept. of Agriculture 2003)&lt;/DisplayText&gt;&lt;record&gt;&lt;rec-number&gt;254&lt;/rec-number&gt;&lt;foreign-keys&gt;&lt;key app="EN" db-id="a90s5zadewrawxeer07v2f90xr5vxv022sat"&gt;254&lt;/key&gt;&lt;/foreign-keys&gt;&lt;ref-type name="Report"&gt;27&lt;/ref-type&gt;&lt;contributors&gt;&lt;/contributors&gt;&lt;titles&gt;&lt;title&gt;Guide to Forestry Best Management Practices in Tennessee. 50p&lt;/title&gt;&lt;/titles&gt;&lt;dates&gt;&lt;year&gt;TN Dept. of Agriculture 2003&lt;/year&gt;&lt;/dates&gt;&lt;urls&gt;&lt;/urls&gt;&lt;/record&gt;&lt;/Cite&gt;&lt;/EndNote&gt;</w:instrText>
      </w:r>
      <w:r>
        <w:fldChar w:fldCharType="separate"/>
      </w:r>
      <w:r>
        <w:rPr>
          <w:noProof/>
        </w:rPr>
        <w:t>(</w:t>
      </w:r>
      <w:hyperlink w:anchor="_ENREF_11" w:tooltip=", TN Dept. of Agriculture 2003 #254" w:history="1">
        <w:r w:rsidR="001E4C88">
          <w:rPr>
            <w:noProof/>
          </w:rPr>
          <w:t>TN Dept. of Agriculture 2003</w:t>
        </w:r>
      </w:hyperlink>
      <w:r>
        <w:rPr>
          <w:noProof/>
        </w:rPr>
        <w:t>)</w:t>
      </w:r>
      <w:r>
        <w:fldChar w:fldCharType="end"/>
      </w:r>
      <w:r>
        <w:t xml:space="preserve">, which constitute at least 40 and 60 percent of an acre (perfectly square).   These four stands were assigned weights of 50 percent (of 10ac stand), the average of the minimum weights above, although most SMZ minimum buffers observed in the Cumberlands exceed those recommended by the state of TN as well as those required by Forest Stewardship Council (FSC) certification </w:t>
      </w:r>
      <w:r>
        <w:fldChar w:fldCharType="begin"/>
      </w:r>
      <w:r>
        <w:instrText xml:space="preserve"> ADDIN EN.CITE &lt;EndNote&gt;&lt;Cite&gt;&lt;Author&gt;Lemoine&lt;/Author&gt;&lt;Year&gt;2006&lt;/Year&gt;&lt;RecNum&gt;126&lt;/RecNum&gt;&lt;DisplayText&gt;(Lemoine et al. 2006)&lt;/DisplayText&gt;&lt;record&gt;&lt;rec-number&gt;126&lt;/rec-number&gt;&lt;foreign-keys&gt;&lt;key app="EN" db-id="a90s5zadewrawxeer07v2f90xr5vxv022sat"&gt;126&lt;/key&gt;&lt;/foreign-keys&gt;&lt;ref-type name="Journal Article"&gt;17&lt;/ref-type&gt;&lt;contributors&gt;&lt;authors&gt;&lt;author&gt;Lemoine, Derek&lt;/author&gt;&lt;author&gt;Evans, Jonathan P.&lt;/author&gt;&lt;author&gt;Ken Smith, C.&lt;/author&gt;&lt;/authors&gt;&lt;/contributors&gt;&lt;titles&gt;&lt;title&gt;A Landscape-Level Geographic Information System (GIS) Analysis of Streamside Management Zones on the Cumberland Plateau&lt;/title&gt;&lt;secondary-title&gt;Journal of Forestry&lt;/secondary-title&gt;&lt;/titles&gt;&lt;periodical&gt;&lt;full-title&gt;Journal of Forestry&lt;/full-title&gt;&lt;abbr-1&gt;J. For.&lt;/abbr-1&gt;&lt;/periodical&gt;&lt;pages&gt;125-131&lt;/pages&gt;&lt;volume&gt;104&lt;/volume&gt;&lt;dates&gt;&lt;year&gt;2006&lt;/year&gt;&lt;/dates&gt;&lt;urls&gt;&lt;related-urls&gt;&lt;url&gt;http://www.ingentaconnect.com/content/saf/jof/2006/00000104/00000003/art00005&lt;/url&gt;&lt;/related-urls&gt;&lt;/urls&gt;&lt;/record&gt;&lt;/Cite&gt;&lt;/EndNote&gt;</w:instrText>
      </w:r>
      <w:r>
        <w:fldChar w:fldCharType="separate"/>
      </w:r>
      <w:r>
        <w:rPr>
          <w:noProof/>
        </w:rPr>
        <w:t>(</w:t>
      </w:r>
      <w:hyperlink w:anchor="_ENREF_86" w:tooltip="Lemoine, 2006 #126" w:history="1">
        <w:r w:rsidR="001E4C88">
          <w:rPr>
            <w:noProof/>
          </w:rPr>
          <w:t>Lemoine et al. 2006</w:t>
        </w:r>
      </w:hyperlink>
      <w:r>
        <w:rPr>
          <w:noProof/>
        </w:rPr>
        <w:t>)</w:t>
      </w:r>
      <w:r>
        <w:fldChar w:fldCharType="end"/>
      </w:r>
      <w:r>
        <w:t xml:space="preserve">.  Hence, in harvest years, the two duplicates (or SMZ stands) were thinned from above to 50 percent of initial canopy cover as recommended by TN BMPs while the others received a DL cut.  </w:t>
      </w:r>
    </w:p>
    <w:p w:rsidR="00950A0E" w:rsidRPr="004000F9" w:rsidRDefault="003C23C3" w:rsidP="00591524">
      <w:pPr>
        <w:spacing w:line="480" w:lineRule="auto"/>
        <w:ind w:firstLine="720"/>
        <w:rPr>
          <w:b/>
        </w:rPr>
      </w:pPr>
      <w:r>
        <w:t>T</w:t>
      </w:r>
      <w:r w:rsidR="00C20C34" w:rsidRPr="00C20C34">
        <w:t>here wa</w:t>
      </w:r>
      <w:r w:rsidR="004000F9" w:rsidRPr="00C20C34">
        <w:t xml:space="preserve">s no use of a forester and no bidding process </w:t>
      </w:r>
      <w:r>
        <w:t xml:space="preserve">assumed </w:t>
      </w:r>
      <w:r w:rsidR="004000F9" w:rsidRPr="00C20C34">
        <w:t xml:space="preserve">for timber sales, </w:t>
      </w:r>
      <w:r w:rsidR="00D651A4">
        <w:t>congruent</w:t>
      </w:r>
      <w:r w:rsidR="00C20C34" w:rsidRPr="00C20C34">
        <w:t xml:space="preserve"> with common anecdotal accounts</w:t>
      </w:r>
      <w:r w:rsidR="00481404">
        <w:t>,</w:t>
      </w:r>
      <w:r w:rsidR="004000F9" w:rsidRPr="00C20C34">
        <w:t xml:space="preserve"> particularly in the case of harvests instigated by solicitation from loggers.</w:t>
      </w:r>
      <w:r w:rsidR="00756E16">
        <w:t xml:space="preserve"> </w:t>
      </w:r>
      <w:r w:rsidR="002F2C55">
        <w:t xml:space="preserve"> </w:t>
      </w:r>
      <w:r w:rsidR="00C62A7D">
        <w:t>Moreover</w:t>
      </w:r>
      <w:r w:rsidR="00895635">
        <w:t xml:space="preserve">, </w:t>
      </w:r>
      <w:r w:rsidR="00756E16">
        <w:t xml:space="preserve">considering </w:t>
      </w:r>
      <w:r w:rsidR="00C62A7D">
        <w:t>that the trees retained in DL harvests are likely to be deformed and/or slow-growing and that their shade causes saplings to bend or lean</w:t>
      </w:r>
      <w:r w:rsidR="00481404">
        <w:t>,</w:t>
      </w:r>
      <w:r w:rsidR="004E7492">
        <w:t xml:space="preserve"> </w:t>
      </w:r>
      <w:r w:rsidR="00756E16">
        <w:t>render</w:t>
      </w:r>
      <w:r w:rsidR="004E7492">
        <w:t>ing</w:t>
      </w:r>
      <w:r w:rsidR="00756E16">
        <w:t xml:space="preserve"> them low value stems at best,</w:t>
      </w:r>
      <w:r w:rsidR="00895635">
        <w:t xml:space="preserve"> </w:t>
      </w:r>
      <w:r w:rsidR="00756E16">
        <w:t xml:space="preserve">the </w:t>
      </w:r>
      <w:r w:rsidR="00756E16" w:rsidRPr="00A43398">
        <w:t>net value</w:t>
      </w:r>
      <w:r w:rsidR="00756E16">
        <w:t xml:space="preserve"> </w:t>
      </w:r>
      <w:r w:rsidR="00756E16" w:rsidRPr="00A43398">
        <w:t xml:space="preserve">to the landowner </w:t>
      </w:r>
      <w:r w:rsidR="00756E16">
        <w:t>of repeat-</w:t>
      </w:r>
      <w:r w:rsidR="004F4ED2">
        <w:t>harvests</w:t>
      </w:r>
      <w:r w:rsidR="00756E16">
        <w:t xml:space="preserve"> would </w:t>
      </w:r>
      <w:r w:rsidR="004F4ED2">
        <w:t xml:space="preserve">clearly </w:t>
      </w:r>
      <w:r w:rsidR="00756E16">
        <w:t>be overstated</w:t>
      </w:r>
      <w:r w:rsidR="004F4ED2">
        <w:t xml:space="preserve"> without amending the model further</w:t>
      </w:r>
      <w:r w:rsidR="00756E16">
        <w:t xml:space="preserve">.  </w:t>
      </w:r>
      <w:r>
        <w:t>T</w:t>
      </w:r>
      <w:r w:rsidR="002F2C55">
        <w:t xml:space="preserve">o account for the likelihood that </w:t>
      </w:r>
      <w:r w:rsidR="000331C2">
        <w:t xml:space="preserve">a typical </w:t>
      </w:r>
      <w:r w:rsidR="002F2C55">
        <w:t>landowner would receive stumpage rates below prevailing market rates in this scenario, felling and removal costs</w:t>
      </w:r>
      <w:r w:rsidR="007E2178">
        <w:t xml:space="preserve"> </w:t>
      </w:r>
      <w:r w:rsidR="007E2178" w:rsidRPr="007E2178">
        <w:t>ac</w:t>
      </w:r>
      <w:r w:rsidR="007E2178" w:rsidRPr="007E2178">
        <w:rPr>
          <w:vertAlign w:val="superscript"/>
        </w:rPr>
        <w:t>-1</w:t>
      </w:r>
      <w:r w:rsidR="002F2C55">
        <w:t xml:space="preserve"> in addition to </w:t>
      </w:r>
      <w:r w:rsidR="008F53A2">
        <w:t xml:space="preserve">BMP costs </w:t>
      </w:r>
      <w:r w:rsidR="002F2C55">
        <w:t>were applied at each harvest</w:t>
      </w:r>
      <w:r w:rsidR="000331C2">
        <w:t xml:space="preserve">, equal to </w:t>
      </w:r>
      <w:r>
        <w:t xml:space="preserve">the </w:t>
      </w:r>
      <w:r>
        <w:lastRenderedPageBreak/>
        <w:t>medium</w:t>
      </w:r>
      <w:r w:rsidR="000331C2">
        <w:t xml:space="preserve"> estimate for such costs found in </w:t>
      </w:r>
      <w:r>
        <w:t xml:space="preserve">western </w:t>
      </w:r>
      <w:r w:rsidR="000331C2">
        <w:t>North Carolina</w:t>
      </w:r>
      <w:r w:rsidR="0085780D">
        <w:t xml:space="preserve"> </w:t>
      </w:r>
      <w:r w:rsidR="0085780D">
        <w:fldChar w:fldCharType="begin"/>
      </w:r>
      <w:r w:rsidR="0085780D">
        <w:instrText xml:space="preserve"> ADDIN EN.CITE &lt;EndNote&gt;&lt;Cite ExcludeAuth="1"&gt;&lt;Year&gt;NC Division of Forest Resources 2010&lt;/Year&gt;&lt;RecNum&gt;314&lt;/RecNum&gt;&lt;DisplayText&gt;(NC Division of Forest Resources 2010)&lt;/DisplayText&gt;&lt;record&gt;&lt;rec-number&gt;314&lt;/rec-number&gt;&lt;foreign-keys&gt;&lt;key app="EN" db-id="a90s5zadewrawxeer07v2f90xr5vxv022sat"&gt;314&lt;/key&gt;&lt;/foreign-keys&gt;&lt;ref-type name="Web Page"&gt;12&lt;/ref-type&gt;&lt;contributors&gt;&lt;/contributors&gt;&lt;titles&gt;&lt;title&gt;Forest Development Program Prevailing Rates&lt;/title&gt;&lt;/titles&gt;&lt;volume&gt;2010&lt;/volume&gt;&lt;number&gt;April 4&lt;/number&gt;&lt;dates&gt;&lt;year&gt;NC Division of Forest Resources 2010&lt;/year&gt;&lt;/dates&gt;&lt;pub-location&gt;Raleigh, NC&lt;/pub-location&gt;&lt;urls&gt;&lt;related-urls&gt;&lt;url&gt;http://www.dfr.state.nc.us/Managing_your_forest/fdp_rates.htm&lt;/url&gt;&lt;/related-urls&gt;&lt;/urls&gt;&lt;/record&gt;&lt;/Cite&gt;&lt;/EndNote&gt;</w:instrText>
      </w:r>
      <w:r w:rsidR="0085780D">
        <w:fldChar w:fldCharType="separate"/>
      </w:r>
      <w:r w:rsidR="0085780D">
        <w:rPr>
          <w:noProof/>
        </w:rPr>
        <w:t>(</w:t>
      </w:r>
      <w:hyperlink w:anchor="_ENREF_8" w:tooltip=", NC Division of Forest Resources 2010 #314" w:history="1">
        <w:r w:rsidR="001E4C88">
          <w:rPr>
            <w:noProof/>
          </w:rPr>
          <w:t>NC Division of Forest Resources 2010</w:t>
        </w:r>
      </w:hyperlink>
      <w:r w:rsidR="0085780D">
        <w:rPr>
          <w:noProof/>
        </w:rPr>
        <w:t>)</w:t>
      </w:r>
      <w:r w:rsidR="0085780D">
        <w:fldChar w:fldCharType="end"/>
      </w:r>
      <w:r w:rsidR="001D2B80">
        <w:t>.</w:t>
      </w:r>
      <w:r w:rsidR="004F4ED2">
        <w:t xml:space="preserve">  In </w:t>
      </w:r>
      <w:r w:rsidR="00481404">
        <w:t>order to account for the inexorable degradation of residual stands</w:t>
      </w:r>
      <w:r w:rsidR="004F4ED2">
        <w:t xml:space="preserve">, </w:t>
      </w:r>
      <w:r w:rsidR="00656218">
        <w:t xml:space="preserve">sawtimber volume was discounted by half </w:t>
      </w:r>
      <w:r w:rsidR="009036B0">
        <w:t xml:space="preserve">for all </w:t>
      </w:r>
      <w:r w:rsidR="003F46B6">
        <w:t xml:space="preserve">large low grade </w:t>
      </w:r>
      <w:r w:rsidR="0067397E">
        <w:t>trees</w:t>
      </w:r>
      <w:r w:rsidR="003F46B6">
        <w:t xml:space="preserve"> cut</w:t>
      </w:r>
      <w:r w:rsidR="009036B0">
        <w:t xml:space="preserve"> </w:t>
      </w:r>
      <w:r w:rsidR="003F46B6">
        <w:t xml:space="preserve">and those </w:t>
      </w:r>
      <w:r w:rsidR="0067397E">
        <w:t>that</w:t>
      </w:r>
      <w:r w:rsidR="00656218">
        <w:t xml:space="preserve"> </w:t>
      </w:r>
      <w:r w:rsidR="00B03197">
        <w:t xml:space="preserve">were harvested during repeat DL cuts but </w:t>
      </w:r>
      <w:r w:rsidR="00656218">
        <w:t>originate</w:t>
      </w:r>
      <w:r w:rsidR="009036B0">
        <w:t>d</w:t>
      </w:r>
      <w:r w:rsidR="00656218">
        <w:t xml:space="preserve"> from </w:t>
      </w:r>
      <w:r w:rsidR="009036B0">
        <w:t>small</w:t>
      </w:r>
      <w:r w:rsidR="00B03197">
        <w:t xml:space="preserve"> or non-crop</w:t>
      </w:r>
      <w:r w:rsidR="00481404">
        <w:t xml:space="preserve"> trees during the simulation</w:t>
      </w:r>
      <w:r w:rsidR="00F66EB7">
        <w:t>.</w:t>
      </w:r>
    </w:p>
    <w:p w:rsidR="009838FA" w:rsidRDefault="00945778" w:rsidP="00274C24">
      <w:pPr>
        <w:spacing w:line="480" w:lineRule="auto"/>
        <w:ind w:firstLine="720"/>
      </w:pPr>
      <w:r>
        <w:t>Bole and limb damage inflicted on residual trees by felled trees and harvesting equipment is positively correlated with harvest intensity in Appalachian hardwood stands</w:t>
      </w:r>
      <w:r w:rsidR="00A00D35">
        <w:t xml:space="preserve"> </w:t>
      </w:r>
      <w:r w:rsidR="00232191">
        <w:fldChar w:fldCharType="begin"/>
      </w:r>
      <w:r w:rsidR="00CE2DF2">
        <w:instrText xml:space="preserve"> ADDIN EN.CITE &lt;EndNote&gt;&lt;Cite&gt;&lt;Author&gt;Fajvan&lt;/Author&gt;&lt;Year&gt;2002&lt;/Year&gt;&lt;RecNum&gt;230&lt;/RecNum&gt;&lt;DisplayText&gt;(Fajvan et al. 2002; Miller et al. 1984)&lt;/DisplayText&gt;&lt;record&gt;&lt;rec-number&gt;230&lt;/rec-number&gt;&lt;foreign-keys&gt;&lt;key app="EN" db-id="a90s5zadewrawxeer07v2f90xr5vxv022sat"&gt;230&lt;/key&gt;&lt;/foreign-keys&gt;&lt;ref-type name="Journal Article"&gt;17&lt;/ref-type&gt;&lt;contributors&gt;&lt;authors&gt;&lt;author&gt;Fajvan, M.A.&lt;/author&gt;&lt;author&gt;Knipling, K.E.&lt;/author&gt;&lt;author&gt;Tift, B.D.&lt;/author&gt;&lt;/authors&gt;&lt;/contributors&gt;&lt;titles&gt;&lt;title&gt;Damage to Appalachian hardwoods from diameter-limit harvesting and shelterwood establishment cutting&lt;/title&gt;&lt;secondary-title&gt;Northern Journal of Applied Forestry&lt;/secondary-title&gt;&lt;/titles&gt;&lt;periodical&gt;&lt;full-title&gt;Northern Journal of Applied Forestry&lt;/full-title&gt;&lt;abbr-1&gt;North. J. Appl. For.&lt;/abbr-1&gt;&lt;/periodical&gt;&lt;pages&gt;80-87&lt;/pages&gt;&lt;volume&gt;19&lt;/volume&gt;&lt;number&gt;2&lt;/number&gt;&lt;dates&gt;&lt;year&gt;2002&lt;/year&gt;&lt;/dates&gt;&lt;urls&gt;&lt;/urls&gt;&lt;/record&gt;&lt;/Cite&gt;&lt;Cite&gt;&lt;Author&gt;Miller&lt;/Author&gt;&lt;Year&gt;1984&lt;/Year&gt;&lt;RecNum&gt;155&lt;/RecNum&gt;&lt;record&gt;&lt;rec-number&gt;155&lt;/rec-number&gt;&lt;foreign-keys&gt;&lt;key app="EN" db-id="a90s5zadewrawxeer07v2f90xr5vxv022sat"&gt;155&lt;/key&gt;&lt;/foreign-keys&gt;&lt;ref-type name="Conference Paper"&gt;47&lt;/ref-type&gt;&lt;contributors&gt;&lt;authors&gt;&lt;author&gt;Miller, Gary W.&lt;/author&gt;&lt;author&gt;Lamson, Neil I.&lt;/author&gt;&lt;author&gt;Brock, Samuel M.&lt;/author&gt;&lt;/authors&gt;&lt;/contributors&gt;&lt;titles&gt;&lt;title&gt;&lt;style face="normal" font="default" size="100%"&gt;Logging damage associated with thinning central Appalachian hardwood stands with a wheeled skidder.&lt;/style&gt;&lt;style face="normal" font="Times New Roman" size="100%"&gt;  &lt;/style&gt;&lt;style face="normal" font="default" size="100%"&gt;In: Peters, Penn A.; Luchok, John., eds.; Proceedings, mountain logging symposium; 1984 June 5-7; Morgantown, WV: West Virginia University: 125-131&lt;/style&gt;&lt;/title&gt;&lt;/titles&gt;&lt;dates&gt;&lt;year&gt;1984&lt;/year&gt;&lt;/dates&gt;&lt;urls&gt;&lt;/urls&gt;&lt;/record&gt;&lt;/Cite&gt;&lt;/EndNote&gt;</w:instrText>
      </w:r>
      <w:r w:rsidR="00232191">
        <w:fldChar w:fldCharType="separate"/>
      </w:r>
      <w:r w:rsidR="00CE2DF2">
        <w:rPr>
          <w:noProof/>
        </w:rPr>
        <w:t>(</w:t>
      </w:r>
      <w:hyperlink w:anchor="_ENREF_51" w:tooltip="Fajvan, 2002 #230" w:history="1">
        <w:r w:rsidR="001E4C88">
          <w:rPr>
            <w:noProof/>
          </w:rPr>
          <w:t>Fajvan et al. 2002</w:t>
        </w:r>
      </w:hyperlink>
      <w:r w:rsidR="00CE2DF2">
        <w:rPr>
          <w:noProof/>
        </w:rPr>
        <w:t xml:space="preserve">; </w:t>
      </w:r>
      <w:hyperlink w:anchor="_ENREF_98" w:tooltip="Miller, 1984 #155" w:history="1">
        <w:r w:rsidR="001E4C88">
          <w:rPr>
            <w:noProof/>
          </w:rPr>
          <w:t>Miller et al. 1984</w:t>
        </w:r>
      </w:hyperlink>
      <w:r w:rsidR="00CE2DF2">
        <w:rPr>
          <w:noProof/>
        </w:rPr>
        <w:t>)</w:t>
      </w:r>
      <w:r w:rsidR="00232191">
        <w:fldChar w:fldCharType="end"/>
      </w:r>
      <w:r>
        <w:t xml:space="preserve">.  </w:t>
      </w:r>
      <w:r w:rsidR="002C05D7">
        <w:t>In fact, a</w:t>
      </w:r>
      <w:r w:rsidR="009E7184">
        <w:t xml:space="preserve"> partial harvesting study of Appalachian mixed hardwood stands involving diameter limit and shelterwood establishment cuts </w:t>
      </w:r>
      <w:r w:rsidR="001545AF">
        <w:t xml:space="preserve">found that </w:t>
      </w:r>
      <w:r>
        <w:t xml:space="preserve">lower </w:t>
      </w:r>
      <w:r w:rsidR="00A00D35">
        <w:t>DL</w:t>
      </w:r>
      <w:r>
        <w:t xml:space="preserve"> harvests </w:t>
      </w:r>
      <w:r w:rsidR="00A00D35">
        <w:t>knock down</w:t>
      </w:r>
      <w:r w:rsidR="00741486">
        <w:t xml:space="preserve"> a</w:t>
      </w:r>
      <w:r>
        <w:t xml:space="preserve"> higher </w:t>
      </w:r>
      <w:r w:rsidR="00741486">
        <w:t>fraction</w:t>
      </w:r>
      <w:r w:rsidR="00A00D35">
        <w:t xml:space="preserve"> of unmarked </w:t>
      </w:r>
      <w:r w:rsidR="00481404">
        <w:t>and</w:t>
      </w:r>
      <w:r w:rsidR="00A00D35">
        <w:t xml:space="preserve"> non-merchantable trees</w:t>
      </w:r>
      <w:r w:rsidR="001545AF">
        <w:t xml:space="preserve"> than high DL harvests</w:t>
      </w:r>
      <w:r>
        <w:t xml:space="preserve">, demand more area for skid trails, and require more frequent incursions into </w:t>
      </w:r>
      <w:r w:rsidR="00B3570E">
        <w:t xml:space="preserve">the </w:t>
      </w:r>
      <w:proofErr w:type="spellStart"/>
      <w:r w:rsidR="00B3570E">
        <w:t>stand off</w:t>
      </w:r>
      <w:proofErr w:type="spellEnd"/>
      <w:r w:rsidR="00B3570E">
        <w:t xml:space="preserve"> of the skid trail</w:t>
      </w:r>
      <w:r w:rsidR="00895635">
        <w:t>,</w:t>
      </w:r>
      <w:r>
        <w:t xml:space="preserve"> resulting in higher residual tree damage incidence and severity</w:t>
      </w:r>
      <w:r w:rsidR="00232191">
        <w:t xml:space="preserve"> </w:t>
      </w:r>
      <w:r w:rsidR="00232191">
        <w:fldChar w:fldCharType="begin"/>
      </w:r>
      <w:r w:rsidR="00A87D07">
        <w:instrText xml:space="preserve"> ADDIN EN.CITE &lt;EndNote&gt;&lt;Cite&gt;&lt;Author&gt;Fajvan&lt;/Author&gt;&lt;Year&gt;2002&lt;/Year&gt;&lt;RecNum&gt;230&lt;/RecNum&gt;&lt;DisplayText&gt;(Fajvan et al. 2002)&lt;/DisplayText&gt;&lt;record&gt;&lt;rec-number&gt;230&lt;/rec-number&gt;&lt;foreign-keys&gt;&lt;key app="EN" db-id="a90s5zadewrawxeer07v2f90xr5vxv022sat"&gt;230&lt;/key&gt;&lt;/foreign-keys&gt;&lt;ref-type name="Journal Article"&gt;17&lt;/ref-type&gt;&lt;contributors&gt;&lt;authors&gt;&lt;author&gt;Fajvan, M.A.&lt;/author&gt;&lt;author&gt;Knipling, K.E.&lt;/author&gt;&lt;author&gt;Tift, B.D.&lt;/author&gt;&lt;/authors&gt;&lt;/contributors&gt;&lt;titles&gt;&lt;title&gt;Damage to Appalachian hardwoods from diameter-limit harvesting and shelterwood establishment cutting&lt;/title&gt;&lt;secondary-title&gt;Northern Journal of Applied Forestry&lt;/secondary-title&gt;&lt;/titles&gt;&lt;periodical&gt;&lt;full-title&gt;Northern Journal of Applied Forestry&lt;/full-title&gt;&lt;abbr-1&gt;North. J. Appl. For.&lt;/abbr-1&gt;&lt;/periodical&gt;&lt;pages&gt;80-87&lt;/pages&gt;&lt;volume&gt;19&lt;/volume&gt;&lt;number&gt;2&lt;/number&gt;&lt;dates&gt;&lt;year&gt;2002&lt;/year&gt;&lt;/dates&gt;&lt;urls&gt;&lt;/urls&gt;&lt;/record&gt;&lt;/Cite&gt;&lt;/EndNote&gt;</w:instrText>
      </w:r>
      <w:r w:rsidR="00232191">
        <w:fldChar w:fldCharType="separate"/>
      </w:r>
      <w:r w:rsidR="00A87D07">
        <w:rPr>
          <w:noProof/>
        </w:rPr>
        <w:t>(</w:t>
      </w:r>
      <w:hyperlink w:anchor="_ENREF_51" w:tooltip="Fajvan, 2002 #230" w:history="1">
        <w:r w:rsidR="001E4C88">
          <w:rPr>
            <w:noProof/>
          </w:rPr>
          <w:t>Fajvan et al. 2002</w:t>
        </w:r>
      </w:hyperlink>
      <w:r w:rsidR="00A87D07">
        <w:rPr>
          <w:noProof/>
        </w:rPr>
        <w:t>)</w:t>
      </w:r>
      <w:r w:rsidR="00232191">
        <w:fldChar w:fldCharType="end"/>
      </w:r>
      <w:r>
        <w:t xml:space="preserve">.  </w:t>
      </w:r>
      <w:r w:rsidR="001545AF">
        <w:t xml:space="preserve">As this is the only </w:t>
      </w:r>
      <w:r w:rsidR="00383658">
        <w:t>meticulous case-</w:t>
      </w:r>
      <w:r w:rsidR="001545AF">
        <w:t>study to date on residual stand damage resulting from DL cutting, its r</w:t>
      </w:r>
      <w:r>
        <w:t xml:space="preserve">esidual damage statistics were used </w:t>
      </w:r>
      <w:r w:rsidR="007E47B6">
        <w:t xml:space="preserve">in BAU simulations </w:t>
      </w:r>
      <w:r>
        <w:t xml:space="preserve">to approximate the number and distribution of trees that would be </w:t>
      </w:r>
      <w:r w:rsidR="00AA3D80">
        <w:t>knocked down</w:t>
      </w:r>
      <w:r>
        <w:t xml:space="preserve">.  </w:t>
      </w:r>
      <w:r w:rsidR="00AA3D80">
        <w:t>S</w:t>
      </w:r>
      <w:r w:rsidR="00930747">
        <w:t xml:space="preserve">uch trees were ignored in </w:t>
      </w:r>
      <w:r w:rsidR="00B42ED4">
        <w:t xml:space="preserve">BAU </w:t>
      </w:r>
      <w:r w:rsidR="00930747">
        <w:t>stumpage and harvested wood carbon calculations</w:t>
      </w:r>
      <w:r w:rsidR="002834B3">
        <w:t xml:space="preserve"> because they along with </w:t>
      </w:r>
      <w:r w:rsidR="001545AF">
        <w:t>cull</w:t>
      </w:r>
      <w:r w:rsidR="002834B3" w:rsidRPr="00A00D35">
        <w:t xml:space="preserve"> </w:t>
      </w:r>
      <w:r w:rsidR="00432447" w:rsidRPr="00A00D35">
        <w:t>trees</w:t>
      </w:r>
      <w:r w:rsidR="004514F9">
        <w:t xml:space="preserve">, </w:t>
      </w:r>
      <w:r w:rsidR="00571511">
        <w:t>p</w:t>
      </w:r>
      <w:r w:rsidR="00AE0A21">
        <w:t>oletimber</w:t>
      </w:r>
      <w:r w:rsidR="004514F9">
        <w:t>, and pulpwood tops</w:t>
      </w:r>
      <w:r w:rsidR="00432447" w:rsidRPr="00A00D35">
        <w:t xml:space="preserve"> </w:t>
      </w:r>
      <w:r w:rsidR="00B82907" w:rsidRPr="00A00D35">
        <w:t xml:space="preserve">were </w:t>
      </w:r>
      <w:r w:rsidR="00C6541D">
        <w:t>not removed</w:t>
      </w:r>
      <w:r w:rsidR="00AA3D80">
        <w:t xml:space="preserve">.  </w:t>
      </w:r>
      <w:r w:rsidR="003F46B6">
        <w:t>D</w:t>
      </w:r>
      <w:r w:rsidR="0021291E">
        <w:t>amage was only intentionally applied to poletimber and smaller trees because knock down of sawtimber trees happens much less frequently</w:t>
      </w:r>
      <w:r w:rsidR="00CC0E39">
        <w:t xml:space="preserve"> </w:t>
      </w:r>
      <w:r w:rsidR="00CC0E39" w:rsidRPr="00CC0E39">
        <w:fldChar w:fldCharType="begin"/>
      </w:r>
      <w:r w:rsidR="00CE2DF2">
        <w:instrText xml:space="preserve"> ADDIN EN.CITE &lt;EndNote&gt;&lt;Cite&gt;&lt;Author&gt;Miller&lt;/Author&gt;&lt;Year&gt;1984&lt;/Year&gt;&lt;RecNum&gt;155&lt;/RecNum&gt;&lt;DisplayText&gt;(Miller et al. 1984)&lt;/DisplayText&gt;&lt;record&gt;&lt;rec-number&gt;155&lt;/rec-number&gt;&lt;foreign-keys&gt;&lt;key app="EN" db-id="a90s5zadewrawxeer07v2f90xr5vxv022sat"&gt;155&lt;/key&gt;&lt;/foreign-keys&gt;&lt;ref-type name="Conference Paper"&gt;47&lt;/ref-type&gt;&lt;contributors&gt;&lt;authors&gt;&lt;author&gt;Miller, Gary W.&lt;/author&gt;&lt;author&gt;Lamson, Neil I.&lt;/author&gt;&lt;author&gt;Brock, Samuel M.&lt;/author&gt;&lt;/authors&gt;&lt;/contributors&gt;&lt;titles&gt;&lt;title&gt;&lt;style face="normal" font="default" size="100%"&gt;Logging damage associated with thinning central Appalachian hardwood stands with a wheeled skidder.&lt;/style&gt;&lt;style face="normal" font="Times New Roman" size="100%"&gt;  &lt;/style&gt;&lt;style face="normal" font="default" size="100%"&gt;In: Peters, Penn A.; Luchok, John., eds.; Proceedings, mountain logging symposium; 1984 June 5-7; Morgantown, WV: West Virginia University: 125-131&lt;/style&gt;&lt;/title&gt;&lt;/titles&gt;&lt;dates&gt;&lt;year&gt;1984&lt;/year&gt;&lt;/dates&gt;&lt;urls&gt;&lt;/urls&gt;&lt;/record&gt;&lt;/Cite&gt;&lt;/EndNote&gt;</w:instrText>
      </w:r>
      <w:r w:rsidR="00CC0E39" w:rsidRPr="00CC0E39">
        <w:fldChar w:fldCharType="separate"/>
      </w:r>
      <w:r w:rsidR="00CE2DF2">
        <w:rPr>
          <w:noProof/>
        </w:rPr>
        <w:t>(</w:t>
      </w:r>
      <w:hyperlink w:anchor="_ENREF_98" w:tooltip="Miller, 1984 #155" w:history="1">
        <w:r w:rsidR="001E4C88">
          <w:rPr>
            <w:noProof/>
          </w:rPr>
          <w:t>Miller et al. 1984</w:t>
        </w:r>
      </w:hyperlink>
      <w:r w:rsidR="00CE2DF2">
        <w:rPr>
          <w:noProof/>
        </w:rPr>
        <w:t>)</w:t>
      </w:r>
      <w:r w:rsidR="00CC0E39" w:rsidRPr="00CC0E39">
        <w:fldChar w:fldCharType="end"/>
      </w:r>
      <w:r w:rsidR="00A12E3E">
        <w:t>.</w:t>
      </w:r>
    </w:p>
    <w:p w:rsidR="00D60D4F" w:rsidRDefault="009838FA" w:rsidP="00274C24">
      <w:pPr>
        <w:spacing w:line="480" w:lineRule="auto"/>
        <w:ind w:firstLine="720"/>
      </w:pPr>
      <w:r>
        <w:t xml:space="preserve">It should be noted that damage to residual trees would be greater than that which was simulated, owing to the fact that </w:t>
      </w:r>
      <w:proofErr w:type="spellStart"/>
      <w:r>
        <w:t>Fajvan</w:t>
      </w:r>
      <w:proofErr w:type="spellEnd"/>
      <w:r>
        <w:t xml:space="preserve"> et al.’s </w:t>
      </w:r>
      <w:r>
        <w:fldChar w:fldCharType="begin"/>
      </w:r>
      <w:r w:rsidR="00A87D07">
        <w:instrText xml:space="preserve"> ADDIN EN.CITE &lt;EndNote&gt;&lt;Cite ExcludeAuth="1"&gt;&lt;Author&gt;Fajvan&lt;/Author&gt;&lt;Year&gt;2002&lt;/Year&gt;&lt;RecNum&gt;230&lt;/RecNum&gt;&lt;DisplayText&gt;(2002)&lt;/DisplayText&gt;&lt;record&gt;&lt;rec-number&gt;230&lt;/rec-number&gt;&lt;foreign-keys&gt;&lt;key app="EN" db-id="a90s5zadewrawxeer07v2f90xr5vxv022sat"&gt;230&lt;/key&gt;&lt;/foreign-keys&gt;&lt;ref-type name="Journal Article"&gt;17&lt;/ref-type&gt;&lt;contributors&gt;&lt;authors&gt;&lt;author&gt;Fajvan, M.A.&lt;/author&gt;&lt;author&gt;Knipling, K.E.&lt;/author&gt;&lt;author&gt;Tift, B.D.&lt;/author&gt;&lt;/authors&gt;&lt;/contributors&gt;&lt;titles&gt;&lt;title&gt;Damage to Appalachian hardwoods from diameter-limit harvesting and shelterwood establishment cutting&lt;/title&gt;&lt;secondary-title&gt;Northern Journal of Applied Forestry&lt;/secondary-title&gt;&lt;/titles&gt;&lt;periodical&gt;&lt;full-title&gt;Northern Journal of Applied Forestry&lt;/full-title&gt;&lt;abbr-1&gt;North. J. Appl. For.&lt;/abbr-1&gt;&lt;/periodical&gt;&lt;pages&gt;80-87&lt;/pages&gt;&lt;volume&gt;19&lt;/volume&gt;&lt;number&gt;2&lt;/number&gt;&lt;dates&gt;&lt;year&gt;2002&lt;/year&gt;&lt;/dates&gt;&lt;urls&gt;&lt;/urls&gt;&lt;/record&gt;&lt;/Cite&gt;&lt;/EndNote&gt;</w:instrText>
      </w:r>
      <w:r>
        <w:fldChar w:fldCharType="separate"/>
      </w:r>
      <w:r w:rsidR="00A87D07">
        <w:rPr>
          <w:noProof/>
        </w:rPr>
        <w:t>(</w:t>
      </w:r>
      <w:hyperlink w:anchor="_ENREF_51" w:tooltip="Fajvan, 2002 #230" w:history="1">
        <w:r w:rsidR="001E4C88">
          <w:rPr>
            <w:noProof/>
          </w:rPr>
          <w:t>2002</w:t>
        </w:r>
      </w:hyperlink>
      <w:r w:rsidR="00A87D07">
        <w:rPr>
          <w:noProof/>
        </w:rPr>
        <w:t>)</w:t>
      </w:r>
      <w:r>
        <w:fldChar w:fldCharType="end"/>
      </w:r>
      <w:r>
        <w:t xml:space="preserve"> study was conducted on gently-sloped stands</w:t>
      </w:r>
      <w:r w:rsidR="00967708">
        <w:t>; h</w:t>
      </w:r>
      <w:r w:rsidRPr="00AD2180">
        <w:t xml:space="preserve">owever, </w:t>
      </w:r>
      <w:r w:rsidR="00A4497A">
        <w:t xml:space="preserve">intentionally </w:t>
      </w:r>
      <w:r w:rsidRPr="00AD2180">
        <w:t xml:space="preserve">simulating a larger number of destroyed trees would have </w:t>
      </w:r>
      <w:r w:rsidR="00A36E1D">
        <w:t>been speculative</w:t>
      </w:r>
      <w:r w:rsidRPr="00AD2180">
        <w:t>.</w:t>
      </w:r>
      <w:r w:rsidR="00A36E1D">
        <w:t xml:space="preserve">  </w:t>
      </w:r>
      <w:r w:rsidR="00A4497A">
        <w:t>E</w:t>
      </w:r>
      <w:r w:rsidR="00AA3D80">
        <w:t xml:space="preserve">ven though the amount of severe damage to residual trees </w:t>
      </w:r>
      <w:r w:rsidR="003E73DE">
        <w:t>(if</w:t>
      </w:r>
      <w:r w:rsidR="00AA3D80">
        <w:t xml:space="preserve"> approximated</w:t>
      </w:r>
      <w:r w:rsidR="003E73DE">
        <w:t>) would have been significant</w:t>
      </w:r>
      <w:r w:rsidR="00AA3D80">
        <w:t>, v</w:t>
      </w:r>
      <w:r w:rsidR="00C6541D">
        <w:t xml:space="preserve">olume or tree grade deductions were not made to characterize </w:t>
      </w:r>
      <w:r w:rsidR="00AA3D80">
        <w:t>it</w:t>
      </w:r>
      <w:r w:rsidR="00702307">
        <w:t xml:space="preserve"> more tha</w:t>
      </w:r>
      <w:r w:rsidR="00AE0A21">
        <w:t xml:space="preserve">n the </w:t>
      </w:r>
      <w:r w:rsidR="00ED7690">
        <w:t>aforementioned 50 percent sawlog volume discount of trees that had regenerated under full and/or partial canopies</w:t>
      </w:r>
      <w:r w:rsidR="00F2178F">
        <w:t xml:space="preserve">.  </w:t>
      </w:r>
      <w:r w:rsidR="00067C69" w:rsidRPr="00067C69">
        <w:t>Considering that the</w:t>
      </w:r>
      <w:r w:rsidR="002C05D7" w:rsidRPr="00067C69">
        <w:t xml:space="preserve"> commercial valu</w:t>
      </w:r>
      <w:r w:rsidR="00067C69" w:rsidRPr="00067C69">
        <w:t xml:space="preserve">e of affected trees </w:t>
      </w:r>
      <w:r w:rsidR="00067C69">
        <w:t xml:space="preserve">or lack </w:t>
      </w:r>
      <w:r w:rsidR="00067C69">
        <w:lastRenderedPageBreak/>
        <w:t xml:space="preserve">thereof </w:t>
      </w:r>
      <w:r w:rsidR="00067C69" w:rsidRPr="00067C69">
        <w:t>was not manifested</w:t>
      </w:r>
      <w:r w:rsidR="002C05D7" w:rsidRPr="00067C69">
        <w:t xml:space="preserve"> </w:t>
      </w:r>
      <w:r w:rsidR="00F2178F">
        <w:t>until years</w:t>
      </w:r>
      <w:r w:rsidR="003E73DE">
        <w:t xml:space="preserve"> 42, </w:t>
      </w:r>
      <w:r w:rsidR="00F2178F">
        <w:t>52</w:t>
      </w:r>
      <w:r w:rsidR="003E73DE">
        <w:t xml:space="preserve">, 82 </w:t>
      </w:r>
      <w:r w:rsidR="002C05D7">
        <w:t>or</w:t>
      </w:r>
      <w:r w:rsidR="003E73DE">
        <w:t xml:space="preserve"> 92</w:t>
      </w:r>
      <w:r w:rsidR="00F2178F">
        <w:t xml:space="preserve"> of the projection, the deducted volume would have </w:t>
      </w:r>
      <w:r w:rsidR="003E73DE">
        <w:t>c</w:t>
      </w:r>
      <w:r w:rsidR="00A01B61">
        <w:t>hanged the present value of these ha</w:t>
      </w:r>
      <w:r w:rsidR="003E73DE">
        <w:t xml:space="preserve">rvests very little due to </w:t>
      </w:r>
      <w:r w:rsidR="00571511">
        <w:t xml:space="preserve">the effect of </w:t>
      </w:r>
      <w:r w:rsidR="003E73DE">
        <w:t>time</w:t>
      </w:r>
      <w:r w:rsidR="00481404">
        <w:t>-discounting</w:t>
      </w:r>
      <w:r w:rsidR="00702307">
        <w:t>.</w:t>
      </w:r>
    </w:p>
    <w:p w:rsidR="003D7FA8" w:rsidRPr="001F1673" w:rsidRDefault="003D7FA8" w:rsidP="00591524">
      <w:pPr>
        <w:numPr>
          <w:ilvl w:val="2"/>
          <w:numId w:val="16"/>
        </w:numPr>
        <w:spacing w:line="480" w:lineRule="auto"/>
        <w:rPr>
          <w:b/>
          <w:bCs/>
          <w:i/>
        </w:rPr>
      </w:pPr>
      <w:r w:rsidRPr="002B58DD">
        <w:rPr>
          <w:rFonts w:cs="TimesNewRomanPSMT"/>
          <w:b/>
          <w:bCs/>
          <w:i/>
        </w:rPr>
        <w:t>Project Simulation</w:t>
      </w:r>
    </w:p>
    <w:p w:rsidR="009F7D3A" w:rsidRDefault="00B36138" w:rsidP="00591524">
      <w:pPr>
        <w:spacing w:line="480" w:lineRule="auto"/>
        <w:ind w:firstLine="720"/>
      </w:pPr>
      <w:r>
        <w:t>It is important to note that a</w:t>
      </w:r>
      <w:r w:rsidR="00014065">
        <w:t xml:space="preserve">n ecological approach to </w:t>
      </w:r>
      <w:r w:rsidR="0032690C">
        <w:t>upland hardwood</w:t>
      </w:r>
      <w:r w:rsidR="00067C69">
        <w:t xml:space="preserve"> forestry</w:t>
      </w:r>
      <w:r w:rsidR="00014065">
        <w:t xml:space="preserve"> is not nearly as straight forward as basic plantation forestry.  </w:t>
      </w:r>
      <w:r w:rsidR="002D7A2A">
        <w:t>Moreover, the d</w:t>
      </w:r>
      <w:r w:rsidR="00F7330B">
        <w:rPr>
          <w:noProof/>
        </w:rPr>
        <w:t>eterminants of harvest timing on FFO lands are numerous and extremely vari</w:t>
      </w:r>
      <w:r w:rsidR="00571511">
        <w:rPr>
          <w:noProof/>
        </w:rPr>
        <w:t>able</w:t>
      </w:r>
      <w:r w:rsidR="00F7330B">
        <w:rPr>
          <w:noProof/>
        </w:rPr>
        <w:t xml:space="preserve"> and the existence of a mixed-oak cohort further confounds sustainable management planning.  </w:t>
      </w:r>
      <w:r w:rsidR="009F7D3A">
        <w:t>Given the inherent species diversity</w:t>
      </w:r>
      <w:r w:rsidR="009F7D3A" w:rsidRPr="00D93331">
        <w:t xml:space="preserve"> </w:t>
      </w:r>
      <w:r w:rsidR="009F7D3A">
        <w:t xml:space="preserve">and </w:t>
      </w:r>
      <w:r w:rsidR="009F7D3A" w:rsidRPr="00D93331">
        <w:t xml:space="preserve">so many important and varying parameters, modeling natural forest management </w:t>
      </w:r>
      <w:r w:rsidR="009F7D3A">
        <w:t xml:space="preserve">(i.e. with species composition as an important consideration) </w:t>
      </w:r>
      <w:r w:rsidR="009F7D3A" w:rsidRPr="00D93331">
        <w:t xml:space="preserve">in </w:t>
      </w:r>
      <w:r w:rsidR="0032690C">
        <w:t xml:space="preserve">Appalachian </w:t>
      </w:r>
      <w:r w:rsidR="009F7D3A" w:rsidRPr="00D93331">
        <w:t>hardwood forests in a meth</w:t>
      </w:r>
      <w:r w:rsidR="009F7D3A">
        <w:t>odical and automated fashion was found to be exceedingly</w:t>
      </w:r>
      <w:r w:rsidR="009F7D3A" w:rsidRPr="00D93331">
        <w:t xml:space="preserve"> difficult</w:t>
      </w:r>
      <w:r w:rsidR="003E73DE">
        <w:t xml:space="preserve"> if not impossible</w:t>
      </w:r>
      <w:r w:rsidR="009F7D3A" w:rsidRPr="00D93331">
        <w:t xml:space="preserve">.  </w:t>
      </w:r>
      <w:r w:rsidR="00014065">
        <w:t>As a result, e</w:t>
      </w:r>
      <w:r w:rsidR="009F7D3A">
        <w:t>ach harvest in the</w:t>
      </w:r>
      <w:r w:rsidR="009F7D3A" w:rsidRPr="00D93331">
        <w:t xml:space="preserve"> project</w:t>
      </w:r>
      <w:r w:rsidR="009F7D3A">
        <w:t xml:space="preserve"> management regime was uniquely constructed taking pre-harvest forest conditions </w:t>
      </w:r>
      <w:r w:rsidR="003E73DE">
        <w:t xml:space="preserve">and long-term management aims </w:t>
      </w:r>
      <w:r w:rsidR="00967708">
        <w:t>into account</w:t>
      </w:r>
      <w:r w:rsidR="00067C69">
        <w:t xml:space="preserve"> and informed by the silviculture literature</w:t>
      </w:r>
      <w:r w:rsidR="00967708">
        <w:t xml:space="preserve">.  </w:t>
      </w:r>
      <w:r w:rsidR="00AD42EA">
        <w:t>SMZ</w:t>
      </w:r>
      <w:r w:rsidR="00967708">
        <w:t>-stand</w:t>
      </w:r>
      <w:r w:rsidR="00AD42EA">
        <w:t xml:space="preserve"> simulations were an exception to this rule</w:t>
      </w:r>
      <w:r w:rsidR="00650EF1">
        <w:t xml:space="preserve"> because they involved simple </w:t>
      </w:r>
      <w:r w:rsidR="00571511">
        <w:t xml:space="preserve">definitive </w:t>
      </w:r>
      <w:r w:rsidR="00650EF1">
        <w:t>prescriptions</w:t>
      </w:r>
      <w:r w:rsidR="00AD42EA">
        <w:t>.</w:t>
      </w:r>
      <w:r w:rsidR="008824D9" w:rsidRPr="008824D9">
        <w:t xml:space="preserve"> </w:t>
      </w:r>
      <w:r w:rsidR="00A01B61">
        <w:t xml:space="preserve"> </w:t>
      </w:r>
      <w:r w:rsidR="00967708">
        <w:t>Treatment timing and parameters were somewhat simplified in the model for convenience and useful insights.  Moreover, d</w:t>
      </w:r>
      <w:r w:rsidR="007339EC">
        <w:t xml:space="preserve">espite </w:t>
      </w:r>
      <w:r w:rsidR="00A01B61">
        <w:t xml:space="preserve">the potential for prescribed fire treatments to </w:t>
      </w:r>
      <w:r w:rsidR="00A01B61" w:rsidRPr="00DE1CB6">
        <w:t>help render the conditions necessary for successful oak recruitment</w:t>
      </w:r>
      <w:r w:rsidR="001F1673" w:rsidRPr="00DE1CB6">
        <w:t xml:space="preserve"> </w:t>
      </w:r>
      <w:r w:rsidR="005461B1">
        <w:fldChar w:fldCharType="begin"/>
      </w:r>
      <w:r w:rsidR="005461B1">
        <w:instrText xml:space="preserve"> ADDIN EN.CITE &lt;EndNote&gt;&lt;Cite&gt;&lt;Author&gt;Arthur&lt;/Author&gt;&lt;Year&gt;2009&lt;/Year&gt;&lt;RecNum&gt;315&lt;/RecNum&gt;&lt;DisplayText&gt;(Arthur et al. 2009)&lt;/DisplayText&gt;&lt;record&gt;&lt;rec-number&gt;315&lt;/rec-number&gt;&lt;foreign-keys&gt;&lt;key app="EN" db-id="a90s5zadewrawxeer07v2f90xr5vxv022sat"&gt;315&lt;/key&gt;&lt;/foreign-keys&gt;&lt;ref-type name="Report"&gt;27&lt;/ref-type&gt;&lt;contributors&gt;&lt;authors&gt;&lt;author&gt;Mary Arthur&lt;/author&gt;&lt;author&gt;David L. Loftis&lt;/author&gt;&lt;author&gt;Patrick Brose&lt;/author&gt;&lt;/authors&gt;&lt;/contributors&gt;&lt;titles&gt;&lt;title&gt;Fire returns to southern Appalachian forests&lt;/title&gt;&lt;secondary-title&gt;Fire Science Brief&lt;/secondary-title&gt;&lt;/titles&gt;&lt;pages&gt;6&lt;/pages&gt;&lt;volume&gt;35&lt;/volume&gt;&lt;number&gt;01-3-3-14&lt;/number&gt;&lt;dates&gt;&lt;year&gt;2009&lt;/year&gt;&lt;/dates&gt;&lt;pub-location&gt;Boise, ID&lt;/pub-location&gt;&lt;publisher&gt;Joint Fire Science Program&lt;/publisher&gt;&lt;urls&gt;&lt;/urls&gt;&lt;/record&gt;&lt;/Cite&gt;&lt;/EndNote&gt;</w:instrText>
      </w:r>
      <w:r w:rsidR="005461B1">
        <w:fldChar w:fldCharType="separate"/>
      </w:r>
      <w:r w:rsidR="005461B1">
        <w:rPr>
          <w:noProof/>
        </w:rPr>
        <w:t>(</w:t>
      </w:r>
      <w:hyperlink w:anchor="_ENREF_21" w:tooltip="Arthur, 2009 #315" w:history="1">
        <w:r w:rsidR="001E4C88">
          <w:rPr>
            <w:noProof/>
          </w:rPr>
          <w:t>Arthur et al. 2009</w:t>
        </w:r>
      </w:hyperlink>
      <w:r w:rsidR="005461B1">
        <w:rPr>
          <w:noProof/>
        </w:rPr>
        <w:t>)</w:t>
      </w:r>
      <w:r w:rsidR="005461B1">
        <w:fldChar w:fldCharType="end"/>
      </w:r>
      <w:r w:rsidR="007339EC" w:rsidRPr="00DE1CB6">
        <w:t>, prescribed fire was not one of the s</w:t>
      </w:r>
      <w:r w:rsidR="00A01B61" w:rsidRPr="00DE1CB6">
        <w:t xml:space="preserve">ilvicultural applications </w:t>
      </w:r>
      <w:r w:rsidR="007339EC" w:rsidRPr="00DE1CB6">
        <w:t>simulated due to t</w:t>
      </w:r>
      <w:r w:rsidR="007339EC">
        <w:t>he complexity it would have added to the model</w:t>
      </w:r>
      <w:r w:rsidR="00A01B61">
        <w:t>.</w:t>
      </w:r>
    </w:p>
    <w:p w:rsidR="001D2B80" w:rsidRDefault="001D2B80" w:rsidP="00591524">
      <w:pPr>
        <w:spacing w:line="480" w:lineRule="auto"/>
        <w:ind w:firstLine="720"/>
        <w:rPr>
          <w:rFonts w:asciiTheme="minorHAnsi" w:hAnsiTheme="minorHAnsi" w:cstheme="minorHAnsi"/>
        </w:rPr>
      </w:pPr>
      <w:r w:rsidRPr="00F64D99">
        <w:t xml:space="preserve">Management costs were obtained from the </w:t>
      </w:r>
      <w:r w:rsidR="002969ED">
        <w:t>published</w:t>
      </w:r>
      <w:r>
        <w:t xml:space="preserve"> prevailing rates for sub-practices in </w:t>
      </w:r>
      <w:r w:rsidR="00D00031">
        <w:t xml:space="preserve">western </w:t>
      </w:r>
      <w:r>
        <w:t xml:space="preserve">North Carolina </w:t>
      </w:r>
      <w:r w:rsidR="00DE1CB6">
        <w:t xml:space="preserve">but did not include the felling and removal costs applied </w:t>
      </w:r>
      <w:r w:rsidR="006B7BF5">
        <w:t>in</w:t>
      </w:r>
      <w:r w:rsidR="00DE1CB6">
        <w:t xml:space="preserve"> the BAU scenario for the reasons</w:t>
      </w:r>
      <w:r w:rsidR="005461B1">
        <w:t xml:space="preserve"> </w:t>
      </w:r>
      <w:r w:rsidR="00067C69">
        <w:t xml:space="preserve">previously mentioned </w:t>
      </w:r>
      <w:r w:rsidR="005461B1">
        <w:fldChar w:fldCharType="begin"/>
      </w:r>
      <w:r w:rsidR="005461B1">
        <w:instrText xml:space="preserve"> ADDIN EN.CITE &lt;EndNote&gt;&lt;Cite ExcludeAuth="1"&gt;&lt;Year&gt;NC Division of Forest Resources 2010&lt;/Year&gt;&lt;RecNum&gt;314&lt;/RecNum&gt;&lt;DisplayText&gt;(NC Division of Forest Resources 2010)&lt;/DisplayText&gt;&lt;record&gt;&lt;rec-number&gt;314&lt;/rec-number&gt;&lt;foreign-keys&gt;&lt;key app="EN" db-id="a90s5zadewrawxeer07v2f90xr5vxv022sat"&gt;314&lt;/key&gt;&lt;/foreign-keys&gt;&lt;ref-type name="Web Page"&gt;12&lt;/ref-type&gt;&lt;contributors&gt;&lt;/contributors&gt;&lt;titles&gt;&lt;title&gt;Forest Development Program Prevailing Rates&lt;/title&gt;&lt;/titles&gt;&lt;volume&gt;2010&lt;/volume&gt;&lt;number&gt;April 4&lt;/number&gt;&lt;dates&gt;&lt;year&gt;NC Division of Forest Resources 2010&lt;/year&gt;&lt;/dates&gt;&lt;pub-location&gt;Raleigh, NC&lt;/pub-location&gt;&lt;urls&gt;&lt;related-urls&gt;&lt;url&gt;http://www.dfr.state.nc.us/Managing_your_forest/fdp_rates.htm&lt;/url&gt;&lt;/related-urls&gt;&lt;/urls&gt;&lt;/record&gt;&lt;/Cite&gt;&lt;/EndNote&gt;</w:instrText>
      </w:r>
      <w:r w:rsidR="005461B1">
        <w:fldChar w:fldCharType="separate"/>
      </w:r>
      <w:r w:rsidR="005461B1">
        <w:rPr>
          <w:noProof/>
        </w:rPr>
        <w:t>(</w:t>
      </w:r>
      <w:hyperlink w:anchor="_ENREF_8" w:tooltip=", NC Division of Forest Resources 2010 #314" w:history="1">
        <w:r w:rsidR="001E4C88">
          <w:rPr>
            <w:noProof/>
          </w:rPr>
          <w:t>NC Division of Forest Resources 2010</w:t>
        </w:r>
      </w:hyperlink>
      <w:r w:rsidR="005461B1">
        <w:rPr>
          <w:noProof/>
        </w:rPr>
        <w:t>)</w:t>
      </w:r>
      <w:r w:rsidR="005461B1">
        <w:fldChar w:fldCharType="end"/>
      </w:r>
      <w:r>
        <w:t xml:space="preserve">.  Costs for </w:t>
      </w:r>
      <w:r w:rsidR="00D06E6D">
        <w:t xml:space="preserve">administering timber sales were </w:t>
      </w:r>
      <w:r>
        <w:t xml:space="preserve">assumed to be </w:t>
      </w:r>
      <w:r w:rsidR="00D00031">
        <w:t>$</w:t>
      </w:r>
      <w:r>
        <w:t>1</w:t>
      </w:r>
      <w:r w:rsidR="00D00031">
        <w:t>2 BF</w:t>
      </w:r>
      <w:r w:rsidR="00D00031" w:rsidRPr="00D00031">
        <w:rPr>
          <w:vertAlign w:val="superscript"/>
        </w:rPr>
        <w:t>-1</w:t>
      </w:r>
      <w:r w:rsidR="00D00031">
        <w:t xml:space="preserve"> </w:t>
      </w:r>
      <w:r w:rsidR="00D06E6D">
        <w:t xml:space="preserve">based on the findings of Hersey and Kittredge </w:t>
      </w:r>
      <w:r w:rsidR="00D06E6D">
        <w:fldChar w:fldCharType="begin"/>
      </w:r>
      <w:r w:rsidR="00D06E6D">
        <w:instrText xml:space="preserve"> ADDIN EN.CITE &lt;EndNote&gt;&lt;Cite ExcludeAuth="1"&gt;&lt;Author&gt;Hersey&lt;/Author&gt;&lt;Year&gt;2005&lt;/Year&gt;&lt;RecNum&gt;99&lt;/RecNum&gt;&lt;DisplayText&gt;(2005)&lt;/DisplayText&gt;&lt;record&gt;&lt;rec-number&gt;99&lt;/rec-number&gt;&lt;foreign-keys&gt;&lt;key app="EN" db-id="a90s5zadewrawxeer07v2f90xr5vxv022sat"&gt;99&lt;/key&gt;&lt;/foreign-keys&gt;&lt;ref-type name="Journal Article"&gt;17&lt;/ref-type&gt;&lt;contributors&gt;&lt;authors&gt;&lt;author&gt;Hersey, Charles&lt;/author&gt;&lt;author&gt;Kittredge, David&lt;/author&gt;&lt;/authors&gt;&lt;/contributors&gt;&lt;titles&gt;&lt;title&gt;The Expense of Private Forestry: Survey Results of Private Practicing Foresters in Massachusetts&lt;/title&gt;&lt;secondary-title&gt;Northern Journal of Applied Forestry&lt;/secondary-title&gt;&lt;/titles&gt;&lt;periodical&gt;&lt;full-title&gt;Northern Journal of Applied Forestry&lt;/full-title&gt;&lt;abbr-1&gt;North. J. Appl. For.&lt;/abbr-1&gt;&lt;/periodical&gt;&lt;pages&gt;211-212&lt;/pages&gt;&lt;volume&gt;22&lt;/volume&gt;&lt;dates&gt;&lt;year&gt;2005&lt;/year&gt;&lt;/dates&gt;&lt;urls&gt;&lt;related-urls&gt;&lt;url&gt;http://www.ingentaconnect.com/content/saf/njaf/2005/00000022/00000003/art00010&lt;/url&gt;&lt;/related-urls&gt;&lt;/urls&gt;&lt;/record&gt;&lt;/Cite&gt;&lt;/EndNote&gt;</w:instrText>
      </w:r>
      <w:r w:rsidR="00D06E6D">
        <w:fldChar w:fldCharType="separate"/>
      </w:r>
      <w:r w:rsidR="00D06E6D">
        <w:rPr>
          <w:noProof/>
        </w:rPr>
        <w:t>(</w:t>
      </w:r>
      <w:hyperlink w:anchor="_ENREF_70" w:tooltip="Hersey, 2005 #99" w:history="1">
        <w:r w:rsidR="001E4C88">
          <w:rPr>
            <w:noProof/>
          </w:rPr>
          <w:t>2005</w:t>
        </w:r>
      </w:hyperlink>
      <w:r w:rsidR="00D06E6D">
        <w:rPr>
          <w:noProof/>
        </w:rPr>
        <w:t>)</w:t>
      </w:r>
      <w:r w:rsidR="00D06E6D">
        <w:fldChar w:fldCharType="end"/>
      </w:r>
      <w:r w:rsidR="00D06E6D">
        <w:t xml:space="preserve"> </w:t>
      </w:r>
      <w:r w:rsidR="00D00031">
        <w:t>and marking costs we</w:t>
      </w:r>
      <w:r>
        <w:t xml:space="preserve">re assumed to be </w:t>
      </w:r>
      <w:r w:rsidR="006A3DAD">
        <w:t xml:space="preserve">$90 </w:t>
      </w:r>
      <w:r w:rsidR="006A3DAD" w:rsidRPr="00B3570E">
        <w:t>ac</w:t>
      </w:r>
      <w:r w:rsidR="006A3DAD" w:rsidRPr="00B3570E">
        <w:rPr>
          <w:vertAlign w:val="superscript"/>
        </w:rPr>
        <w:t>-1</w:t>
      </w:r>
      <w:r w:rsidR="006A3DAD">
        <w:t xml:space="preserve"> in agreement with </w:t>
      </w:r>
      <w:r>
        <w:t xml:space="preserve">the 2008 mean marking cost reported by Barlow et al. </w:t>
      </w:r>
      <w:r>
        <w:fldChar w:fldCharType="begin"/>
      </w:r>
      <w:r w:rsidR="00A87D07">
        <w:instrText xml:space="preserve"> ADDIN EN.CITE &lt;EndNote&gt;&lt;Cite ExcludeAuth="1"&gt;&lt;Author&gt;R.J.&lt;/Author&gt;&lt;Year&gt;2009&lt;/Year&gt;&lt;RecNum&gt;229&lt;/RecNum&gt;&lt;DisplayText&gt;(2009)&lt;/DisplayText&gt;&lt;record&gt;&lt;rec-number&gt;229&lt;/rec-number&gt;&lt;foreign-keys&gt;&lt;key app="EN" db-id="a90s5zadewrawxeer07v2f90xr5vxv022sat"&gt;229&lt;/key&gt;&lt;/foreign-keys&gt;&lt;ref-type name="Journal Article"&gt;17&lt;/ref-type&gt;&lt;contributors&gt;&lt;authors&gt;&lt;author&gt;Barlow, R.J.&lt;/author&gt;&lt;author&gt;M.F. Smidt&lt;/author&gt;&lt;author&gt;J.Z. Morse&lt;/author&gt;&lt;author&gt;M.R. Dubois&lt;/author&gt;&lt;/authors&gt;&lt;/contributors&gt;&lt;titles&gt;&lt;title&gt;Cost and cost trends for forestry practices in the South&lt;/title&gt;&lt;secondary-title&gt;Forest Landowner&lt;/secondary-title&gt;&lt;/titles&gt;&lt;periodical&gt;&lt;full-title&gt;Forest Landowner&lt;/full-title&gt;&lt;/periodical&gt;&lt;pages&gt;5-12&lt;/pages&gt;&lt;volume&gt;68&lt;/volume&gt;&lt;number&gt;5&lt;/number&gt;&lt;dates&gt;&lt;year&gt;2009&lt;/year&gt;&lt;/dates&gt;&lt;urls&gt;&lt;/urls&gt;&lt;/record&gt;&lt;/Cite&gt;&lt;/EndNote&gt;</w:instrText>
      </w:r>
      <w:r>
        <w:fldChar w:fldCharType="separate"/>
      </w:r>
      <w:r w:rsidR="00A87D07">
        <w:rPr>
          <w:noProof/>
        </w:rPr>
        <w:t>(</w:t>
      </w:r>
      <w:hyperlink w:anchor="_ENREF_22" w:tooltip="Barlow, 2009 #229" w:history="1">
        <w:r w:rsidR="001E4C88">
          <w:rPr>
            <w:noProof/>
          </w:rPr>
          <w:t>2009</w:t>
        </w:r>
      </w:hyperlink>
      <w:r w:rsidR="00A87D07">
        <w:rPr>
          <w:noProof/>
        </w:rPr>
        <w:t>)</w:t>
      </w:r>
      <w:r>
        <w:fldChar w:fldCharType="end"/>
      </w:r>
      <w:r>
        <w:t>.</w:t>
      </w:r>
      <w:r w:rsidR="00DE1CB6">
        <w:t xml:space="preserve">  </w:t>
      </w:r>
      <w:r w:rsidR="00FF4B45">
        <w:t>M</w:t>
      </w:r>
      <w:r w:rsidR="00DE1CB6">
        <w:t xml:space="preserve">anagement planning </w:t>
      </w:r>
      <w:r w:rsidR="009A2536">
        <w:t>during the project</w:t>
      </w:r>
      <w:r w:rsidR="003544E5">
        <w:t xml:space="preserve"> </w:t>
      </w:r>
      <w:r w:rsidR="00DE1CB6">
        <w:t>was assumed to be covered by these costs.</w:t>
      </w:r>
      <w:r w:rsidR="003544E5" w:rsidRPr="003544E5">
        <w:rPr>
          <w:rFonts w:asciiTheme="minorHAnsi" w:hAnsiTheme="minorHAnsi" w:cstheme="minorHAnsi"/>
        </w:rPr>
        <w:t xml:space="preserve"> </w:t>
      </w:r>
      <w:r w:rsidR="003544E5">
        <w:rPr>
          <w:rFonts w:asciiTheme="minorHAnsi" w:hAnsiTheme="minorHAnsi" w:cstheme="minorHAnsi"/>
        </w:rPr>
        <w:t xml:space="preserve"> </w:t>
      </w:r>
      <w:r w:rsidR="009A2536">
        <w:rPr>
          <w:rFonts w:asciiTheme="minorHAnsi" w:hAnsiTheme="minorHAnsi" w:cstheme="minorHAnsi"/>
        </w:rPr>
        <w:t xml:space="preserve">A one-time initial management planning </w:t>
      </w:r>
      <w:r w:rsidR="009A2536">
        <w:rPr>
          <w:rFonts w:asciiTheme="minorHAnsi" w:hAnsiTheme="minorHAnsi" w:cstheme="minorHAnsi"/>
        </w:rPr>
        <w:lastRenderedPageBreak/>
        <w:t>cost</w:t>
      </w:r>
      <w:r w:rsidR="003544E5">
        <w:rPr>
          <w:rFonts w:asciiTheme="minorHAnsi" w:hAnsiTheme="minorHAnsi" w:cstheme="minorHAnsi"/>
        </w:rPr>
        <w:t xml:space="preserve"> </w:t>
      </w:r>
      <w:r w:rsidR="009A2536">
        <w:rPr>
          <w:rFonts w:asciiTheme="minorHAnsi" w:hAnsiTheme="minorHAnsi" w:cstheme="minorHAnsi"/>
        </w:rPr>
        <w:t>for the timber-only project case was</w:t>
      </w:r>
      <w:r w:rsidR="003544E5">
        <w:rPr>
          <w:rFonts w:asciiTheme="minorHAnsi" w:hAnsiTheme="minorHAnsi" w:cstheme="minorHAnsi"/>
        </w:rPr>
        <w:t xml:space="preserve"> accounted for explicitly with </w:t>
      </w:r>
      <w:r w:rsidR="00F465CC">
        <w:rPr>
          <w:rFonts w:asciiTheme="minorHAnsi" w:hAnsiTheme="minorHAnsi" w:cstheme="minorHAnsi"/>
        </w:rPr>
        <w:t>the</w:t>
      </w:r>
      <w:r w:rsidR="003544E5">
        <w:rPr>
          <w:rFonts w:asciiTheme="minorHAnsi" w:hAnsiTheme="minorHAnsi" w:cstheme="minorHAnsi"/>
        </w:rPr>
        <w:t xml:space="preserve"> $500 base fee and $10ac</w:t>
      </w:r>
      <w:r w:rsidR="003544E5" w:rsidRPr="003544E5">
        <w:rPr>
          <w:rFonts w:asciiTheme="minorHAnsi" w:hAnsiTheme="minorHAnsi" w:cstheme="minorHAnsi"/>
          <w:vertAlign w:val="superscript"/>
        </w:rPr>
        <w:t>-1</w:t>
      </w:r>
      <w:r w:rsidR="003544E5">
        <w:rPr>
          <w:rFonts w:asciiTheme="minorHAnsi" w:hAnsiTheme="minorHAnsi" w:cstheme="minorHAnsi"/>
        </w:rPr>
        <w:t xml:space="preserve"> charge</w:t>
      </w:r>
      <w:r w:rsidR="009A2536">
        <w:rPr>
          <w:rStyle w:val="FootnoteReference"/>
          <w:rFonts w:asciiTheme="minorHAnsi" w:hAnsiTheme="minorHAnsi"/>
        </w:rPr>
        <w:footnoteReference w:id="20"/>
      </w:r>
      <w:r w:rsidR="00F465CC">
        <w:rPr>
          <w:rFonts w:asciiTheme="minorHAnsi" w:hAnsiTheme="minorHAnsi" w:cstheme="minorHAnsi"/>
        </w:rPr>
        <w:t xml:space="preserve"> </w:t>
      </w:r>
      <w:r w:rsidR="00F95EA6">
        <w:rPr>
          <w:rFonts w:asciiTheme="minorHAnsi" w:hAnsiTheme="minorHAnsi" w:cstheme="minorHAnsi"/>
        </w:rPr>
        <w:t>suggested</w:t>
      </w:r>
      <w:r w:rsidR="00F465CC">
        <w:rPr>
          <w:rFonts w:asciiTheme="minorHAnsi" w:hAnsiTheme="minorHAnsi" w:cstheme="minorHAnsi"/>
        </w:rPr>
        <w:t xml:space="preserve"> by</w:t>
      </w:r>
      <w:r w:rsidR="003544E5">
        <w:t xml:space="preserve"> Hersey and Kittredge </w:t>
      </w:r>
      <w:r w:rsidR="003544E5">
        <w:fldChar w:fldCharType="begin"/>
      </w:r>
      <w:r w:rsidR="00A87D07">
        <w:instrText xml:space="preserve"> ADDIN EN.CITE &lt;EndNote&gt;&lt;Cite ExcludeAuth="1"&gt;&lt;Author&gt;Hersey&lt;/Author&gt;&lt;Year&gt;2005&lt;/Year&gt;&lt;RecNum&gt;99&lt;/RecNum&gt;&lt;DisplayText&gt;(2005)&lt;/DisplayText&gt;&lt;record&gt;&lt;rec-number&gt;99&lt;/rec-number&gt;&lt;foreign-keys&gt;&lt;key app="EN" db-id="a90s5zadewrawxeer07v2f90xr5vxv022sat"&gt;99&lt;/key&gt;&lt;/foreign-keys&gt;&lt;ref-type name="Journal Article"&gt;17&lt;/ref-type&gt;&lt;contributors&gt;&lt;authors&gt;&lt;author&gt;Hersey, Charles&lt;/author&gt;&lt;author&gt;Kittredge, David&lt;/author&gt;&lt;/authors&gt;&lt;/contributors&gt;&lt;titles&gt;&lt;title&gt;The Expense of Private Forestry: Survey Results of Private Practicing Foresters in Massachusetts&lt;/title&gt;&lt;secondary-title&gt;Northern Journal of Applied Forestry&lt;/secondary-title&gt;&lt;/titles&gt;&lt;periodical&gt;&lt;full-title&gt;Northern Journal of Applied Forestry&lt;/full-title&gt;&lt;abbr-1&gt;North. J. Appl. For.&lt;/abbr-1&gt;&lt;/periodical&gt;&lt;pages&gt;211-212&lt;/pages&gt;&lt;volume&gt;22&lt;/volume&gt;&lt;dates&gt;&lt;year&gt;2005&lt;/year&gt;&lt;/dates&gt;&lt;urls&gt;&lt;related-urls&gt;&lt;url&gt;http://www.ingentaconnect.com/content/saf/njaf/2005/00000022/00000003/art00010&lt;/url&gt;&lt;/related-urls&gt;&lt;/urls&gt;&lt;/record&gt;&lt;/Cite&gt;&lt;/EndNote&gt;</w:instrText>
      </w:r>
      <w:r w:rsidR="003544E5">
        <w:fldChar w:fldCharType="separate"/>
      </w:r>
      <w:r w:rsidR="00A87D07">
        <w:rPr>
          <w:noProof/>
        </w:rPr>
        <w:t>(</w:t>
      </w:r>
      <w:hyperlink w:anchor="_ENREF_70" w:tooltip="Hersey, 2005 #99" w:history="1">
        <w:r w:rsidR="001E4C88">
          <w:rPr>
            <w:noProof/>
          </w:rPr>
          <w:t>2005</w:t>
        </w:r>
      </w:hyperlink>
      <w:r w:rsidR="00A87D07">
        <w:rPr>
          <w:noProof/>
        </w:rPr>
        <w:t>)</w:t>
      </w:r>
      <w:r w:rsidR="003544E5">
        <w:fldChar w:fldCharType="end"/>
      </w:r>
      <w:r w:rsidR="003544E5">
        <w:t xml:space="preserve">.  While a corresponding tract-size was not indicated, the resulting cost </w:t>
      </w:r>
      <w:r w:rsidR="003544E5">
        <w:rPr>
          <w:rFonts w:asciiTheme="minorHAnsi" w:hAnsiTheme="minorHAnsi" w:cstheme="minorHAnsi"/>
        </w:rPr>
        <w:t>ac</w:t>
      </w:r>
      <w:r w:rsidR="003544E5" w:rsidRPr="003544E5">
        <w:rPr>
          <w:rFonts w:asciiTheme="minorHAnsi" w:hAnsiTheme="minorHAnsi" w:cstheme="minorHAnsi"/>
          <w:vertAlign w:val="superscript"/>
        </w:rPr>
        <w:t>-1</w:t>
      </w:r>
      <w:r w:rsidR="003544E5">
        <w:rPr>
          <w:rFonts w:asciiTheme="minorHAnsi" w:hAnsiTheme="minorHAnsi" w:cstheme="minorHAnsi"/>
          <w:vertAlign w:val="superscript"/>
        </w:rPr>
        <w:t xml:space="preserve"> </w:t>
      </w:r>
      <w:r w:rsidR="003544E5">
        <w:rPr>
          <w:rFonts w:asciiTheme="minorHAnsi" w:hAnsiTheme="minorHAnsi" w:cstheme="minorHAnsi"/>
        </w:rPr>
        <w:t xml:space="preserve">mirrored that reported by Gunn et al. </w:t>
      </w:r>
      <w:r w:rsidR="009A2536">
        <w:rPr>
          <w:rFonts w:asciiTheme="minorHAnsi" w:hAnsiTheme="minorHAnsi" w:cstheme="minorHAnsi"/>
        </w:rPr>
        <w:fldChar w:fldCharType="begin"/>
      </w:r>
      <w:r w:rsidR="0056578C">
        <w:rPr>
          <w:rFonts w:asciiTheme="minorHAnsi" w:hAnsiTheme="minorHAnsi" w:cstheme="minorHAnsi"/>
        </w:rPr>
        <w:instrText xml:space="preserve"> ADDIN EN.CITE &lt;EndNote&gt;&lt;Cite ExcludeAuth="1"&gt;&lt;Author&gt;Gunn&lt;/Author&gt;&lt;Year&gt;2008&lt;/Year&gt;&lt;RecNum&gt;24&lt;/RecNum&gt;&lt;DisplayText&gt;(2008)&lt;/DisplayText&gt;&lt;record&gt;&lt;rec-number&gt;24&lt;/rec-number&gt;&lt;foreign-keys&gt;&lt;key app="EN" db-id="a90s5zadewrawxeer07v2f90xr5vxv022sat"&gt;24&lt;/key&gt;&lt;key app="ENWeb" db-id="S3c-7ArtqgcAACfG-zs"&gt;26&lt;/key&gt;&lt;/foreign-keys&gt;&lt;ref-type name="Unpublished Work"&gt;34&lt;/ref-type&gt;&lt;contributors&gt;&lt;authors&gt;&lt;author&gt;J. Gunn&lt;/author&gt;&lt;author&gt;W. Price&lt;/author&gt;&lt;author&gt;J. Battles&lt;/author&gt;&lt;author&gt;D. Saah&lt;/author&gt;&lt;author&gt;K. Siegel&lt;/author&gt;&lt;/authors&gt;&lt;/contributors&gt;&lt;titles&gt;&lt;title&gt;The Development of an Ecosystem Services Trading Program for Family Forest Landowners to Promote the Protection of Atmospheric, Water, and Soil Resources in Maine&lt;/title&gt;&lt;/titles&gt;&lt;volume&gt;Final Report Submitted to the USDA Natural Resources Conservation Service Conservation Innovation Grants Program. 61p.&lt;/volume&gt;&lt;dates&gt;&lt;year&gt;2008&lt;/year&gt;&lt;/dates&gt;&lt;publisher&gt;New Gloucester, ME: Trust to Conserve Northeast Forestlands&lt;/publisher&gt;&lt;urls&gt;&lt;/urls&gt;&lt;/record&gt;&lt;/Cite&gt;&lt;/EndNote&gt;</w:instrText>
      </w:r>
      <w:r w:rsidR="009A2536">
        <w:rPr>
          <w:rFonts w:asciiTheme="minorHAnsi" w:hAnsiTheme="minorHAnsi" w:cstheme="minorHAnsi"/>
        </w:rPr>
        <w:fldChar w:fldCharType="separate"/>
      </w:r>
      <w:r w:rsidR="00A87D07">
        <w:rPr>
          <w:rFonts w:asciiTheme="minorHAnsi" w:hAnsiTheme="minorHAnsi" w:cstheme="minorHAnsi"/>
          <w:noProof/>
        </w:rPr>
        <w:t>(</w:t>
      </w:r>
      <w:hyperlink w:anchor="_ENREF_63" w:tooltip="Gunn, 2008 #24" w:history="1">
        <w:r w:rsidR="001E4C88">
          <w:rPr>
            <w:rFonts w:asciiTheme="minorHAnsi" w:hAnsiTheme="minorHAnsi" w:cstheme="minorHAnsi"/>
            <w:noProof/>
          </w:rPr>
          <w:t>2008</w:t>
        </w:r>
      </w:hyperlink>
      <w:r w:rsidR="00A87D07">
        <w:rPr>
          <w:rFonts w:asciiTheme="minorHAnsi" w:hAnsiTheme="minorHAnsi" w:cstheme="minorHAnsi"/>
          <w:noProof/>
        </w:rPr>
        <w:t>)</w:t>
      </w:r>
      <w:r w:rsidR="009A2536">
        <w:rPr>
          <w:rFonts w:asciiTheme="minorHAnsi" w:hAnsiTheme="minorHAnsi" w:cstheme="minorHAnsi"/>
        </w:rPr>
        <w:fldChar w:fldCharType="end"/>
      </w:r>
      <w:r w:rsidR="003544E5">
        <w:rPr>
          <w:rFonts w:asciiTheme="minorHAnsi" w:hAnsiTheme="minorHAnsi" w:cstheme="minorHAnsi"/>
        </w:rPr>
        <w:t xml:space="preserve"> for </w:t>
      </w:r>
      <w:r w:rsidR="00EF64BB">
        <w:rPr>
          <w:rFonts w:asciiTheme="minorHAnsi" w:hAnsiTheme="minorHAnsi" w:cstheme="minorHAnsi"/>
        </w:rPr>
        <w:t>a 13-member forest carbon aggregate made up of forest tracts similar in size to this hypothetical project area</w:t>
      </w:r>
      <w:r w:rsidR="003544E5">
        <w:rPr>
          <w:rFonts w:asciiTheme="minorHAnsi" w:hAnsiTheme="minorHAnsi" w:cstheme="minorHAnsi"/>
        </w:rPr>
        <w:t xml:space="preserve">. </w:t>
      </w:r>
    </w:p>
    <w:p w:rsidR="001F1673" w:rsidRDefault="001F1673" w:rsidP="001F1673">
      <w:pPr>
        <w:numPr>
          <w:ilvl w:val="3"/>
          <w:numId w:val="16"/>
        </w:numPr>
        <w:spacing w:line="480" w:lineRule="auto"/>
        <w:rPr>
          <w:b/>
          <w:bCs/>
          <w:i/>
        </w:rPr>
      </w:pPr>
      <w:r>
        <w:rPr>
          <w:b/>
          <w:bCs/>
          <w:i/>
        </w:rPr>
        <w:t>SMZ-Stands</w:t>
      </w:r>
    </w:p>
    <w:p w:rsidR="006A3DAD" w:rsidRDefault="001F1673" w:rsidP="001F1673">
      <w:pPr>
        <w:spacing w:line="480" w:lineRule="auto"/>
        <w:ind w:firstLine="720"/>
      </w:pPr>
      <w:r>
        <w:t xml:space="preserve">Partial harvesting practices in compliance with the Forest Stewardship Council-US standard’s </w:t>
      </w:r>
      <w:r w:rsidR="00906EC1">
        <w:t xml:space="preserve">rules </w:t>
      </w:r>
      <w:r>
        <w:t xml:space="preserve">governing SMZs were adopted for the project scenario in lieu of those recommended by BMPs.  Even though SMZ weights of </w:t>
      </w:r>
      <w:r w:rsidRPr="00423BB5">
        <w:t>65</w:t>
      </w:r>
      <w:r>
        <w:t xml:space="preserve"> percent and </w:t>
      </w:r>
      <w:r w:rsidRPr="00423BB5">
        <w:t>8</w:t>
      </w:r>
      <w:r>
        <w:t>0 percent</w:t>
      </w:r>
      <w:r w:rsidRPr="00423BB5">
        <w:t xml:space="preserve"> </w:t>
      </w:r>
      <w:r>
        <w:t xml:space="preserve">for each respective 10ac stand were suggested by </w:t>
      </w:r>
      <w:r w:rsidRPr="00423BB5">
        <w:t xml:space="preserve">lengthier SMZ buffers required by </w:t>
      </w:r>
      <w:r>
        <w:t xml:space="preserve">the </w:t>
      </w:r>
      <w:r w:rsidRPr="00423BB5">
        <w:t>FSC</w:t>
      </w:r>
      <w:r>
        <w:t xml:space="preserve"> standard, the 50 percent weights that the two SMZ-stands represented before were expanded to 100 percent in this scenario as a way of keeping AGL stocks elevated</w:t>
      </w:r>
      <w:r w:rsidRPr="00AD42EA">
        <w:t xml:space="preserve"> </w:t>
      </w:r>
      <w:r>
        <w:t xml:space="preserve">and since large SMZs are common in the region.  Additionally, instead of a canopy cover reduction limit of 50 percent, harvests in the project SMZ-stands were only allowed to reduce canopy cover by ten percent to again parallel practices deemed acceptable by the FSC </w:t>
      </w:r>
      <w:r w:rsidR="00F95EA6">
        <w:fldChar w:fldCharType="begin"/>
      </w:r>
      <w:r w:rsidR="00F95EA6">
        <w:instrText xml:space="preserve"> ADDIN EN.CITE &lt;EndNote&gt;&lt;Cite ExcludeAuth="1"&gt;&lt;Year&gt;Forest Stewardship Council 2010&lt;/Year&gt;&lt;RecNum&gt;240&lt;/RecNum&gt;&lt;DisplayText&gt;(Forest Stewardship Council 2010)&lt;/DisplayText&gt;&lt;record&gt;&lt;rec-number&gt;240&lt;/rec-number&gt;&lt;foreign-keys&gt;&lt;key app="EN" db-id="a90s5zadewrawxeer07v2f90xr5vxv022sat"&gt;240&lt;/key&gt;&lt;/foreign-keys&gt;&lt;ref-type name="Standard"&gt;58&lt;/ref-type&gt;&lt;contributors&gt;&lt;/contributors&gt;&lt;titles&gt;&lt;title&gt;FSC-US Forest Management Standard (v1.0). 122p&lt;/title&gt;&lt;/titles&gt;&lt;dates&gt;&lt;year&gt;Forest Stewardship Council 2010&lt;/year&gt;&lt;/dates&gt;&lt;urls&gt;&lt;/urls&gt;&lt;/record&gt;&lt;/Cite&gt;&lt;/EndNote&gt;</w:instrText>
      </w:r>
      <w:r w:rsidR="00F95EA6">
        <w:fldChar w:fldCharType="separate"/>
      </w:r>
      <w:r w:rsidR="00F95EA6">
        <w:rPr>
          <w:noProof/>
        </w:rPr>
        <w:t>(</w:t>
      </w:r>
      <w:hyperlink w:anchor="_ENREF_6" w:tooltip=", Forest Stewardship Council 2010 #240" w:history="1">
        <w:r w:rsidR="001E4C88">
          <w:rPr>
            <w:noProof/>
          </w:rPr>
          <w:t>Forest Stewardship Council 2010</w:t>
        </w:r>
      </w:hyperlink>
      <w:r w:rsidR="00F95EA6">
        <w:rPr>
          <w:noProof/>
        </w:rPr>
        <w:t>)</w:t>
      </w:r>
      <w:r w:rsidR="00F95EA6">
        <w:fldChar w:fldCharType="end"/>
      </w:r>
      <w:r>
        <w:t xml:space="preserve">.  Even though the primary goal of the project scenario is to maintain hard mast producing species, this FSC-compliant practice facilitates a compositional shift of the upland oak SMZ to a Maple-Beech-Birch forest cover type as one would expect with uneven-age management.  This compromise was made for what was thought to enhance the accrual of creditable carbon.  Conversely, increases in oak regeneration stocking were pursued in the </w:t>
      </w:r>
      <w:r w:rsidR="006A3DAD">
        <w:t>Y</w:t>
      </w:r>
      <w:r w:rsidR="00967708">
        <w:t>ellow poplar</w:t>
      </w:r>
      <w:r>
        <w:t xml:space="preserve"> stand, which was meant to offset this effect.  The importance of species diversity in the face of an uncertain future climate necessitates that mitigation activities do not buttress the forces driving maple dominance in these forests.  Accordingly, even-age management was simulated for all other </w:t>
      </w:r>
      <w:r w:rsidR="00291C26">
        <w:t xml:space="preserve">40ac </w:t>
      </w:r>
      <w:r>
        <w:t xml:space="preserve">stands. </w:t>
      </w:r>
    </w:p>
    <w:p w:rsidR="00143E4F" w:rsidRDefault="00143E4F" w:rsidP="001F1673">
      <w:pPr>
        <w:spacing w:line="480" w:lineRule="auto"/>
        <w:ind w:firstLine="720"/>
      </w:pPr>
    </w:p>
    <w:p w:rsidR="00906EC1" w:rsidRDefault="00C04126" w:rsidP="00C04126">
      <w:pPr>
        <w:numPr>
          <w:ilvl w:val="3"/>
          <w:numId w:val="16"/>
        </w:numPr>
        <w:spacing w:line="480" w:lineRule="auto"/>
        <w:rPr>
          <w:b/>
          <w:bCs/>
          <w:i/>
        </w:rPr>
      </w:pPr>
      <w:r>
        <w:rPr>
          <w:b/>
          <w:bCs/>
          <w:i/>
        </w:rPr>
        <w:lastRenderedPageBreak/>
        <w:t xml:space="preserve">Mature Oak Management Prescriptions and </w:t>
      </w:r>
      <w:r w:rsidR="001F1673">
        <w:rPr>
          <w:b/>
          <w:bCs/>
          <w:i/>
        </w:rPr>
        <w:t>Silvicultural Rationale</w:t>
      </w:r>
    </w:p>
    <w:p w:rsidR="00C04126" w:rsidRPr="00C04126" w:rsidRDefault="00C04126" w:rsidP="00C04126">
      <w:pPr>
        <w:spacing w:line="480" w:lineRule="auto"/>
        <w:ind w:firstLine="720"/>
        <w:rPr>
          <w:rFonts w:asciiTheme="minorHAnsi" w:hAnsiTheme="minorHAnsi" w:cstheme="minorHAnsi"/>
          <w:lang w:val="en"/>
        </w:rPr>
      </w:pPr>
      <w:r w:rsidRPr="00C04126">
        <w:rPr>
          <w:rFonts w:asciiTheme="minorHAnsi" w:hAnsiTheme="minorHAnsi" w:cstheme="minorHAnsi"/>
          <w:bCs/>
        </w:rPr>
        <w:t xml:space="preserve">The economics of hardwood forestry is driven by the production of grade sawtimber from species with consistently dependable and valuable markets.  </w:t>
      </w:r>
      <w:r w:rsidRPr="00C04126">
        <w:rPr>
          <w:rFonts w:asciiTheme="minorHAnsi" w:hAnsiTheme="minorHAnsi" w:cstheme="minorHAnsi"/>
        </w:rPr>
        <w:t xml:space="preserve">Yet, findings from research and field experience over the last several decades show that most </w:t>
      </w:r>
      <w:r w:rsidR="00061C8F">
        <w:rPr>
          <w:rFonts w:asciiTheme="minorHAnsi" w:hAnsiTheme="minorHAnsi" w:cstheme="minorHAnsi"/>
        </w:rPr>
        <w:t>passively managed</w:t>
      </w:r>
      <w:r w:rsidRPr="00C04126">
        <w:rPr>
          <w:rFonts w:asciiTheme="minorHAnsi" w:hAnsiTheme="minorHAnsi" w:cstheme="minorHAnsi"/>
        </w:rPr>
        <w:t xml:space="preserve"> hardwood stands are minimally stocked with the most desirable healthy trees (or crop trees) that will constitute the vast majority of stand value at rotation age </w:t>
      </w:r>
      <w:r w:rsidRPr="00C04126">
        <w:rPr>
          <w:rFonts w:asciiTheme="minorHAnsi" w:hAnsiTheme="minorHAnsi" w:cstheme="minorHAnsi"/>
          <w:lang w:val="en"/>
        </w:rPr>
        <w:fldChar w:fldCharType="begin"/>
      </w:r>
      <w:r w:rsidR="00CE2DF2">
        <w:rPr>
          <w:rFonts w:asciiTheme="minorHAnsi" w:hAnsiTheme="minorHAnsi" w:cstheme="minorHAnsi"/>
          <w:lang w:val="en"/>
        </w:rPr>
        <w:instrText xml:space="preserve"> ADDIN EN.CITE &lt;EndNote&gt;&lt;Cite&gt;&lt;Author&gt;Miller&lt;/Author&gt;&lt;Year&gt;2007&lt;/Year&gt;&lt;RecNum&gt;148&lt;/RecNum&gt;&lt;DisplayText&gt;(Miller et al. 2007; Gingrich 1971)&lt;/DisplayText&gt;&lt;record&gt;&lt;rec-number&gt;148&lt;/rec-number&gt;&lt;foreign-keys&gt;&lt;key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Forestry]&lt;/publisher&gt;&lt;urls&gt;&lt;/urls&gt;&lt;/record&gt;&lt;/Cite&gt;&lt;Cite&gt;&lt;Author&gt;Gingrich&lt;/Author&gt;&lt;Year&gt;1971&lt;/Year&gt;&lt;RecNum&gt;156&lt;/RecNum&gt;&lt;record&gt;&lt;rec-number&gt;156&lt;/rec-number&gt;&lt;foreign-keys&gt;&lt;key app="EN" db-id="a90s5zadewrawxeer07v2f90xr5vxv022sat"&gt;156&lt;/key&gt;&lt;/foreign-keys&gt;&lt;ref-type name="Report"&gt;27&lt;/ref-type&gt;&lt;contributors&gt;&lt;authors&gt;&lt;author&gt;Gingrich, Samuel F.&lt;/author&gt;&lt;/authors&gt;&lt;/contributors&gt;&lt;titles&gt;&lt;title&gt;Management of Young and Intermediate Stands of Upland Hardwoods&lt;/title&gt;&lt;/titles&gt;&lt;dates&gt;&lt;year&gt;1971&lt;/year&gt;&lt;/dates&gt;&lt;publisher&gt;Res. Pap. NE-195. Upper Darby, PA: U.S. Department of Agriculture, Forest Service, Northeastern Forest Experiment Station. 26 p&lt;/publisher&gt;&lt;urls&gt;&lt;/urls&gt;&lt;/record&gt;&lt;/Cite&gt;&lt;/EndNote&gt;</w:instrText>
      </w:r>
      <w:r w:rsidRPr="00C04126">
        <w:rPr>
          <w:rFonts w:asciiTheme="minorHAnsi" w:hAnsiTheme="minorHAnsi" w:cstheme="minorHAnsi"/>
          <w:lang w:val="en"/>
        </w:rPr>
        <w:fldChar w:fldCharType="separate"/>
      </w:r>
      <w:r w:rsidR="00CE2DF2">
        <w:rPr>
          <w:rFonts w:asciiTheme="minorHAnsi" w:hAnsiTheme="minorHAnsi" w:cstheme="minorHAnsi"/>
          <w:noProof/>
          <w:lang w:val="en"/>
        </w:rPr>
        <w:t>(</w:t>
      </w:r>
      <w:hyperlink w:anchor="_ENREF_101" w:tooltip="Miller, 2007 #148" w:history="1">
        <w:r w:rsidR="001E4C88">
          <w:rPr>
            <w:rFonts w:asciiTheme="minorHAnsi" w:hAnsiTheme="minorHAnsi" w:cstheme="minorHAnsi"/>
            <w:noProof/>
            <w:lang w:val="en"/>
          </w:rPr>
          <w:t>Miller et al. 2007</w:t>
        </w:r>
      </w:hyperlink>
      <w:r w:rsidR="00CE2DF2">
        <w:rPr>
          <w:rFonts w:asciiTheme="minorHAnsi" w:hAnsiTheme="minorHAnsi" w:cstheme="minorHAnsi"/>
          <w:noProof/>
          <w:lang w:val="en"/>
        </w:rPr>
        <w:t xml:space="preserve">; </w:t>
      </w:r>
      <w:hyperlink w:anchor="_ENREF_60" w:tooltip="Gingrich, 1971 #156" w:history="1">
        <w:r w:rsidR="001E4C88">
          <w:rPr>
            <w:rFonts w:asciiTheme="minorHAnsi" w:hAnsiTheme="minorHAnsi" w:cstheme="minorHAnsi"/>
            <w:noProof/>
            <w:lang w:val="en"/>
          </w:rPr>
          <w:t>Gingrich 1971</w:t>
        </w:r>
      </w:hyperlink>
      <w:r w:rsidR="00CE2DF2">
        <w:rPr>
          <w:rFonts w:asciiTheme="minorHAnsi" w:hAnsiTheme="minorHAnsi" w:cstheme="minorHAnsi"/>
          <w:noProof/>
          <w:lang w:val="en"/>
        </w:rPr>
        <w:t>)</w:t>
      </w:r>
      <w:r w:rsidRPr="00C04126">
        <w:rPr>
          <w:rFonts w:asciiTheme="minorHAnsi" w:hAnsiTheme="minorHAnsi" w:cstheme="minorHAnsi"/>
          <w:lang w:val="en"/>
        </w:rPr>
        <w:fldChar w:fldCharType="end"/>
      </w:r>
      <w:r w:rsidRPr="00C04126">
        <w:rPr>
          <w:rFonts w:asciiTheme="minorHAnsi" w:hAnsiTheme="minorHAnsi" w:cstheme="minorHAnsi"/>
        </w:rPr>
        <w:t xml:space="preserve">.  The capacity of these stands to produce high grade sawtimber is constrained by the non-linear decline in the number of crop trees as upland hardwoods mature </w:t>
      </w:r>
      <w:r w:rsidRPr="00C04126">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&lt;EndNote&gt;&lt;Cite&gt;&lt;Author&gt;Miller&lt;/Author&gt;&lt;Year&gt;2007&lt;/Year&gt;&lt;RecNum&gt;148&lt;/RecNum&gt;&lt;DisplayText&gt;(Miller et al. 2007)&lt;/DisplayText&gt;&lt;record&gt;&lt;rec-number&gt;148&lt;/rec-number&gt;&lt;foreign-keys&gt;&lt;key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Forestry]&lt;/publisher&gt;&lt;urls&gt;&lt;/urls&gt;&lt;/record&gt;&lt;/Cite&gt;&lt;/EndNote&gt;</w:instrText>
      </w:r>
      <w:r w:rsidRPr="00C04126">
        <w:rPr>
          <w:rFonts w:asciiTheme="minorHAnsi" w:hAnsiTheme="minorHAnsi" w:cstheme="minorHAnsi"/>
        </w:rPr>
        <w:fldChar w:fldCharType="separate"/>
      </w:r>
      <w:r w:rsidR="00CE2DF2">
        <w:rPr>
          <w:rFonts w:asciiTheme="minorHAnsi" w:hAnsiTheme="minorHAnsi" w:cstheme="minorHAnsi"/>
          <w:noProof/>
        </w:rPr>
        <w:t>(</w:t>
      </w:r>
      <w:hyperlink w:anchor="_ENREF_101" w:tooltip="Miller, 2007 #148" w:history="1">
        <w:r w:rsidR="001E4C88">
          <w:rPr>
            <w:rFonts w:asciiTheme="minorHAnsi" w:hAnsiTheme="minorHAnsi" w:cstheme="minorHAnsi"/>
            <w:noProof/>
          </w:rPr>
          <w:t>Miller et al. 2007</w:t>
        </w:r>
      </w:hyperlink>
      <w:r w:rsidR="00CE2DF2">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The implication of this </w:t>
      </w:r>
      <w:r w:rsidR="001F11C2">
        <w:rPr>
          <w:rFonts w:asciiTheme="minorHAnsi" w:hAnsiTheme="minorHAnsi" w:cstheme="minorHAnsi"/>
        </w:rPr>
        <w:t>fact</w:t>
      </w:r>
      <w:r w:rsidRPr="00C04126">
        <w:rPr>
          <w:rFonts w:asciiTheme="minorHAnsi" w:hAnsiTheme="minorHAnsi" w:cstheme="minorHAnsi"/>
        </w:rPr>
        <w:t xml:space="preserve"> is that if and when an intermediate thinning is attempted, fewer stems of desirable species and quality will exist </w:t>
      </w:r>
      <w:r w:rsidRPr="00C04126">
        <w:rPr>
          <w:rFonts w:asciiTheme="minorHAnsi" w:hAnsiTheme="minorHAnsi" w:cstheme="minorHAnsi"/>
        </w:rPr>
        <w:fldChar w:fldCharType="begin"/>
      </w:r>
      <w:r w:rsidR="00083723">
        <w:rPr>
          <w:rFonts w:asciiTheme="minorHAnsi" w:hAnsiTheme="minorHAnsi" w:cstheme="minorHAnsi"/>
        </w:rPr>
        <w:instrText xml:space="preserve"> ADDIN EN.CITE &lt;EndNote&gt;&lt;Cite&gt;&lt;Author&gt;LeDoux&lt;/Author&gt;&lt;Year&gt;2008&lt;/Year&gt;&lt;RecNum&gt;138&lt;/RecNum&gt;&lt;DisplayText&gt;(Ledoux and Miller 2008)&lt;/DisplayText&gt;&lt;record&gt;&lt;rec-number&gt;138&lt;/rec-number&gt;&lt;foreign-keys&gt;&lt;key app="EN" db-id="a90s5zadewrawxeer07v2f90xr5vxv022sat"&gt;138&lt;/key&gt;&lt;/foreign-keys&gt;&lt;ref-type name="Conference Proceedings"&gt;10&lt;/ref-type&gt;&lt;contributors&gt;&lt;authors&gt;&lt;author&gt;LeDoux, Chris B.&lt;/author&gt;&lt;author&gt;Miller, Gary W. &lt;/author&gt;&lt;/authors&gt;&lt;/contributors&gt;&lt;titles&gt;&lt;title&gt;Exploring the optimal economic timing for crop tree release treatments in hardwoods: results from simulation&lt;/title&gt;&lt;secondary-title&gt;In: Jacobs, Douglass F.; Michler, Charles H., eds. 2008. Proceedings, 16th Central Hardwood Forest Conference; 2008 April 8-9; West Lafayette, IN. Gen. Tech. Rep. NRS-P-24. Newtown Square, PA: U.S. Department of Agriculture, Forest Service, Northern Research Station: 265-274.&lt;/secondary-title&gt;&lt;/titles&gt;&lt;dates&gt;&lt;year&gt;2008&lt;/year&gt;&lt;/dates&gt;&lt;urls&gt;&lt;/urls&gt;&lt;/record&gt;&lt;/Cite&gt;&lt;/EndNote&gt;</w:instrText>
      </w:r>
      <w:r w:rsidRPr="00C04126">
        <w:rPr>
          <w:rFonts w:asciiTheme="minorHAnsi" w:hAnsiTheme="minorHAnsi" w:cstheme="minorHAnsi"/>
        </w:rPr>
        <w:fldChar w:fldCharType="separate"/>
      </w:r>
      <w:r w:rsidR="00083723">
        <w:rPr>
          <w:rFonts w:asciiTheme="minorHAnsi" w:hAnsiTheme="minorHAnsi" w:cstheme="minorHAnsi"/>
          <w:noProof/>
        </w:rPr>
        <w:t>(</w:t>
      </w:r>
      <w:hyperlink w:anchor="_ENREF_85" w:tooltip="LeDoux, 2008 #138" w:history="1">
        <w:r w:rsidR="001E4C88">
          <w:rPr>
            <w:rFonts w:asciiTheme="minorHAnsi" w:hAnsiTheme="minorHAnsi" w:cstheme="minorHAnsi"/>
            <w:noProof/>
          </w:rPr>
          <w:t>Ledoux and Miller 2008</w:t>
        </w:r>
      </w:hyperlink>
      <w:r w:rsidR="00083723">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and will have a lower capacity for growth response </w:t>
      </w:r>
      <w:r>
        <w:fldChar w:fldCharType="begin"/>
      </w:r>
      <w:r w:rsidR="00CE2DF2">
        <w:instrText xml:space="preserve"> ADDIN EN.CITE &lt;EndNote&gt;&lt;Cite&gt;&lt;Author&gt;Miller&lt;/Author&gt;&lt;Year&gt;1997&lt;/Year&gt;&lt;RecNum&gt;137&lt;/RecNum&gt;&lt;DisplayText&gt;(Miller 1997)&lt;/DisplayText&gt;&lt;record&gt;&lt;rec-number&gt;137&lt;/rec-number&gt;&lt;foreign-keys&gt;&lt;key app="EN" db-id="a90s5zadewrawxeer07v2f90xr5vxv022sat"&gt;137&lt;/key&gt;&lt;/foreign-keys&gt;&lt;ref-type name="Conference Proceedings"&gt;10&lt;/ref-type&gt;&lt;contributors&gt;&lt;authors&gt;&lt;author&gt;Gary W. Miller&lt;/author&gt;&lt;/authors&gt;&lt;/contributors&gt;&lt;titles&gt;&lt;title&gt;Effect of crown growing space and age on the growth of northern red oak&lt;/title&gt;&lt;secondary-title&gt;In: Spiecker, H.; Rogers, R.; Somogyi, Z., comps. IUFRO Proceedings: advances in research in intermediate oak stands; 1997 July 27-30; Freiburg, Germany. Freiburg, Germany: University of Freiburg: 140-159.&lt;/secondary-title&gt;&lt;/titles&gt;&lt;dates&gt;&lt;year&gt;1997&lt;/year&gt;&lt;/dates&gt;&lt;urls&gt;&lt;/urls&gt;&lt;/record&gt;&lt;/Cite&gt;&lt;/EndNote&gt;</w:instrText>
      </w:r>
      <w:r>
        <w:fldChar w:fldCharType="separate"/>
      </w:r>
      <w:r w:rsidR="00CE2DF2">
        <w:rPr>
          <w:noProof/>
        </w:rPr>
        <w:t>(</w:t>
      </w:r>
      <w:hyperlink w:anchor="_ENREF_95" w:tooltip="Miller, 1997 #137" w:history="1">
        <w:r w:rsidR="001E4C88">
          <w:rPr>
            <w:noProof/>
          </w:rPr>
          <w:t>Miller 1997</w:t>
        </w:r>
      </w:hyperlink>
      <w:r w:rsidR="00CE2DF2">
        <w:rPr>
          <w:noProof/>
        </w:rPr>
        <w:t>)</w:t>
      </w:r>
      <w:r>
        <w:fldChar w:fldCharType="end"/>
      </w:r>
      <w:r w:rsidRPr="00C04126">
        <w:rPr>
          <w:rFonts w:asciiTheme="minorHAnsi" w:hAnsiTheme="minorHAnsi" w:cstheme="minorHAnsi"/>
        </w:rPr>
        <w:t>.  For managed upland oak stands,</w:t>
      </w:r>
      <w:r w:rsidRPr="00C04126">
        <w:rPr>
          <w:rFonts w:asciiTheme="minorHAnsi" w:hAnsiTheme="minorHAnsi" w:cstheme="minorHAnsi"/>
          <w:lang w:val="en"/>
        </w:rPr>
        <w:t xml:space="preserve"> Gingrich </w:t>
      </w:r>
      <w:r w:rsidRPr="00C04126">
        <w:rPr>
          <w:rFonts w:asciiTheme="minorHAnsi" w:hAnsiTheme="minorHAnsi" w:cstheme="minorHAnsi"/>
          <w:lang w:val="en"/>
        </w:rPr>
        <w:fldChar w:fldCharType="begin"/>
      </w:r>
      <w:r w:rsidR="00A87D07">
        <w:rPr>
          <w:rFonts w:asciiTheme="minorHAnsi" w:hAnsiTheme="minorHAnsi" w:cstheme="minorHAnsi"/>
          <w:lang w:val="en"/>
        </w:rPr>
        <w:instrText xml:space="preserve"> ADDIN EN.CITE &lt;EndNote&gt;&lt;Cite ExcludeAuth="1"&gt;&lt;Author&gt;Gingrich&lt;/Author&gt;&lt;Year&gt;1971&lt;/Year&gt;&lt;RecNum&gt;156&lt;/RecNum&gt;&lt;DisplayText&gt;(1971)&lt;/DisplayText&gt;&lt;record&gt;&lt;rec-number&gt;156&lt;/rec-number&gt;&lt;foreign-keys&gt;&lt;key app="EN" db-id="a90s5zadewrawxeer07v2f90xr5vxv022sat"&gt;156&lt;/key&gt;&lt;/foreign-keys&gt;&lt;ref-type name="Report"&gt;27&lt;/ref-type&gt;&lt;contributors&gt;&lt;authors&gt;&lt;author&gt;Gingrich, Samuel F.&lt;/author&gt;&lt;/authors&gt;&lt;/contributors&gt;&lt;titles&gt;&lt;title&gt;Management of Young and Intermediate Stands of Upland Hardwoods&lt;/title&gt;&lt;/titles&gt;&lt;dates&gt;&lt;year&gt;1971&lt;/year&gt;&lt;/dates&gt;&lt;publisher&gt;Res. Pap. NE-195. Upper Darby, PA: U.S. Department of Agriculture, Forest Service, Northeastern Forest Experiment Station. 26 p&lt;/publisher&gt;&lt;urls&gt;&lt;/urls&gt;&lt;/record&gt;&lt;/Cite&gt;&lt;/EndNote&gt;</w:instrText>
      </w:r>
      <w:r w:rsidRPr="00C04126">
        <w:rPr>
          <w:rFonts w:asciiTheme="minorHAnsi" w:hAnsiTheme="minorHAnsi" w:cstheme="minorHAnsi"/>
          <w:lang w:val="en"/>
        </w:rPr>
        <w:fldChar w:fldCharType="separate"/>
      </w:r>
      <w:r w:rsidR="00A87D07">
        <w:rPr>
          <w:rFonts w:asciiTheme="minorHAnsi" w:hAnsiTheme="minorHAnsi" w:cstheme="minorHAnsi"/>
          <w:noProof/>
          <w:lang w:val="en"/>
        </w:rPr>
        <w:t>(</w:t>
      </w:r>
      <w:hyperlink w:anchor="_ENREF_60" w:tooltip="Gingrich, 1971 #156" w:history="1">
        <w:r w:rsidR="001E4C88">
          <w:rPr>
            <w:rFonts w:asciiTheme="minorHAnsi" w:hAnsiTheme="minorHAnsi" w:cstheme="minorHAnsi"/>
            <w:noProof/>
            <w:lang w:val="en"/>
          </w:rPr>
          <w:t>1971</w:t>
        </w:r>
      </w:hyperlink>
      <w:r w:rsidR="00A87D07">
        <w:rPr>
          <w:rFonts w:asciiTheme="minorHAnsi" w:hAnsiTheme="minorHAnsi" w:cstheme="minorHAnsi"/>
          <w:noProof/>
          <w:lang w:val="en"/>
        </w:rPr>
        <w:t>)</w:t>
      </w:r>
      <w:r w:rsidRPr="00C04126">
        <w:rPr>
          <w:rFonts w:asciiTheme="minorHAnsi" w:hAnsiTheme="minorHAnsi" w:cstheme="minorHAnsi"/>
          <w:lang w:val="en"/>
        </w:rPr>
        <w:fldChar w:fldCharType="end"/>
      </w:r>
      <w:r w:rsidRPr="00C04126">
        <w:rPr>
          <w:rFonts w:asciiTheme="minorHAnsi" w:hAnsiTheme="minorHAnsi" w:cstheme="minorHAnsi"/>
          <w:lang w:val="en"/>
        </w:rPr>
        <w:t xml:space="preserve"> estimated that physical yields produced over 20 years following an area-wide thinning at age 60</w:t>
      </w:r>
      <w:r>
        <w:rPr>
          <w:rStyle w:val="FootnoteReference"/>
          <w:rFonts w:asciiTheme="minorHAnsi" w:hAnsiTheme="minorHAnsi"/>
          <w:lang w:val="en"/>
        </w:rPr>
        <w:footnoteReference w:id="21"/>
      </w:r>
      <w:r w:rsidRPr="00C04126">
        <w:rPr>
          <w:rFonts w:asciiTheme="minorHAnsi" w:hAnsiTheme="minorHAnsi" w:cstheme="minorHAnsi"/>
          <w:lang w:val="en"/>
        </w:rPr>
        <w:t xml:space="preserve"> (including initial removals) were marginally greater than those of unthinned stands.  Thinning beyond this age was not recommended.  </w:t>
      </w:r>
      <w:r w:rsidRPr="00C04126">
        <w:rPr>
          <w:rFonts w:asciiTheme="minorHAnsi" w:hAnsiTheme="minorHAnsi" w:cstheme="minorHAnsi"/>
        </w:rPr>
        <w:t xml:space="preserve">Yet, </w:t>
      </w:r>
      <w:r>
        <w:t>r</w:t>
      </w:r>
      <w:r w:rsidRPr="00A64CC8">
        <w:t xml:space="preserve">esearch </w:t>
      </w:r>
      <w:r>
        <w:t>indicates</w:t>
      </w:r>
      <w:r w:rsidRPr="00A64CC8">
        <w:t xml:space="preserve"> </w:t>
      </w:r>
      <w:r>
        <w:t xml:space="preserve">that </w:t>
      </w:r>
      <w:r w:rsidRPr="00A64CC8">
        <w:t xml:space="preserve">different commercial area-wide thinnings in </w:t>
      </w:r>
      <w:r>
        <w:t>intermediate</w:t>
      </w:r>
      <w:r w:rsidRPr="00A64CC8">
        <w:t xml:space="preserve">-site, gentle to moderate sloped </w:t>
      </w:r>
      <w:r>
        <w:t xml:space="preserve">Appalachian hardwood </w:t>
      </w:r>
      <w:r w:rsidRPr="00A64CC8">
        <w:t xml:space="preserve">stands with 100 year </w:t>
      </w:r>
      <w:r>
        <w:t xml:space="preserve">optimal </w:t>
      </w:r>
      <w:r w:rsidRPr="00A64CC8">
        <w:t xml:space="preserve">rotations </w:t>
      </w:r>
      <w:r>
        <w:t xml:space="preserve">do not </w:t>
      </w:r>
      <w:r w:rsidRPr="00A64CC8">
        <w:t xml:space="preserve">become </w:t>
      </w:r>
      <w:r w:rsidRPr="00C04126">
        <w:rPr>
          <w:rFonts w:asciiTheme="minorHAnsi" w:hAnsiTheme="minorHAnsi" w:cstheme="minorHAnsi"/>
        </w:rPr>
        <w:t>optimal (i.e. most cost-effective) until a</w:t>
      </w:r>
      <w:r w:rsidRPr="00A64CC8">
        <w:t>ge 60</w:t>
      </w:r>
      <w:r w:rsidRPr="00A64CC8">
        <w:rPr>
          <w:vertAlign w:val="superscript"/>
        </w:rPr>
        <w:footnoteReference w:id="22"/>
      </w:r>
      <w:r w:rsidRPr="00A64CC8">
        <w:t xml:space="preserve"> or 70</w:t>
      </w:r>
      <w:r w:rsidRPr="00A64CC8">
        <w:rPr>
          <w:vertAlign w:val="superscript"/>
        </w:rPr>
        <w:footnoteReference w:id="23"/>
      </w:r>
      <w:r w:rsidRPr="00A64CC8">
        <w:t xml:space="preserve"> </w:t>
      </w:r>
      <w:r w:rsidRPr="00A64CC8">
        <w:fldChar w:fldCharType="begin"/>
      </w:r>
      <w:r w:rsidR="00083723">
        <w:instrText xml:space="preserve"> ADDIN EN.CITE &lt;EndNote&gt;&lt;Cite&gt;&lt;Author&gt;LeDoux&lt;/Author&gt;&lt;Year&gt;2000&lt;/Year&gt;&lt;RecNum&gt;167&lt;/RecNum&gt;&lt;DisplayText&gt;(Ledoux 2000, 2007)&lt;/DisplayText&gt;&lt;record&gt;&lt;rec-number&gt;167&lt;/rec-number&gt;&lt;foreign-keys&gt;&lt;key app="EN" db-id="a90s5zadewrawxeer07v2f90xr5vxv022sat"&gt;167&lt;/key&gt;&lt;/foreign-keys&gt;&lt;ref-type name="Journal Article"&gt;17&lt;/ref-type&gt;&lt;contributors&gt;&lt;authors&gt;&lt;author&gt;LeDoux, Chris B.&lt;/author&gt;&lt;/authors&gt;&lt;/contributors&gt;&lt;titles&gt;&lt;title&gt;Matching Skidder Size to Wood Harvested to Increase Hardwood Fiber Availability: A Case Study&lt;/title&gt;&lt;secondary-title&gt;Forest Products Journal&lt;/secondary-title&gt;&lt;/titles&gt;&lt;periodical&gt;&lt;full-title&gt;Forest Products Journal&lt;/full-title&gt;&lt;abbr-1&gt;For. Prod. J.&lt;/abbr-1&gt;&lt;/periodical&gt;&lt;pages&gt;86-90&lt;/pages&gt;&lt;volume&gt;50&lt;/volume&gt;&lt;number&gt;10&lt;/number&gt;&lt;dates&gt;&lt;year&gt;2000&lt;/year&gt;&lt;/dates&gt;&lt;urls&gt;&lt;related-urls&gt;&lt;url&gt;http://www.treesearch.fs.fed.us/pubs/14452&lt;/url&gt;&lt;/related-urls&gt;&lt;/urls&gt;&lt;/record&gt;&lt;/Cite&gt;&lt;Cite ExcludeAuth="1"&gt;&lt;Author&gt;LeDoux&lt;/Author&gt;&lt;Year&gt;2007&lt;/Year&gt;&lt;RecNum&gt;166&lt;/RecNum&gt;&lt;record&gt;&lt;rec-number&gt;166&lt;/rec-number&gt;&lt;foreign-keys&gt;&lt;key app="EN" db-id="a90s5zadewrawxeer07v2f90xr5vxv022sat"&gt;166&lt;/key&gt;&lt;/foreign-keys&gt;&lt;ref-type name="Conference Proceedings"&gt;10&lt;/ref-type&gt;&lt;contributors&gt;&lt;authors&gt;&lt;author&gt;LeDoux, Chris B.&lt;/author&gt;&lt;/authors&gt;&lt;/contributors&gt;&lt;titles&gt;&lt;title&gt;Impact of Alternative Harvesting Technologies on Thinning Entry and Optimal Rotation Age for Eastern Hardwoods&lt;/title&gt;&lt;secondary-title&gt;In: Buckley, David S.; Clatterbuck, Wayne K. eds.  2007. Proceedings, 15th central hardwood forest conference. e-Gen. Tech. Rep. SRSÂ–101. U.S. Department of Agriculture, Forest Service, Southern Research Station: 122-128&lt;/secondary-title&gt;&lt;/titles&gt;&lt;dates&gt;&lt;year&gt;2007&lt;/year&gt;&lt;/dates&gt;&lt;urls&gt;&lt;/urls&gt;&lt;/record&gt;&lt;/Cite&gt;&lt;/EndNote&gt;</w:instrText>
      </w:r>
      <w:r w:rsidRPr="00A64CC8">
        <w:fldChar w:fldCharType="separate"/>
      </w:r>
      <w:r w:rsidR="00083723">
        <w:rPr>
          <w:noProof/>
        </w:rPr>
        <w:t>(</w:t>
      </w:r>
      <w:hyperlink w:anchor="_ENREF_82" w:tooltip="LeDoux, 2000 #167" w:history="1">
        <w:r w:rsidR="001E4C88">
          <w:rPr>
            <w:noProof/>
          </w:rPr>
          <w:t>Ledoux 2000</w:t>
        </w:r>
      </w:hyperlink>
      <w:r w:rsidR="00083723">
        <w:rPr>
          <w:noProof/>
        </w:rPr>
        <w:t xml:space="preserve">, </w:t>
      </w:r>
      <w:hyperlink w:anchor="_ENREF_83" w:tooltip="LeDoux, 2007 #166" w:history="1">
        <w:r w:rsidR="001E4C88">
          <w:rPr>
            <w:noProof/>
          </w:rPr>
          <w:t>2007</w:t>
        </w:r>
      </w:hyperlink>
      <w:r w:rsidR="00083723">
        <w:rPr>
          <w:noProof/>
        </w:rPr>
        <w:t>)</w:t>
      </w:r>
      <w:r w:rsidRPr="00A64CC8">
        <w:fldChar w:fldCharType="end"/>
      </w:r>
      <w:r w:rsidRPr="00A64CC8">
        <w:t xml:space="preserve">.  The outcomes of these </w:t>
      </w:r>
      <w:r>
        <w:t>optimal thinning case-</w:t>
      </w:r>
      <w:r w:rsidRPr="00A64CC8">
        <w:t xml:space="preserve">studies cannot be generally inferred, but considering that they do not account for opportunity costs prior to mid-rotation, they clearly contend with the </w:t>
      </w:r>
      <w:r>
        <w:t>practicality</w:t>
      </w:r>
      <w:r w:rsidRPr="00A64CC8">
        <w:t xml:space="preserve"> of such practices</w:t>
      </w:r>
      <w:r>
        <w:t xml:space="preserve"> at the present time</w:t>
      </w:r>
      <w:r w:rsidRPr="00A64CC8">
        <w:t xml:space="preserve"> in immature hardwood forests as suggested by </w:t>
      </w:r>
      <w:r w:rsidR="007E6E90">
        <w:t xml:space="preserve">traditional </w:t>
      </w:r>
      <w:r>
        <w:t xml:space="preserve">upland oak management guides </w:t>
      </w:r>
      <w:r>
        <w:fldChar w:fldCharType="begin"/>
      </w:r>
      <w:r w:rsidR="00617BC0">
        <w:instrText xml:space="preserve"> ADDIN EN.CITE &lt;EndNote&gt;&lt;Cite&gt;&lt;Author&gt;Hilt&lt;/Author&gt;&lt;Year&gt;1989&lt;/Year&gt;&lt;RecNum&gt;146&lt;/RecNum&gt;&lt;DisplayText&gt;(Hilt and Dale 1989; Gingrich 1971)&lt;/DisplayText&gt;&lt;record&gt;&lt;rec-number&gt;146&lt;/rec-number&gt;&lt;foreign-keys&gt;&lt;key app="EN" db-id="a90s5zadewrawxeer07v2f90xr5vxv022sat"&gt;146&lt;/key&gt;&lt;/foreign-keys&gt;&lt;ref-type name="Report"&gt;27&lt;/ref-type&gt;&lt;contributors&gt;&lt;authors&gt;&lt;author&gt;Hilt, Donald E.&lt;/author&gt;&lt;author&gt;Dale, Martin E.&lt;/author&gt;&lt;/authors&gt;&lt;/contributors&gt;&lt;titles&gt;&lt;title&gt;Thinning Even-aged Upland Oak Stands. In: Clark, F. Bryan, tech. ed.; Hutchinson, Jay G., ed. Central Hardwood Notes. St. Paul, MN: U.S. Department of Agriculture, Forest Service, North Central Forest Experiment Station: Note 6.06&lt;/title&gt;&lt;/titles&gt;&lt;dates&gt;&lt;year&gt;1989&lt;/year&gt;&lt;/dates&gt;&lt;urls&gt;&lt;/urls&gt;&lt;/record&gt;&lt;/Cite&gt;&lt;Cite&gt;&lt;Author&gt;Gingrich&lt;/Author&gt;&lt;Year&gt;1971&lt;/Year&gt;&lt;RecNum&gt;156&lt;/RecNum&gt;&lt;record&gt;&lt;rec-number&gt;156&lt;/rec-number&gt;&lt;foreign-keys&gt;&lt;key app="EN" db-id="a90s5zadewrawxeer07v2f90xr5vxv022sat"&gt;156&lt;/key&gt;&lt;/foreign-keys&gt;&lt;ref-type name="Report"&gt;27&lt;/ref-type&gt;&lt;contributors&gt;&lt;authors&gt;&lt;author&gt;Gingrich, Samuel F.&lt;/author&gt;&lt;/authors&gt;&lt;/contributors&gt;&lt;titles&gt;&lt;title&gt;Management of Young and Intermediate Stands of Upland Hardwoods&lt;/title&gt;&lt;/titles&gt;&lt;dates&gt;&lt;year&gt;1971&lt;/year&gt;&lt;/dates&gt;&lt;publisher&gt;Res. Pap. NE-195. Upper Darby, PA: U.S. Department of Agriculture, Forest Service, Northeastern Forest Experiment Station. 26 p&lt;/publisher&gt;&lt;urls&gt;&lt;/urls&gt;&lt;/record&gt;&lt;/Cite&gt;&lt;/EndNote&gt;</w:instrText>
      </w:r>
      <w:r>
        <w:fldChar w:fldCharType="separate"/>
      </w:r>
      <w:r w:rsidR="00617BC0">
        <w:rPr>
          <w:noProof/>
        </w:rPr>
        <w:t>(</w:t>
      </w:r>
      <w:hyperlink w:anchor="_ENREF_71" w:tooltip="Hilt, 1989 #146" w:history="1">
        <w:r w:rsidR="001E4C88">
          <w:rPr>
            <w:noProof/>
          </w:rPr>
          <w:t>Hilt and Dale 1989</w:t>
        </w:r>
      </w:hyperlink>
      <w:r w:rsidR="00617BC0">
        <w:rPr>
          <w:noProof/>
        </w:rPr>
        <w:t xml:space="preserve">; </w:t>
      </w:r>
      <w:hyperlink w:anchor="_ENREF_60" w:tooltip="Gingrich, 1971 #156" w:history="1">
        <w:r w:rsidR="001E4C88">
          <w:rPr>
            <w:noProof/>
          </w:rPr>
          <w:t>Gingrich 1971</w:t>
        </w:r>
      </w:hyperlink>
      <w:r w:rsidR="00617BC0">
        <w:rPr>
          <w:noProof/>
        </w:rPr>
        <w:t>)</w:t>
      </w:r>
      <w:r>
        <w:fldChar w:fldCharType="end"/>
      </w:r>
      <w:r w:rsidRPr="00A64CC8">
        <w:t>.</w:t>
      </w:r>
      <w:r w:rsidRPr="00C04126">
        <w:rPr>
          <w:rFonts w:asciiTheme="minorHAnsi" w:hAnsiTheme="minorHAnsi" w:cstheme="minorHAnsi"/>
        </w:rPr>
        <w:t xml:space="preserve">  </w:t>
      </w:r>
      <w:r w:rsidRPr="00C04126">
        <w:rPr>
          <w:rFonts w:asciiTheme="minorHAnsi" w:hAnsiTheme="minorHAnsi" w:cstheme="minorHAnsi"/>
          <w:lang w:val="en"/>
        </w:rPr>
        <w:t xml:space="preserve">This traditional area-wide thinning strategy primarily targets the removal of subordinate canopy classes in pursuit of an average area-wide residual stocking-level; </w:t>
      </w:r>
      <w:r w:rsidRPr="00C04126">
        <w:rPr>
          <w:rFonts w:asciiTheme="minorHAnsi" w:hAnsiTheme="minorHAnsi" w:cstheme="minorHAnsi"/>
          <w:lang w:val="en"/>
        </w:rPr>
        <w:lastRenderedPageBreak/>
        <w:t xml:space="preserve">however, it has been abandoned in contemporary silvicultural guidance </w:t>
      </w:r>
      <w:r w:rsidRPr="00C04126">
        <w:rPr>
          <w:rFonts w:asciiTheme="minorHAnsi" w:hAnsiTheme="minorHAnsi" w:cstheme="minorHAnsi"/>
          <w:lang w:val="en"/>
        </w:rPr>
        <w:fldChar w:fldCharType="begin"/>
      </w:r>
      <w:r w:rsidR="00CE2DF2">
        <w:rPr>
          <w:rFonts w:asciiTheme="minorHAnsi" w:hAnsiTheme="minorHAnsi" w:cstheme="minorHAnsi"/>
          <w:lang w:val="en"/>
        </w:rPr>
        <w:instrText xml:space="preserve"> ADDIN EN.CITE &lt;EndNote&gt;&lt;Cite&gt;&lt;Author&gt;Miller&lt;/Author&gt;&lt;Year&gt;2007&lt;/Year&gt;&lt;RecNum&gt;148&lt;/RecNum&gt;&lt;Prefix&gt;e.g. &lt;/Prefix&gt;&lt;DisplayText&gt;(e.g. Miller et al. 2007)&lt;/DisplayText&gt;&lt;record&gt;&lt;rec-number&gt;148&lt;/rec-number&gt;&lt;foreign-keys&gt;&lt;key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Forestry]&lt;/publisher&gt;&lt;urls&gt;&lt;/urls&gt;&lt;/record&gt;&lt;/Cite&gt;&lt;/EndNote&gt;</w:instrText>
      </w:r>
      <w:r w:rsidRPr="00C04126">
        <w:rPr>
          <w:rFonts w:asciiTheme="minorHAnsi" w:hAnsiTheme="minorHAnsi" w:cstheme="minorHAnsi"/>
          <w:lang w:val="en"/>
        </w:rPr>
        <w:fldChar w:fldCharType="separate"/>
      </w:r>
      <w:r w:rsidR="00CE2DF2">
        <w:rPr>
          <w:rFonts w:asciiTheme="minorHAnsi" w:hAnsiTheme="minorHAnsi" w:cstheme="minorHAnsi"/>
          <w:noProof/>
          <w:lang w:val="en"/>
        </w:rPr>
        <w:t>(</w:t>
      </w:r>
      <w:hyperlink w:anchor="_ENREF_101" w:tooltip="Miller, 2007 #148" w:history="1">
        <w:r w:rsidR="001E4C88">
          <w:rPr>
            <w:rFonts w:asciiTheme="minorHAnsi" w:hAnsiTheme="minorHAnsi" w:cstheme="minorHAnsi"/>
            <w:noProof/>
            <w:lang w:val="en"/>
          </w:rPr>
          <w:t>e.g. Miller et al. 2007</w:t>
        </w:r>
      </w:hyperlink>
      <w:r w:rsidR="00CE2DF2">
        <w:rPr>
          <w:rFonts w:asciiTheme="minorHAnsi" w:hAnsiTheme="minorHAnsi" w:cstheme="minorHAnsi"/>
          <w:noProof/>
          <w:lang w:val="en"/>
        </w:rPr>
        <w:t>)</w:t>
      </w:r>
      <w:r w:rsidRPr="00C04126">
        <w:rPr>
          <w:rFonts w:asciiTheme="minorHAnsi" w:hAnsiTheme="minorHAnsi" w:cstheme="minorHAnsi"/>
          <w:lang w:val="en"/>
        </w:rPr>
        <w:fldChar w:fldCharType="end"/>
      </w:r>
      <w:r w:rsidRPr="00C04126">
        <w:rPr>
          <w:rFonts w:asciiTheme="minorHAnsi" w:hAnsiTheme="minorHAnsi" w:cstheme="minorHAnsi"/>
          <w:lang w:val="en"/>
        </w:rPr>
        <w:t xml:space="preserve"> in favor of the improvements in efficacy and growth found in crown-touching release studies.</w:t>
      </w:r>
    </w:p>
    <w:p w:rsidR="00C04126" w:rsidRPr="004A1F0D" w:rsidRDefault="00C04126" w:rsidP="00C04126">
      <w:pPr>
        <w:spacing w:line="480" w:lineRule="auto"/>
        <w:ind w:firstLine="720"/>
      </w:pPr>
      <w:r w:rsidRPr="00C04126">
        <w:rPr>
          <w:rFonts w:asciiTheme="minorHAnsi" w:hAnsiTheme="minorHAnsi" w:cstheme="minorHAnsi"/>
          <w:lang w:val="en"/>
        </w:rPr>
        <w:t>Crown-touching or crop-tree release (CTR) is now considered by most as the superior method for manipulating stand growth at almost any age or age-structure, whereby</w:t>
      </w:r>
      <w:r w:rsidRPr="00C04126">
        <w:rPr>
          <w:rFonts w:asciiTheme="minorHAnsi" w:hAnsiTheme="minorHAnsi" w:cstheme="minorHAnsi"/>
        </w:rPr>
        <w:t xml:space="preserve"> the best candidates for high grade sawtimber and the requisite ascendance to or persistence in a competitive canopy position are released by eliminating crown-touching neighbors on three to four sides (270-360⁰).  Stocking levels in the immediate vicinity of fully released crop trees consequently fall beneath those recommended for area-wide thinnings </w:t>
      </w:r>
      <w:r w:rsidRPr="00C04126">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&lt;EndNote&gt;&lt;Cite&gt;&lt;Author&gt;Lamson&lt;/Author&gt;&lt;Year&gt;1990&lt;/Year&gt;&lt;RecNum&gt;257&lt;/RecNum&gt;&lt;DisplayText&gt;(Lamson et al. 1990)&lt;/DisplayText&gt;&lt;record&gt;&lt;rec-number&gt;257&lt;/rec-number&gt;&lt;foreign-keys&gt;&lt;key app="EN" db-id="a90s5zadewrawxeer07v2f90xr5vxv022sat"&gt;257&lt;/key&gt;&lt;/foreign-keys&gt;&lt;ref-type name="Report"&gt;27&lt;/ref-type&gt;&lt;contributors&gt;&lt;authors&gt;&lt;author&gt;Lamson, Neil I.&lt;/author&gt;&lt;author&gt;Smith, H. Clay&lt;/author&gt;&lt;author&gt;Perkey, Arlyn W.&lt;/author&gt;&lt;author&gt;Brock, Samuel M. &lt;/author&gt;&lt;/authors&gt;&lt;/contributors&gt;&lt;titles&gt;&lt;title&gt;Crown release increases growth of crop trees. NE-RP-635. Radnor, PA: US. Department of Agriculture, Forest Service, Northeastern Forest Experiment Station. 8 p&lt;/title&gt;&lt;/titles&gt;&lt;num-vols&gt;&amp;#xD;&lt;/num-vols&gt;&lt;dates&gt;&lt;year&gt;1990&lt;/year&gt;&lt;/dates&gt;&lt;urls&gt;&lt;related-urls&gt;&lt;url&gt;http://www.treesearch.fs.fed.us/pubs/21778&lt;/url&gt;&lt;/related-urls&gt;&lt;/urls&gt;&lt;/record&gt;&lt;/Cite&gt;&lt;/EndNote&gt;</w:instrText>
      </w:r>
      <w:r w:rsidRPr="00C04126">
        <w:rPr>
          <w:rFonts w:asciiTheme="minorHAnsi" w:hAnsiTheme="minorHAnsi" w:cstheme="minorHAnsi"/>
        </w:rPr>
        <w:fldChar w:fldCharType="separate"/>
      </w:r>
      <w:r w:rsidR="00A87D07">
        <w:rPr>
          <w:rFonts w:asciiTheme="minorHAnsi" w:hAnsiTheme="minorHAnsi" w:cstheme="minorHAnsi"/>
          <w:noProof/>
        </w:rPr>
        <w:t>(</w:t>
      </w:r>
      <w:hyperlink w:anchor="_ENREF_81" w:tooltip="Lamson, 1990 #257" w:history="1">
        <w:r w:rsidR="001E4C88">
          <w:rPr>
            <w:rFonts w:asciiTheme="minorHAnsi" w:hAnsiTheme="minorHAnsi" w:cstheme="minorHAnsi"/>
            <w:noProof/>
          </w:rPr>
          <w:t>Lamson et al. 1990</w:t>
        </w:r>
      </w:hyperlink>
      <w:r w:rsidR="00A87D07">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but have not been found to affect tree grade in mature stands </w:t>
      </w:r>
      <w:r w:rsidRPr="00C04126">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&lt;EndNote&gt;&lt;Cite&gt;&lt;Author&gt;Miller&lt;/Author&gt;&lt;Year&gt;2004&lt;/Year&gt;&lt;RecNum&gt;136&lt;/RecNum&gt;&lt;DisplayText&gt;(Miller and Stringer 2004)&lt;/DisplayText&gt;&lt;record&gt;&lt;rec-number&gt;136&lt;/rec-number&gt;&lt;foreign-keys&gt;&lt;key app="EN" db-id="a90s5zadewrawxeer07v2f90xr5vxv022sat"&gt;136&lt;/key&gt;&lt;/foreign-keys&gt;&lt;ref-type name="Conference Proceedings"&gt;10&lt;/ref-type&gt;&lt;contributors&gt;&lt;authors&gt;&lt;author&gt;Miller, Gary W.&lt;/author&gt;&lt;author&gt;Stringer, Jeffrey W.&lt;/author&gt;&lt;/authors&gt;&lt;/contributors&gt;&lt;titles&gt;&lt;title&gt;Effect of Crown Release on Tree Grade and DBH Growth of White Oak Sawtimber in Eastern Kentucky&lt;/title&gt;&lt;secondary-title&gt;In: Yaussy, Daniel A.; Hix, David M.; Long, Robert P.; Goebel, P. Charles, eds. Proceedings, 14th Central Hardwood Forest Conference; 2004 March 16 19; Wooster, OH. Gen. Tech. Rep. NE-316. Newtown Square, PA: U.S. Department of Agriculture, Forest Service, Northeastern Research Station: 37-44&lt;/secondary-title&gt;&lt;/titles&gt;&lt;dates&gt;&lt;year&gt;2004&lt;/year&gt;&lt;/dates&gt;&lt;urls&gt;&lt;/urls&gt;&lt;/record&gt;&lt;/Cite&gt;&lt;/EndNote&gt;</w:instrText>
      </w:r>
      <w:r w:rsidRPr="00C04126">
        <w:rPr>
          <w:rFonts w:asciiTheme="minorHAnsi" w:hAnsiTheme="minorHAnsi" w:cstheme="minorHAnsi"/>
        </w:rPr>
        <w:fldChar w:fldCharType="separate"/>
      </w:r>
      <w:r w:rsidR="00CE2DF2">
        <w:rPr>
          <w:rFonts w:asciiTheme="minorHAnsi" w:hAnsiTheme="minorHAnsi" w:cstheme="minorHAnsi"/>
          <w:noProof/>
        </w:rPr>
        <w:t>(</w:t>
      </w:r>
      <w:hyperlink w:anchor="_ENREF_100" w:tooltip="Miller, 2004 #136" w:history="1">
        <w:r w:rsidR="001E4C88">
          <w:rPr>
            <w:rFonts w:asciiTheme="minorHAnsi" w:hAnsiTheme="minorHAnsi" w:cstheme="minorHAnsi"/>
            <w:noProof/>
          </w:rPr>
          <w:t>Miller and Stringer 2004</w:t>
        </w:r>
      </w:hyperlink>
      <w:r w:rsidR="00CE2DF2">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though, CTR was found to reduce clear stem length </w:t>
      </w:r>
      <w:r w:rsidRPr="00C04126">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&lt;EndNote&gt;&lt;Cite&gt;&lt;Author&gt;Miller&lt;/Author&gt;&lt;Year&gt;1997&lt;/Year&gt;&lt;RecNum&gt;137&lt;/RecNum&gt;&lt;DisplayText&gt;(Miller 1997)&lt;/DisplayText&gt;&lt;record&gt;&lt;rec-number&gt;137&lt;/rec-number&gt;&lt;foreign-keys&gt;&lt;key app="EN" db-id="a90s5zadewrawxeer07v2f90xr5vxv022sat"&gt;137&lt;/key&gt;&lt;/foreign-keys&gt;&lt;ref-type name="Conference Proceedings"&gt;10&lt;/ref-type&gt;&lt;contributors&gt;&lt;authors&gt;&lt;author&gt;Gary W. Miller&lt;/author&gt;&lt;/authors&gt;&lt;/contributors&gt;&lt;titles&gt;&lt;title&gt;Effect of crown growing space and age on the growth of northern red oak&lt;/title&gt;&lt;secondary-title&gt;In: Spiecker, H.; Rogers, R.; Somogyi, Z., comps. IUFRO Proceedings: advances in research in intermediate oak stands; 1997 July 27-30; Freiburg, Germany. Freiburg, Germany: University of Freiburg: 140-159.&lt;/secondary-title&gt;&lt;/titles&gt;&lt;dates&gt;&lt;year&gt;1997&lt;/year&gt;&lt;/dates&gt;&lt;urls&gt;&lt;/urls&gt;&lt;/record&gt;&lt;/Cite&gt;&lt;/EndNote&gt;</w:instrText>
      </w:r>
      <w:r w:rsidRPr="00C04126">
        <w:rPr>
          <w:rFonts w:asciiTheme="minorHAnsi" w:hAnsiTheme="minorHAnsi" w:cstheme="minorHAnsi"/>
        </w:rPr>
        <w:fldChar w:fldCharType="separate"/>
      </w:r>
      <w:r w:rsidR="00CE2DF2">
        <w:rPr>
          <w:rFonts w:asciiTheme="minorHAnsi" w:hAnsiTheme="minorHAnsi" w:cstheme="minorHAnsi"/>
          <w:noProof/>
        </w:rPr>
        <w:t>(</w:t>
      </w:r>
      <w:hyperlink w:anchor="_ENREF_95" w:tooltip="Miller, 1997 #137" w:history="1">
        <w:r w:rsidR="001E4C88">
          <w:rPr>
            <w:rFonts w:asciiTheme="minorHAnsi" w:hAnsiTheme="minorHAnsi" w:cstheme="minorHAnsi"/>
            <w:noProof/>
          </w:rPr>
          <w:t>Miller 1997</w:t>
        </w:r>
      </w:hyperlink>
      <w:r w:rsidR="00CE2DF2">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and temporarily increase the risk of wind-throw and snow/ice damage as trees adjust to augmented site resources </w:t>
      </w:r>
      <w:r w:rsidRPr="00C04126">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&lt;EndNote&gt;&lt;Cite&gt;&lt;Author&gt;Miller&lt;/Author&gt;&lt;Year&gt;2007&lt;/Year&gt;&lt;RecNum&gt;148&lt;/RecNum&gt;&lt;DisplayText&gt;(Miller et al. 2007)&lt;/DisplayText&gt;&lt;record&gt;&lt;rec-number&gt;148&lt;/rec-number&gt;&lt;foreign-keys&gt;&lt;key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Forestry]&lt;/publisher&gt;&lt;urls&gt;&lt;/urls&gt;&lt;/record&gt;&lt;/Cite&gt;&lt;/EndNote&gt;</w:instrText>
      </w:r>
      <w:r w:rsidRPr="00C04126">
        <w:rPr>
          <w:rFonts w:asciiTheme="minorHAnsi" w:hAnsiTheme="minorHAnsi" w:cstheme="minorHAnsi"/>
        </w:rPr>
        <w:fldChar w:fldCharType="separate"/>
      </w:r>
      <w:r w:rsidR="00CE2DF2">
        <w:rPr>
          <w:rFonts w:asciiTheme="minorHAnsi" w:hAnsiTheme="minorHAnsi" w:cstheme="minorHAnsi"/>
          <w:noProof/>
        </w:rPr>
        <w:t>(</w:t>
      </w:r>
      <w:hyperlink w:anchor="_ENREF_101" w:tooltip="Miller, 2007 #148" w:history="1">
        <w:r w:rsidR="001E4C88">
          <w:rPr>
            <w:rFonts w:asciiTheme="minorHAnsi" w:hAnsiTheme="minorHAnsi" w:cstheme="minorHAnsi"/>
            <w:noProof/>
          </w:rPr>
          <w:t>Miller et al. 2007</w:t>
        </w:r>
      </w:hyperlink>
      <w:r w:rsidR="00CE2DF2">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While </w:t>
      </w:r>
      <w:r w:rsidR="00317B7B">
        <w:rPr>
          <w:rFonts w:asciiTheme="minorHAnsi" w:hAnsiTheme="minorHAnsi" w:cstheme="minorHAnsi"/>
        </w:rPr>
        <w:t xml:space="preserve">such </w:t>
      </w:r>
      <w:r w:rsidRPr="00C04126">
        <w:rPr>
          <w:rFonts w:asciiTheme="minorHAnsi" w:hAnsiTheme="minorHAnsi" w:cstheme="minorHAnsi"/>
        </w:rPr>
        <w:t>m</w:t>
      </w:r>
      <w:r w:rsidRPr="00A64CC8">
        <w:t>ortality and defect-inducing disturbances are major concerns to managers of maturing upland hardwood forests, particularly those wi</w:t>
      </w:r>
      <w:r>
        <w:t>th a substa</w:t>
      </w:r>
      <w:r w:rsidR="001F11C2">
        <w:t xml:space="preserve">ntial red oak cohort vulnerable </w:t>
      </w:r>
      <w:r>
        <w:t xml:space="preserve">to </w:t>
      </w:r>
      <w:r w:rsidR="001F11C2">
        <w:t>o</w:t>
      </w:r>
      <w:r>
        <w:t xml:space="preserve">ak </w:t>
      </w:r>
      <w:r w:rsidR="001F11C2">
        <w:t>d</w:t>
      </w:r>
      <w:r>
        <w:t xml:space="preserve">ecline </w:t>
      </w:r>
      <w:r>
        <w:fldChar w:fldCharType="begin"/>
      </w:r>
      <w:r w:rsidR="00A87D07">
        <w:instrText xml:space="preserve"> ADDIN EN.CITE &lt;EndNote&gt;&lt;Cite&gt;&lt;Author&gt;Clatterbuck&lt;/Author&gt;&lt;Year&gt;2006&lt;/Year&gt;&lt;RecNum&gt;259&lt;/RecNum&gt;&lt;DisplayText&gt;(Clatterbuck and Kauffman 2006)&lt;/DisplayText&gt;&lt;record&gt;&lt;rec-number&gt;259&lt;/rec-number&gt;&lt;foreign-keys&gt;&lt;key app="EN" db-id="a90s5zadewrawxeer07v2f90xr5vxv022sat"&gt;259&lt;/key&gt;&lt;/foreign-keys&gt;&lt;ref-type name="Report"&gt;27&lt;/ref-type&gt;&lt;contributors&gt;&lt;authors&gt;&lt;author&gt;Clatterbuck, W.K.&lt;/author&gt;&lt;author&gt;B.W. Kauffman&lt;/author&gt;&lt;/authors&gt;&lt;secondary-authors&gt;&lt;author&gt;Jeff W. Stringer&lt;/author&gt;&lt;author&gt;Wayne K. Clatterbuck&lt;/author&gt;&lt;/secondary-authors&gt;&lt;/contributors&gt;&lt;titles&gt;&lt;title&gt;Managing Oak Decline&lt;/title&gt;&lt;secondary-title&gt;Professional Hardwood Notes&lt;/secondary-title&gt;&lt;/titles&gt;&lt;pages&gt;6&lt;/pages&gt;&lt;volume&gt;FOR-099&lt;/volume&gt;&lt;dates&gt;&lt;year&gt;2006&lt;/year&gt;&lt;/dates&gt;&lt;publisher&gt;University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fldChar w:fldCharType="separate"/>
      </w:r>
      <w:r w:rsidR="00A87D07">
        <w:rPr>
          <w:noProof/>
        </w:rPr>
        <w:t>(</w:t>
      </w:r>
      <w:hyperlink w:anchor="_ENREF_40" w:tooltip="Clatterbuck, 2006 #259" w:history="1">
        <w:r w:rsidR="001E4C88">
          <w:rPr>
            <w:noProof/>
          </w:rPr>
          <w:t>Clatterbuck and Kauffman 2006</w:t>
        </w:r>
      </w:hyperlink>
      <w:r w:rsidR="00A87D07">
        <w:rPr>
          <w:noProof/>
        </w:rPr>
        <w:t>)</w:t>
      </w:r>
      <w:r>
        <w:fldChar w:fldCharType="end"/>
      </w:r>
      <w:r>
        <w:t xml:space="preserve">, CTR facilitates the enlargement of crop tree </w:t>
      </w:r>
      <w:r w:rsidRPr="00C04126">
        <w:rPr>
          <w:rFonts w:asciiTheme="minorHAnsi" w:hAnsiTheme="minorHAnsi" w:cstheme="minorHAnsi"/>
        </w:rPr>
        <w:t xml:space="preserve">crowns and root systems, which improves long-term resilience to drought, pathogens, insects, wind, and ice damage </w:t>
      </w:r>
      <w:r w:rsidRPr="00C04126">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&lt;EndNote&gt;&lt;Cite&gt;&lt;Author&gt;Miller&lt;/Author&gt;&lt;Year&gt;2007&lt;/Year&gt;&lt;RecNum&gt;148&lt;/RecNum&gt;&lt;DisplayText&gt;(Miller et al. 2007)&lt;/DisplayText&gt;&lt;record&gt;&lt;rec-number&gt;148&lt;/rec-number&gt;&lt;foreign-keys&gt;&lt;key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Forestry]&lt;/publisher&gt;&lt;urls&gt;&lt;/urls&gt;&lt;/record&gt;&lt;/Cite&gt;&lt;/EndNote&gt;</w:instrText>
      </w:r>
      <w:r w:rsidRPr="00C04126">
        <w:rPr>
          <w:rFonts w:asciiTheme="minorHAnsi" w:hAnsiTheme="minorHAnsi" w:cstheme="minorHAnsi"/>
        </w:rPr>
        <w:fldChar w:fldCharType="separate"/>
      </w:r>
      <w:r w:rsidR="00CE2DF2">
        <w:rPr>
          <w:rFonts w:asciiTheme="minorHAnsi" w:hAnsiTheme="minorHAnsi" w:cstheme="minorHAnsi"/>
          <w:noProof/>
        </w:rPr>
        <w:t>(</w:t>
      </w:r>
      <w:hyperlink w:anchor="_ENREF_101" w:tooltip="Miller, 2007 #148" w:history="1">
        <w:r w:rsidR="001E4C88">
          <w:rPr>
            <w:rFonts w:asciiTheme="minorHAnsi" w:hAnsiTheme="minorHAnsi" w:cstheme="minorHAnsi"/>
            <w:noProof/>
          </w:rPr>
          <w:t>Miller et al. 2007</w:t>
        </w:r>
      </w:hyperlink>
      <w:r w:rsidR="00CE2DF2">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Even though carbon </w:t>
      </w:r>
      <w:r w:rsidR="00317B7B">
        <w:rPr>
          <w:rFonts w:asciiTheme="minorHAnsi" w:hAnsiTheme="minorHAnsi" w:cstheme="minorHAnsi"/>
        </w:rPr>
        <w:t>sequestered</w:t>
      </w:r>
      <w:r w:rsidR="00317B7B">
        <w:rPr>
          <w:rStyle w:val="FootnoteReference"/>
          <w:rFonts w:asciiTheme="minorHAnsi" w:hAnsiTheme="minorHAnsi"/>
        </w:rPr>
        <w:footnoteReference w:id="24"/>
      </w:r>
      <w:r w:rsidRPr="00C04126">
        <w:rPr>
          <w:rFonts w:asciiTheme="minorHAnsi" w:hAnsiTheme="minorHAnsi" w:cstheme="minorHAnsi"/>
        </w:rPr>
        <w:t xml:space="preserve"> in unthinned hardwood forests is likely to exceed that of commercially managed forests </w:t>
      </w:r>
      <w:r w:rsidRPr="00C04126">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&lt;EndNote&gt;&lt;Cite&gt;&lt;Author&gt;Hoover&lt;/Author&gt;&lt;Year&gt;2007&lt;/Year&gt;&lt;RecNum&gt;284&lt;/RecNum&gt;&lt;DisplayText&gt;(Hoover and Stout 2007)&lt;/DisplayText&gt;&lt;record&gt;&lt;rec-number&gt;284&lt;/rec-number&gt;&lt;foreign-keys&gt;&lt;key app="EN" db-id="a90s5zadewrawxeer07v2f90xr5vxv022sat"&gt;284&lt;/key&gt;&lt;/foreign-keys&gt;&lt;ref-type name="Journal Article"&gt;17&lt;/ref-type&gt;&lt;contributors&gt;&lt;authors&gt;&lt;author&gt;Coeli Hoover&lt;/author&gt;&lt;author&gt;Susan Stout&lt;/author&gt;&lt;/authors&gt;&lt;/contributors&gt;&lt;titles&gt;&lt;title&gt;The carbon consequences of thinning techniques: stand structure makes a difference&lt;/title&gt;&lt;secondary-title&gt;Journal of Forestry&lt;/secondary-title&gt;&lt;/titles&gt;&lt;periodical&gt;&lt;full-title&gt;Journal of Forestry&lt;/full-title&gt;&lt;abbr-1&gt;J. For.&lt;/abbr-1&gt;&lt;/periodical&gt;&lt;pages&gt;266-270&lt;/pages&gt;&lt;volume&gt;105&lt;/volume&gt;&lt;number&gt;5&lt;/number&gt;&lt;dates&gt;&lt;year&gt;2007&lt;/year&gt;&lt;/dates&gt;&lt;urls&gt;&lt;related-urls&gt;&lt;url&gt;http://www.treesearch.fs.fed.us/pubs/12575&lt;/url&gt;&lt;/related-urls&gt;&lt;/urls&gt;&lt;/record&gt;&lt;/Cite&gt;&lt;/EndNote&gt;</w:instrText>
      </w:r>
      <w:r w:rsidRPr="00C04126">
        <w:rPr>
          <w:rFonts w:asciiTheme="minorHAnsi" w:hAnsiTheme="minorHAnsi" w:cstheme="minorHAnsi"/>
        </w:rPr>
        <w:fldChar w:fldCharType="separate"/>
      </w:r>
      <w:r w:rsidR="00A87D07">
        <w:rPr>
          <w:rFonts w:asciiTheme="minorHAnsi" w:hAnsiTheme="minorHAnsi" w:cstheme="minorHAnsi"/>
          <w:noProof/>
        </w:rPr>
        <w:t>(</w:t>
      </w:r>
      <w:hyperlink w:anchor="_ENREF_73" w:tooltip="Hoover, 2007 #284" w:history="1">
        <w:r w:rsidR="001E4C88">
          <w:rPr>
            <w:rFonts w:asciiTheme="minorHAnsi" w:hAnsiTheme="minorHAnsi" w:cstheme="minorHAnsi"/>
            <w:noProof/>
          </w:rPr>
          <w:t>Hoover and Stout 2007</w:t>
        </w:r>
      </w:hyperlink>
      <w:r w:rsidR="00A87D07">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crop-tree focused forestry produces much greater economic value </w:t>
      </w:r>
      <w:r w:rsidRPr="00C04126">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&lt;EndNote&gt;&lt;Cite&gt;&lt;Author&gt;Miller&lt;/Author&gt;&lt;Year&gt;2007&lt;/Year&gt;&lt;RecNum&gt;148&lt;/RecNum&gt;&lt;DisplayText&gt;(Miller et al. 2007)&lt;/DisplayText&gt;&lt;record&gt;&lt;rec-number&gt;148&lt;/rec-number&gt;&lt;foreign-keys&gt;&lt;key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Forestry]&lt;/publisher&gt;&lt;urls&gt;&lt;/urls&gt;&lt;/record&gt;&lt;/Cite&gt;&lt;/EndNote&gt;</w:instrText>
      </w:r>
      <w:r w:rsidRPr="00C04126">
        <w:rPr>
          <w:rFonts w:asciiTheme="minorHAnsi" w:hAnsiTheme="minorHAnsi" w:cstheme="minorHAnsi"/>
        </w:rPr>
        <w:fldChar w:fldCharType="separate"/>
      </w:r>
      <w:r w:rsidR="00CE2DF2">
        <w:rPr>
          <w:rFonts w:asciiTheme="minorHAnsi" w:hAnsiTheme="minorHAnsi" w:cstheme="minorHAnsi"/>
          <w:noProof/>
        </w:rPr>
        <w:t>(</w:t>
      </w:r>
      <w:hyperlink w:anchor="_ENREF_101" w:tooltip="Miller, 2007 #148" w:history="1">
        <w:r w:rsidR="001E4C88">
          <w:rPr>
            <w:rFonts w:asciiTheme="minorHAnsi" w:hAnsiTheme="minorHAnsi" w:cstheme="minorHAnsi"/>
            <w:noProof/>
          </w:rPr>
          <w:t>Miller et al. 2007</w:t>
        </w:r>
      </w:hyperlink>
      <w:r w:rsidR="00CE2DF2">
        <w:rPr>
          <w:rFonts w:asciiTheme="minorHAnsi" w:hAnsiTheme="minorHAnsi" w:cstheme="minorHAnsi"/>
          <w:noProof/>
        </w:rPr>
        <w:t>)</w:t>
      </w:r>
      <w:r w:rsidRPr="00C04126">
        <w:rPr>
          <w:rFonts w:asciiTheme="minorHAnsi" w:hAnsiTheme="minorHAnsi" w:cstheme="minorHAnsi"/>
        </w:rPr>
        <w:fldChar w:fldCharType="end"/>
      </w:r>
      <w:r w:rsidRPr="00C04126">
        <w:rPr>
          <w:rFonts w:asciiTheme="minorHAnsi" w:hAnsiTheme="minorHAnsi" w:cstheme="minorHAnsi"/>
        </w:rPr>
        <w:t xml:space="preserve"> in the absence of carbon incentives, which is a key IFM tradeoff in need of examination.</w:t>
      </w:r>
    </w:p>
    <w:p w:rsidR="00B37C2C" w:rsidRDefault="00C04126" w:rsidP="00C04126">
      <w:pPr>
        <w:spacing w:line="480" w:lineRule="auto"/>
        <w:ind w:firstLine="720"/>
      </w:pPr>
      <w:r w:rsidRPr="00C04126">
        <w:rPr>
          <w:rFonts w:asciiTheme="minorHAnsi" w:hAnsiTheme="minorHAnsi" w:cstheme="minorHAnsi"/>
          <w:lang w:val="en"/>
        </w:rPr>
        <w:t xml:space="preserve">Considering the information above, four of the simulated upland oak stands were thinned via CTR within the first seven years of the project scenario; another was thinned in year 20 of the project (see Table 2).  </w:t>
      </w:r>
      <w:r>
        <w:t xml:space="preserve">Combined CTR and stocking-focused thinnings (to ~60 percent stocking) as suggested by </w:t>
      </w:r>
      <w:r w:rsidR="00964486">
        <w:t xml:space="preserve">Miller and Stringer </w:t>
      </w:r>
      <w:r>
        <w:fldChar w:fldCharType="begin"/>
      </w:r>
      <w:r w:rsidR="00C174F9">
        <w:instrText xml:space="preserve"> ADDIN EN.CITE &lt;EndNote&gt;&lt;Cite ExcludeAuth="1"&gt;&lt;Author&gt;Miller&lt;/Author&gt;&lt;Year&gt;2004&lt;/Year&gt;&lt;RecNum&gt;136&lt;/RecNum&gt;&lt;DisplayText&gt;(2004)&lt;/DisplayText&gt;&lt;record&gt;&lt;rec-number&gt;136&lt;/rec-number&gt;&lt;foreign-keys&gt;&lt;key app="EN" db-id="a90s5zadewrawxeer07v2f90xr5vxv022sat"&gt;136&lt;/key&gt;&lt;/foreign-keys&gt;&lt;ref-type name="Conference Proceedings"&gt;10&lt;/ref-type&gt;&lt;contributors&gt;&lt;authors&gt;&lt;author&gt;Miller, Gary W.&lt;/author&gt;&lt;author&gt;Stringer, Jeffrey W.&lt;/author&gt;&lt;/authors&gt;&lt;/contributors&gt;&lt;titles&gt;&lt;title&gt;Effect of Crown Release on Tree Grade and DBH Growth of White Oak Sawtimber in Eastern Kentucky&lt;/title&gt;&lt;secondary-title&gt;In: Yaussy, Daniel A.; Hix, David M.; Long, Robert P.; Goebel, P. Charles, eds. Proceedings, 14th Central Hardwood Forest Conference; 2004 March 16 19; Wooster, OH. Gen. Tech. Rep. NE-316. Newtown Square, PA: U.S. Department of Agriculture, Forest Service, Northeastern Research Station: 37-44&lt;/secondary-title&gt;&lt;/titles&gt;&lt;dates&gt;&lt;year&gt;2004&lt;/year&gt;&lt;/dates&gt;&lt;urls&gt;&lt;/urls&gt;&lt;/record&gt;&lt;/Cite&gt;&lt;/EndNote&gt;</w:instrText>
      </w:r>
      <w:r>
        <w:fldChar w:fldCharType="separate"/>
      </w:r>
      <w:r w:rsidR="00C174F9">
        <w:rPr>
          <w:noProof/>
        </w:rPr>
        <w:t>(</w:t>
      </w:r>
      <w:hyperlink w:anchor="_ENREF_100" w:tooltip="Miller, 2004 #136" w:history="1">
        <w:r w:rsidR="001E4C88">
          <w:rPr>
            <w:noProof/>
          </w:rPr>
          <w:t>2004</w:t>
        </w:r>
      </w:hyperlink>
      <w:r w:rsidR="00C174F9">
        <w:rPr>
          <w:noProof/>
        </w:rPr>
        <w:t>)</w:t>
      </w:r>
      <w:r>
        <w:fldChar w:fldCharType="end"/>
      </w:r>
      <w:r>
        <w:t xml:space="preserve"> were employed to simulate the open conditions needed to encourage oak seedling establishment and </w:t>
      </w:r>
      <w:r>
        <w:lastRenderedPageBreak/>
        <w:t xml:space="preserve">survival in addition to a desirable increase in sawtimber growth.  </w:t>
      </w:r>
      <w:r w:rsidR="00964486">
        <w:t xml:space="preserve">Doing so diminished AGL carbon stocks but also decreased mortality rates in the long-run.  </w:t>
      </w:r>
      <w:r w:rsidRPr="00C04126">
        <w:rPr>
          <w:rFonts w:asciiTheme="minorHAnsi" w:hAnsiTheme="minorHAnsi" w:cstheme="minorHAnsi"/>
          <w:lang w:val="en"/>
        </w:rPr>
        <w:t>T</w:t>
      </w:r>
      <w:proofErr w:type="spellStart"/>
      <w:r>
        <w:t>hinnings</w:t>
      </w:r>
      <w:proofErr w:type="spellEnd"/>
      <w:r>
        <w:t xml:space="preserve"> were </w:t>
      </w:r>
      <w:r w:rsidRPr="00C04126">
        <w:rPr>
          <w:rFonts w:asciiTheme="minorHAnsi" w:hAnsiTheme="minorHAnsi" w:cstheme="minorHAnsi"/>
          <w:lang w:val="en"/>
        </w:rPr>
        <w:t xml:space="preserve">prioritized by initial stocking levels since </w:t>
      </w:r>
      <w:r>
        <w:t>lower relativ</w:t>
      </w:r>
      <w:r w:rsidR="00C174F9">
        <w:t>e densities reduce the risk of o</w:t>
      </w:r>
      <w:r>
        <w:t xml:space="preserve">ak </w:t>
      </w:r>
      <w:r w:rsidR="00C174F9">
        <w:t>d</w:t>
      </w:r>
      <w:r>
        <w:t>ecline</w:t>
      </w:r>
      <w:r w:rsidR="00C174F9">
        <w:t xml:space="preserve"> </w:t>
      </w:r>
      <w:r w:rsidR="00C174F9">
        <w:fldChar w:fldCharType="begin"/>
      </w:r>
      <w:r w:rsidR="00C174F9">
        <w:instrText xml:space="preserve"> ADDIN EN.CITE &lt;EndNote&gt;&lt;Cite&gt;&lt;Author&gt;Clatterbuck&lt;/Author&gt;&lt;Year&gt;2006&lt;/Year&gt;&lt;RecNum&gt;259&lt;/RecNum&gt;&lt;DisplayText&gt;(Clatterbuck and Kauffman 2006)&lt;/DisplayText&gt;&lt;record&gt;&lt;rec-number&gt;259&lt;/rec-number&gt;&lt;foreign-keys&gt;&lt;key app="EN" db-id="a90s5zadewrawxeer07v2f90xr5vxv022sat"&gt;259&lt;/key&gt;&lt;/foreign-keys&gt;&lt;ref-type name="Report"&gt;27&lt;/ref-type&gt;&lt;contributors&gt;&lt;authors&gt;&lt;author&gt;Clatterbuck, W.K.&lt;/author&gt;&lt;author&gt;B.W. Kauffman&lt;/author&gt;&lt;/authors&gt;&lt;secondary-authors&gt;&lt;author&gt;Jeff W. Stringer&lt;/author&gt;&lt;author&gt;Wayne K. Clatterbuck&lt;/author&gt;&lt;/secondary-authors&gt;&lt;/contributors&gt;&lt;titles&gt;&lt;title&gt;Managing Oak Decline&lt;/title&gt;&lt;secondary-title&gt;Professional Hardwood Notes&lt;/secondary-title&gt;&lt;/titles&gt;&lt;pages&gt;6&lt;/pages&gt;&lt;volume&gt;FOR-099&lt;/volume&gt;&lt;dates&gt;&lt;year&gt;2006&lt;/year&gt;&lt;/dates&gt;&lt;publisher&gt;University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rsidR="00C174F9">
        <w:fldChar w:fldCharType="separate"/>
      </w:r>
      <w:r w:rsidR="00C174F9">
        <w:rPr>
          <w:noProof/>
        </w:rPr>
        <w:t>(</w:t>
      </w:r>
      <w:hyperlink w:anchor="_ENREF_40" w:tooltip="Clatterbuck, 2006 #259" w:history="1">
        <w:r w:rsidR="001E4C88">
          <w:rPr>
            <w:noProof/>
          </w:rPr>
          <w:t>Clatterbuck and Kauffman 2006</w:t>
        </w:r>
      </w:hyperlink>
      <w:r w:rsidR="00C174F9">
        <w:rPr>
          <w:noProof/>
        </w:rPr>
        <w:t>)</w:t>
      </w:r>
      <w:r w:rsidR="00C174F9">
        <w:fldChar w:fldCharType="end"/>
      </w:r>
      <w:r w:rsidR="00C174F9">
        <w:t>,</w:t>
      </w:r>
      <w:r>
        <w:t xml:space="preserve"> Gypsy moth </w:t>
      </w:r>
      <w:r w:rsidR="00317B7B">
        <w:t>attack</w:t>
      </w:r>
      <w:r>
        <w:t xml:space="preserve"> </w:t>
      </w:r>
      <w:r>
        <w:fldChar w:fldCharType="begin"/>
      </w:r>
      <w:r w:rsidR="00C174F9">
        <w:instrText xml:space="preserve"> ADDIN EN.CITE &lt;EndNote&gt;&lt;Cite&gt;&lt;Author&gt;Kauffman&lt;/Author&gt;&lt;Year&gt;2006&lt;/Year&gt;&lt;RecNum&gt;262&lt;/RecNum&gt;&lt;DisplayText&gt;(Kauffman and Clatterbuck 2006)&lt;/DisplayText&gt;&lt;record&gt;&lt;rec-number&gt;262&lt;/rec-number&gt;&lt;foreign-keys&gt;&lt;key app="EN" db-id="a90s5zadewrawxeer07v2f90xr5vxv022sat"&gt;262&lt;/key&gt;&lt;/foreign-keys&gt;&lt;ref-type name="Report"&gt;27&lt;/ref-type&gt;&lt;contributors&gt;&lt;authors&gt;&lt;author&gt;B.W. Kauffman&lt;/author&gt;&lt;author&gt;Clatterbuck, W.K.&lt;/author&gt;&lt;/authors&gt;&lt;secondary-authors&gt;&lt;author&gt;Jeff W. Stringer&lt;/author&gt;&lt;author&gt;Wayne K. Clatterbuck&lt;/author&gt;&lt;/secondary-authors&gt;&lt;/contributors&gt;&lt;titles&gt;&lt;title&gt;Forest management strategies to minimize the impact of gypsy moth&lt;/title&gt;&lt;secondary-title&gt;Professional Hardwood Notes&lt;/secondary-title&gt;&lt;/titles&gt;&lt;pages&gt;8&lt;/pages&gt;&lt;volume&gt;FOR-102&lt;/volume&gt;&lt;dates&gt;&lt;year&gt;2006&lt;/year&gt;&lt;/dates&gt;&lt;publisher&gt;University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fldChar w:fldCharType="separate"/>
      </w:r>
      <w:r w:rsidR="00C174F9">
        <w:rPr>
          <w:noProof/>
        </w:rPr>
        <w:t>(</w:t>
      </w:r>
      <w:hyperlink w:anchor="_ENREF_75" w:tooltip="Kauffman, 2006 #262" w:history="1">
        <w:r w:rsidR="001E4C88">
          <w:rPr>
            <w:noProof/>
          </w:rPr>
          <w:t>Kauffman and Clatterbuck 2006</w:t>
        </w:r>
      </w:hyperlink>
      <w:r w:rsidR="00C174F9">
        <w:rPr>
          <w:noProof/>
        </w:rPr>
        <w:t>)</w:t>
      </w:r>
      <w:r>
        <w:fldChar w:fldCharType="end"/>
      </w:r>
      <w:r w:rsidR="00C174F9">
        <w:t xml:space="preserve"> and conflagrations</w:t>
      </w:r>
      <w:r>
        <w:t xml:space="preserve"> and because</w:t>
      </w:r>
      <w:r w:rsidRPr="00AD33C2">
        <w:t xml:space="preserve"> </w:t>
      </w:r>
      <w:r>
        <w:t xml:space="preserve">the balancing of age-classes necessitated </w:t>
      </w:r>
      <w:r w:rsidRPr="00C04126">
        <w:rPr>
          <w:rFonts w:asciiTheme="minorHAnsi" w:hAnsiTheme="minorHAnsi" w:cstheme="minorHAnsi"/>
          <w:lang w:val="en"/>
        </w:rPr>
        <w:t>extensive harvest deferments</w:t>
      </w:r>
      <w:r w:rsidR="00C174F9">
        <w:rPr>
          <w:rFonts w:asciiTheme="minorHAnsi" w:hAnsiTheme="minorHAnsi" w:cstheme="minorHAnsi"/>
          <w:lang w:val="en"/>
        </w:rPr>
        <w:t xml:space="preserve"> in which stocking could rebound to risky levels</w:t>
      </w:r>
      <w:r w:rsidRPr="00C04126">
        <w:rPr>
          <w:rFonts w:asciiTheme="minorHAnsi" w:hAnsiTheme="minorHAnsi" w:cstheme="minorHAnsi"/>
          <w:lang w:val="en"/>
        </w:rPr>
        <w:t>.  Given that t</w:t>
      </w:r>
      <w:proofErr w:type="spellStart"/>
      <w:r>
        <w:t>ree</w:t>
      </w:r>
      <w:proofErr w:type="spellEnd"/>
      <w:r>
        <w:t xml:space="preserve"> mortality may be under-predicted by simulations with long time horizons </w:t>
      </w:r>
      <w:r>
        <w:fldChar w:fldCharType="begin"/>
      </w:r>
      <w:r w:rsidR="00CE2DF2">
        <w:instrText xml:space="preserve"> ADDIN EN.CITE &lt;EndNote&gt;&lt;Cite&gt;&lt;Author&gt;Vandendriesche&lt;/Author&gt;&lt;Year&gt;2006&lt;/Year&gt;&lt;RecNum&gt;118&lt;/RecNum&gt;&lt;DisplayText&gt;(Vandendriesche and Haugen 2006)&lt;/DisplayText&gt;&lt;record&gt;&lt;rec-number&gt;118&lt;/rec-number&gt;&lt;foreign-keys&gt;&lt;key app="EN" db-id="a90s5zadewrawxeer07v2f90xr5vxv022sat"&gt;118&lt;/key&gt;&lt;/foreign-keys&gt;&lt;ref-type name="Report"&gt;27&lt;/ref-type&gt;&lt;contributors&gt;&lt;authors&gt;&lt;author&gt;Vandendriesche, Don &lt;/author&gt;&lt;author&gt;Linda Haugen&lt;/author&gt;&lt;/authors&gt;&lt;/contributors&gt;&lt;titles&gt;&lt;title&gt;Comparison of Measured Growth and Mortality Trends to Modeled FVS Projections Relative to Oak Decline Impacts as Observed Over Three FIA Inventory Cycles on the Mark Twain National Forest&lt;/title&gt;&lt;/titles&gt;&lt;dates&gt;&lt;year&gt;2006&lt;/year&gt;&lt;/dates&gt;&lt;pub-location&gt;USDA Forest Service. Forest Management Service Center. Fort Collins, Colorado. 42p&lt;/pub-location&gt;&lt;urls&gt;&lt;/urls&gt;&lt;/record&gt;&lt;/Cite&gt;&lt;/EndNote&gt;</w:instrText>
      </w:r>
      <w:r>
        <w:fldChar w:fldCharType="separate"/>
      </w:r>
      <w:r w:rsidR="00CE2DF2">
        <w:rPr>
          <w:noProof/>
        </w:rPr>
        <w:t>(</w:t>
      </w:r>
      <w:hyperlink w:anchor="_ENREF_143" w:tooltip="Vandendriesche, 2006 #118" w:history="1">
        <w:r w:rsidR="001E4C88">
          <w:rPr>
            <w:noProof/>
          </w:rPr>
          <w:t>Vandendriesche and Haugen 2006</w:t>
        </w:r>
      </w:hyperlink>
      <w:r w:rsidR="00CE2DF2">
        <w:rPr>
          <w:noProof/>
        </w:rPr>
        <w:t>)</w:t>
      </w:r>
      <w:r>
        <w:fldChar w:fldCharType="end"/>
      </w:r>
      <w:r>
        <w:t>, it was important to simulate such active management throughout the projection as a way to avoid assumptions about the incidence and intensity of significant mortality-inducing events.</w:t>
      </w:r>
      <w:r w:rsidRPr="006C6B7C">
        <w:t xml:space="preserve"> </w:t>
      </w:r>
      <w:r>
        <w:t xml:space="preserve"> </w:t>
      </w:r>
    </w:p>
    <w:p w:rsidR="00B37C2C" w:rsidRDefault="00EC392B" w:rsidP="000C0D47">
      <w:pPr>
        <w:spacing w:line="480" w:lineRule="auto"/>
        <w:ind w:firstLine="720"/>
      </w:pPr>
      <w:r>
        <w:t xml:space="preserve">Moreover, the mechanics of the </w:t>
      </w:r>
      <w:proofErr w:type="spellStart"/>
      <w:r>
        <w:t>Sn</w:t>
      </w:r>
      <w:proofErr w:type="spellEnd"/>
      <w:r>
        <w:t xml:space="preserve">-variant </w:t>
      </w:r>
      <w:r w:rsidR="009B1D6B">
        <w:t>also necessitate</w:t>
      </w:r>
      <w:r w:rsidR="00430042">
        <w:t xml:space="preserve">d </w:t>
      </w:r>
      <w:r>
        <w:t>active management</w:t>
      </w:r>
      <w:r w:rsidR="00430042">
        <w:t xml:space="preserve"> given </w:t>
      </w:r>
      <w:r w:rsidR="006A3DAD">
        <w:t>that maples dominated</w:t>
      </w:r>
      <w:r w:rsidR="00430042">
        <w:t xml:space="preserve"> the understory</w:t>
      </w:r>
      <w:r>
        <w:t>.</w:t>
      </w:r>
      <w:r w:rsidR="009B1D6B">
        <w:t xml:space="preserve">  </w:t>
      </w:r>
      <w:r w:rsidR="00594A07">
        <w:t xml:space="preserve">In the BAU simulation, the area of </w:t>
      </w:r>
      <w:r w:rsidR="00594A07" w:rsidRPr="0076116D">
        <w:t>Sugar maple-American Beach-Yellow Birch type</w:t>
      </w:r>
      <w:r w:rsidR="00594A07">
        <w:t xml:space="preserve">s increased from 20 to 65 percent of project area.  </w:t>
      </w:r>
      <w:r w:rsidR="009B1D6B">
        <w:t xml:space="preserve">Because the mortality </w:t>
      </w:r>
      <w:proofErr w:type="spellStart"/>
      <w:r w:rsidR="009B1D6B">
        <w:t>submodel</w:t>
      </w:r>
      <w:proofErr w:type="spellEnd"/>
      <w:r w:rsidR="009B1D6B">
        <w:t xml:space="preserve"> of the </w:t>
      </w:r>
      <w:proofErr w:type="spellStart"/>
      <w:r w:rsidR="009B1D6B">
        <w:t>Sn</w:t>
      </w:r>
      <w:proofErr w:type="spellEnd"/>
      <w:r w:rsidR="009B1D6B">
        <w:t xml:space="preserve">-variant is calibrated to the FIA forest typing algorithm, the density-based mortality imposed on a stand is diminished as the forest cover type changes to </w:t>
      </w:r>
      <w:r w:rsidR="00594A07">
        <w:t>northern hardwood types.</w:t>
      </w:r>
      <w:r w:rsidR="00A7136A">
        <w:t xml:space="preserve"> </w:t>
      </w:r>
      <w:r w:rsidR="00594A07">
        <w:t xml:space="preserve"> This </w:t>
      </w:r>
      <w:r w:rsidR="00866CAD">
        <w:t xml:space="preserve">sudden </w:t>
      </w:r>
      <w:r w:rsidR="00594A07">
        <w:t>transition</w:t>
      </w:r>
      <w:r w:rsidR="00A7136A">
        <w:t xml:space="preserve"> allows for </w:t>
      </w:r>
      <w:r w:rsidR="008576F8">
        <w:t>higher</w:t>
      </w:r>
      <w:r w:rsidR="00A7136A">
        <w:t xml:space="preserve"> stand density </w:t>
      </w:r>
      <w:r w:rsidR="00E30182">
        <w:t xml:space="preserve">(i.e. carbon stocks) </w:t>
      </w:r>
      <w:r w:rsidR="00A7136A">
        <w:t>and net growth.</w:t>
      </w:r>
      <w:r w:rsidR="00E30182">
        <w:t xml:space="preserve">  </w:t>
      </w:r>
      <w:r w:rsidR="00BC19C3">
        <w:t>Thus, the intensity of simulated management was not only needed to sustain the relative abundance of oak speci</w:t>
      </w:r>
      <w:r w:rsidR="00866CAD">
        <w:t>es</w:t>
      </w:r>
      <w:r w:rsidR="00BC19C3">
        <w:t xml:space="preserve"> but also </w:t>
      </w:r>
      <w:r w:rsidR="00866CAD">
        <w:t xml:space="preserve">to </w:t>
      </w:r>
      <w:r w:rsidR="00BC19C3">
        <w:t>p</w:t>
      </w:r>
      <w:r w:rsidR="00866CAD">
        <w:t>revent</w:t>
      </w:r>
      <w:r w:rsidR="00BC19C3">
        <w:t xml:space="preserve"> </w:t>
      </w:r>
      <w:r w:rsidR="00866CAD">
        <w:t>abnormal surges in stand</w:t>
      </w:r>
      <w:r w:rsidR="00866CAD" w:rsidRPr="00866CAD">
        <w:t xml:space="preserve"> </w:t>
      </w:r>
      <w:r w:rsidR="00866CAD">
        <w:t>growth.</w:t>
      </w:r>
    </w:p>
    <w:p w:rsidR="00C04126" w:rsidRDefault="00C04126" w:rsidP="00C04126">
      <w:pPr>
        <w:spacing w:line="480" w:lineRule="auto"/>
        <w:ind w:firstLine="720"/>
      </w:pPr>
      <w:r>
        <w:t>CTR</w:t>
      </w:r>
      <w:r w:rsidRPr="00A64CC8">
        <w:t xml:space="preserve"> is not </w:t>
      </w:r>
      <w:r>
        <w:t xml:space="preserve">easily </w:t>
      </w:r>
      <w:r w:rsidRPr="00A64CC8">
        <w:t>simulated in FVS</w:t>
      </w:r>
      <w:r>
        <w:t xml:space="preserve"> because post-harvest live </w:t>
      </w:r>
      <w:r w:rsidRPr="00A64CC8">
        <w:t xml:space="preserve">tree records are essentially </w:t>
      </w:r>
      <w:r>
        <w:t>treated</w:t>
      </w:r>
      <w:r w:rsidRPr="00A64CC8">
        <w:t xml:space="preserve"> as if </w:t>
      </w:r>
      <w:r>
        <w:t xml:space="preserve">they are </w:t>
      </w:r>
      <w:r w:rsidRPr="00A64CC8">
        <w:t>evenly distributed on the plot</w:t>
      </w:r>
      <w:r>
        <w:t xml:space="preserve">.  Thus, all trees are provided a growth boost and density-based mortality reduction if tree density decreases anywhere in the virtual stand.  Nevertheless, the </w:t>
      </w:r>
      <w:r w:rsidRPr="00A64CC8">
        <w:t xml:space="preserve">simulation of </w:t>
      </w:r>
      <w:r>
        <w:t xml:space="preserve">each upland oak stand’s initial CTR treatment </w:t>
      </w:r>
      <w:r w:rsidRPr="00A64CC8">
        <w:t xml:space="preserve">was attempted by amplifying the </w:t>
      </w:r>
      <w:r>
        <w:t>growth multipliers for crop trees and reducing mortality</w:t>
      </w:r>
      <w:r w:rsidRPr="00A64CC8">
        <w:t xml:space="preserve">.  This approach involved determining the </w:t>
      </w:r>
      <w:r>
        <w:t xml:space="preserve">FVS </w:t>
      </w:r>
      <w:r w:rsidRPr="00A64CC8">
        <w:t>growth multiplier</w:t>
      </w:r>
      <w:r>
        <w:t>s</w:t>
      </w:r>
      <w:r w:rsidRPr="00A64CC8">
        <w:t xml:space="preserve"> that </w:t>
      </w:r>
      <w:r>
        <w:t>enhanced</w:t>
      </w:r>
      <w:r w:rsidRPr="00A64CC8">
        <w:t xml:space="preserve"> growth </w:t>
      </w:r>
      <w:r w:rsidR="007E6E90">
        <w:lastRenderedPageBreak/>
        <w:t>congruent</w:t>
      </w:r>
      <w:r>
        <w:t xml:space="preserve"> to</w:t>
      </w:r>
      <w:r w:rsidRPr="00A64CC8">
        <w:t xml:space="preserve"> </w:t>
      </w:r>
      <w:r>
        <w:t>the growth increases observed</w:t>
      </w:r>
      <w:r>
        <w:rPr>
          <w:rStyle w:val="FootnoteReference"/>
        </w:rPr>
        <w:footnoteReference w:id="25"/>
      </w:r>
      <w:r>
        <w:t xml:space="preserve"> by Miller </w:t>
      </w:r>
      <w:r>
        <w:fldChar w:fldCharType="begin"/>
      </w:r>
      <w:r w:rsidR="007D6AB3">
        <w:instrText xml:space="preserve"> ADDIN EN.CITE &lt;EndNote&gt;&lt;Cite ExcludeAuth="1"&gt;&lt;Author&gt;Miller&lt;/Author&gt;&lt;Year&gt;1997&lt;/Year&gt;&lt;RecNum&gt;137&lt;/RecNum&gt;&lt;DisplayText&gt;(1997, 2000)&lt;/DisplayText&gt;&lt;record&gt;&lt;rec-number&gt;137&lt;/rec-number&gt;&lt;foreign-keys&gt;&lt;key app="EN" db-id="a90s5zadewrawxeer07v2f90xr5vxv022sat"&gt;137&lt;/key&gt;&lt;/foreign-keys&gt;&lt;ref-type name="Conference Proceedings"&gt;10&lt;/ref-type&gt;&lt;contributors&gt;&lt;authors&gt;&lt;author&gt;Gary W. Miller&lt;/author&gt;&lt;/authors&gt;&lt;/contributors&gt;&lt;titles&gt;&lt;title&gt;Effect of crown growing space and age on the growth of northern red oak&lt;/title&gt;&lt;secondary-title&gt;In: Spiecker, H.; Rogers, R.; Somogyi, Z., comps. IUFRO Proceedings: advances in research in intermediate oak stands; 1997 July 27-30; Freiburg, Germany. Freiburg, Germany: University of Freiburg: 140-159.&lt;/secondary-title&gt;&lt;/titles&gt;&lt;dates&gt;&lt;year&gt;1997&lt;/year&gt;&lt;/dates&gt;&lt;urls&gt;&lt;/urls&gt;&lt;/record&gt;&lt;/Cite&gt;&lt;Cite ExcludeAuth="1"&gt;&lt;Author&gt;Miller&lt;/Author&gt;&lt;Year&gt;2000&lt;/Year&gt;&lt;RecNum&gt;153&lt;/RecNum&gt;&lt;record&gt;&lt;rec-number&gt;153&lt;/rec-number&gt;&lt;foreign-keys&gt;&lt;key app="EN" db-id="a90s5zadewrawxeer07v2f90xr5vxv022sat"&gt;153&lt;/key&gt;&lt;/foreign-keys&gt;&lt;ref-type name="Journal Article"&gt;17&lt;/ref-type&gt;&lt;contributors&gt;&lt;authors&gt;&lt;author&gt;Miller, Gary W.&lt;/author&gt;&lt;/authors&gt;&lt;/contributors&gt;&lt;titles&gt;&lt;title&gt;Effect of Crown Growing Space on the Development of Young Hardwood Crop Trees&lt;/title&gt;&lt;secondary-title&gt;Northern Journal of Applied Forestry&lt;/secondary-title&gt;&lt;/titles&gt;&lt;periodical&gt;&lt;full-title&gt;Northern Journal of Applied Forestry&lt;/full-title&gt;&lt;abbr-1&gt;North. J. Appl. For.&lt;/abbr-1&gt;&lt;/periodical&gt;&lt;pages&gt;25-35&lt;/pages&gt;&lt;volume&gt;17&lt;/volume&gt;&lt;dates&gt;&lt;year&gt;2000&lt;/year&gt;&lt;/dates&gt;&lt;urls&gt;&lt;related-urls&gt;&lt;url&gt;http://www.ingentaconnect.com/content/saf/njaf/2000/00000017/00000001/art00008&lt;/url&gt;&lt;/related-urls&gt;&lt;/urls&gt;&lt;/record&gt;&lt;/Cite&gt;&lt;/EndNote&gt;</w:instrText>
      </w:r>
      <w:r>
        <w:fldChar w:fldCharType="separate"/>
      </w:r>
      <w:r w:rsidR="007D6AB3">
        <w:rPr>
          <w:noProof/>
        </w:rPr>
        <w:t>(</w:t>
      </w:r>
      <w:hyperlink w:anchor="_ENREF_95" w:tooltip="Miller, 1997 #137" w:history="1">
        <w:r w:rsidR="001E4C88">
          <w:rPr>
            <w:noProof/>
          </w:rPr>
          <w:t>1997</w:t>
        </w:r>
      </w:hyperlink>
      <w:r w:rsidR="007D6AB3">
        <w:rPr>
          <w:noProof/>
        </w:rPr>
        <w:t xml:space="preserve">, </w:t>
      </w:r>
      <w:hyperlink w:anchor="_ENREF_96" w:tooltip="Miller, 2000 #153" w:history="1">
        <w:r w:rsidR="001E4C88">
          <w:rPr>
            <w:noProof/>
          </w:rPr>
          <w:t>2000</w:t>
        </w:r>
      </w:hyperlink>
      <w:r w:rsidR="007D6AB3">
        <w:rPr>
          <w:noProof/>
        </w:rPr>
        <w:t>)</w:t>
      </w:r>
      <w:r>
        <w:fldChar w:fldCharType="end"/>
      </w:r>
      <w:r>
        <w:t xml:space="preserve">.  The amount and distribution of tree knock down was estimated for all commercial CTR treatments preceding regeneration harvests based on inferences made from all relevant studies </w:t>
      </w:r>
      <w:r>
        <w:fldChar w:fldCharType="begin">
          <w:fldData xml:space="preserve">PEVuZE5vdGU+PENpdGU+PEF1dGhvcj5NaWxsZXI8L0F1dGhvcj48WWVhcj4xOTg0PC9ZZWFyPjxS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==
</w:fldData>
        </w:fldChar>
      </w:r>
      <w:r w:rsidR="00CE2DF2">
        <w:instrText xml:space="preserve"> ADDIN EN.CITE </w:instrText>
      </w:r>
      <w:r w:rsidR="00CE2DF2">
        <w:fldChar w:fldCharType="begin">
          <w:fldData xml:space="preserve">PEVuZE5vdGU+PENpdGU+PEF1dGhvcj5NaWxsZXI8L0F1dGhvcj48WWVhcj4xOTg0PC9ZZWFyPjxS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==
</w:fldData>
        </w:fldChar>
      </w:r>
      <w:r w:rsidR="00CE2DF2">
        <w:instrText xml:space="preserve"> ADDIN EN.CITE.DATA </w:instrText>
      </w:r>
      <w:r w:rsidR="00CE2DF2">
        <w:fldChar w:fldCharType="end"/>
      </w:r>
      <w:r>
        <w:fldChar w:fldCharType="separate"/>
      </w:r>
      <w:r w:rsidR="00CE2DF2">
        <w:rPr>
          <w:noProof/>
        </w:rPr>
        <w:t>(</w:t>
      </w:r>
      <w:hyperlink w:anchor="_ENREF_98" w:tooltip="Miller, 1984 #155" w:history="1">
        <w:r w:rsidR="001E4C88">
          <w:rPr>
            <w:noProof/>
          </w:rPr>
          <w:t>Miller et al. 1984</w:t>
        </w:r>
      </w:hyperlink>
      <w:r w:rsidR="00CE2DF2">
        <w:rPr>
          <w:noProof/>
        </w:rPr>
        <w:t xml:space="preserve">; </w:t>
      </w:r>
      <w:hyperlink w:anchor="_ENREF_135" w:tooltip="Stringer, 1988 #143" w:history="1">
        <w:r w:rsidR="001E4C88">
          <w:rPr>
            <w:noProof/>
          </w:rPr>
          <w:t>Stringer et al. 1988</w:t>
        </w:r>
      </w:hyperlink>
      <w:r w:rsidR="00CE2DF2">
        <w:rPr>
          <w:noProof/>
        </w:rPr>
        <w:t xml:space="preserve">; </w:t>
      </w:r>
      <w:hyperlink w:anchor="_ENREF_80" w:tooltip="Lamson, 1984 #267" w:history="1">
        <w:r w:rsidR="001E4C88">
          <w:rPr>
            <w:noProof/>
          </w:rPr>
          <w:t>Lamson et al. 1984</w:t>
        </w:r>
      </w:hyperlink>
      <w:r w:rsidR="00CE2DF2">
        <w:rPr>
          <w:noProof/>
        </w:rPr>
        <w:t>)</w:t>
      </w:r>
      <w:r>
        <w:fldChar w:fldCharType="end"/>
      </w:r>
      <w:r>
        <w:t>.</w:t>
      </w:r>
      <w:r w:rsidRPr="00040E26">
        <w:t xml:space="preserve"> </w:t>
      </w:r>
      <w:r>
        <w:t xml:space="preserve"> </w:t>
      </w:r>
      <w:r w:rsidR="000C0D47">
        <w:t xml:space="preserve">From these initial thinnings to the regeneration harvest of each stand, DBHs and assigned tree values informed the removal of trees taking up more growing space than their value or canopy position warranted, the selection of reserve trees to be retained in regeneration harvests in accordance with Stringer </w:t>
      </w:r>
      <w:r w:rsidR="000C0D47">
        <w:fldChar w:fldCharType="begin"/>
      </w:r>
      <w:r w:rsidR="000C0D47">
        <w:instrText xml:space="preserve"> ADDIN EN.CITE &lt;EndNote&gt;&lt;Cite ExcludeAuth="1"&gt;&lt;Author&gt;Stringer&lt;/Author&gt;&lt;Year&gt;2006&lt;/Year&gt;&lt;RecNum&gt;260&lt;/RecNum&gt;&lt;DisplayText&gt;(2006)&lt;/DisplayText&gt;&lt;record&gt;&lt;rec-number&gt;260&lt;/rec-number&gt;&lt;foreign-keys&gt;&lt;key app="EN" db-id="a90s5zadewrawxeer07v2f90xr5vxv022sat"&gt;260&lt;/key&gt;&lt;/foreign-keys&gt;&lt;ref-type name="Report"&gt;27&lt;/ref-type&gt;&lt;contributors&gt;&lt;authors&gt;&lt;author&gt;Jeff W. Stringer&lt;/author&gt;&lt;/authors&gt;&lt;secondary-authors&gt;&lt;author&gt;Jeff W. Stringer&lt;/author&gt;&lt;author&gt;Wayne K. Clatterbuck&lt;/author&gt;&lt;/secondary-authors&gt;&lt;/contributors&gt;&lt;titles&gt;&lt;title&gt;Two-age system and deferment harvests&lt;/title&gt;&lt;secondary-title&gt;Professional Hardwood Notes&lt;/secondary-title&gt;&lt;/titles&gt;&lt;pages&gt;12&lt;/pages&gt;&lt;volume&gt;FOR-103&lt;/volume&gt;&lt;dates&gt;&lt;year&gt;2006&lt;/year&gt;&lt;/dates&gt;&lt;publisher&gt;University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rsidR="000C0D47">
        <w:fldChar w:fldCharType="separate"/>
      </w:r>
      <w:r w:rsidR="000C0D47">
        <w:rPr>
          <w:noProof/>
        </w:rPr>
        <w:t>(</w:t>
      </w:r>
      <w:hyperlink w:anchor="_ENREF_134" w:tooltip="Stringer, 2006 #260" w:history="1">
        <w:r w:rsidR="001E4C88">
          <w:rPr>
            <w:noProof/>
          </w:rPr>
          <w:t>2006</w:t>
        </w:r>
      </w:hyperlink>
      <w:r w:rsidR="000C0D47">
        <w:rPr>
          <w:noProof/>
        </w:rPr>
        <w:t>)</w:t>
      </w:r>
      <w:r w:rsidR="000C0D47">
        <w:fldChar w:fldCharType="end"/>
      </w:r>
      <w:r w:rsidR="000C0D47">
        <w:t xml:space="preserve">, </w:t>
      </w:r>
      <w:r w:rsidR="000C0D47" w:rsidRPr="00591524">
        <w:t>and t</w:t>
      </w:r>
      <w:r w:rsidR="000C0D47">
        <w:t xml:space="preserve">he realistic allocation of </w:t>
      </w:r>
      <w:r w:rsidR="000C0D47" w:rsidRPr="00591524">
        <w:t xml:space="preserve">harvested logs to the </w:t>
      </w:r>
      <w:r w:rsidR="000C0D47">
        <w:t>relevant “wood pile”.</w:t>
      </w:r>
      <w:r w:rsidR="000C0D47" w:rsidRPr="00C04126">
        <w:rPr>
          <w:b/>
        </w:rPr>
        <w:t xml:space="preserve"> </w:t>
      </w:r>
      <w:r w:rsidR="000C0D47">
        <w:rPr>
          <w:b/>
        </w:rPr>
        <w:t xml:space="preserve"> </w:t>
      </w:r>
      <w:r w:rsidR="000C0D47">
        <w:t>Commercial operations that involved the removal of merchantable poletimber (5.5</w:t>
      </w:r>
      <w:r w:rsidR="000C0D47" w:rsidRPr="00C04126">
        <w:rPr>
          <w:rFonts w:cs="Calibri"/>
        </w:rPr>
        <w:t>″</w:t>
      </w:r>
      <w:r w:rsidR="000C0D47">
        <w:t xml:space="preserve">DBH+ with </w:t>
      </w:r>
      <w:proofErr w:type="gramStart"/>
      <w:r w:rsidR="000C0D47">
        <w:t>under</w:t>
      </w:r>
      <w:proofErr w:type="gramEnd"/>
      <w:r w:rsidR="000C0D47">
        <w:t xml:space="preserve"> 60% rot) were assumed to harvest all felled, knocked down, and severely damaged merchantable trees</w:t>
      </w:r>
      <w:r w:rsidR="006A3DAD">
        <w:t xml:space="preserve"> in the project scenario</w:t>
      </w:r>
      <w:r w:rsidR="000C0D47">
        <w:t>.</w:t>
      </w:r>
      <w:r w:rsidR="000C0D47" w:rsidRPr="000C0D47">
        <w:t xml:space="preserve"> </w:t>
      </w:r>
      <w:r w:rsidR="000C0D47">
        <w:t xml:space="preserve"> </w:t>
      </w:r>
    </w:p>
    <w:p w:rsidR="003678BB" w:rsidRDefault="00C04126" w:rsidP="009450A1">
      <w:pPr>
        <w:spacing w:line="480" w:lineRule="auto"/>
        <w:ind w:firstLine="720"/>
      </w:pPr>
      <w:r w:rsidRPr="00C04126">
        <w:rPr>
          <w:bCs/>
        </w:rPr>
        <w:t>The harvesting schedule of the second ten-year period of this scenario was defined by a clearcut harvest of the most valuable stand, midstory removals (or prep-treatments) initiating a irregular shelterwood sequence, and a second CTR thinning for one of the first treated stands, as shown in Table 2.  Aside from the need to compensate for the thinning costs incurred in the first ten years of the simulation, the regeneration harvest (or final cut) was justified by the 19.4</w:t>
      </w:r>
      <w:r w:rsidR="00635427">
        <w:rPr>
          <w:rFonts w:cs="Calibri"/>
          <w:bCs/>
        </w:rPr>
        <w:t>″</w:t>
      </w:r>
      <w:r w:rsidRPr="00C04126">
        <w:rPr>
          <w:bCs/>
        </w:rPr>
        <w:t xml:space="preserve"> mean DBH of harvested sawtimber and the impressive amount of large black </w:t>
      </w:r>
      <w:r w:rsidRPr="00C04126">
        <w:rPr>
          <w:rFonts w:asciiTheme="minorHAnsi" w:hAnsiTheme="minorHAnsi" w:cstheme="minorHAnsi"/>
          <w:bCs/>
        </w:rPr>
        <w:t>cherry trees</w:t>
      </w:r>
      <w:r w:rsidRPr="00C04126">
        <w:rPr>
          <w:bCs/>
        </w:rPr>
        <w:t xml:space="preserve">, which were found by Smith and Miller </w:t>
      </w:r>
      <w:r w:rsidRPr="00C04126">
        <w:rPr>
          <w:bCs/>
        </w:rPr>
        <w:fldChar w:fldCharType="begin"/>
      </w:r>
      <w:r w:rsidR="00A87D07">
        <w:rPr>
          <w:bCs/>
        </w:rPr>
        <w:instrText xml:space="preserve"> ADDIN EN.CITE &lt;EndNote&gt;&lt;Cite ExcludeAuth="1"&gt;&lt;Author&gt;Smith&lt;/Author&gt;&lt;Year&gt;1991&lt;/Year&gt;&lt;RecNum&gt;266&lt;/RecNum&gt;&lt;DisplayText&gt;(1991)&lt;/DisplayText&gt;&lt;record&gt;&lt;rec-number&gt;266&lt;/rec-number&gt;&lt;foreign-keys&gt;&lt;key app="EN" db-id="a90s5zadewrawxeer07v2f90xr5vxv022sat"&gt;266&lt;/key&gt;&lt;/foreign-keys&gt;&lt;ref-type name="Report"&gt;27&lt;/ref-type&gt;&lt;contributors&gt;&lt;authors&gt;&lt;author&gt;Smith, H.C.&lt;/author&gt;&lt;author&gt;Miller, G.W.  &lt;/author&gt;&lt;/authors&gt;&lt;/contributors&gt;&lt;titles&gt;&lt;title&gt;Releasing 75- to 80-year-old Appalachian hardwood sawtimber trees-5-year d.b.h. response.  In: McCormick, Larry H.; Gottschalk, Kurt W., eds. Proceedings, 8th Central Hardwood Forest Conference; 1991 March 4-6; University Park, PA. Gen. Tech. Rep. NE-148. Radnor, PA: U.S. Department of Agriculture, Forest Service, Northeastern Forest Experiment Station: 402-413&lt;/title&gt;&lt;/titles&gt;&lt;dates&gt;&lt;year&gt;1991&lt;/year&gt;&lt;/dates&gt;&lt;urls&gt;&lt;/urls&gt;&lt;/record&gt;&lt;/Cite&gt;&lt;/EndNote&gt;</w:instrText>
      </w:r>
      <w:r w:rsidRPr="00C04126">
        <w:rPr>
          <w:bCs/>
        </w:rPr>
        <w:fldChar w:fldCharType="separate"/>
      </w:r>
      <w:r w:rsidR="00A87D07">
        <w:rPr>
          <w:bCs/>
          <w:noProof/>
        </w:rPr>
        <w:t>(</w:t>
      </w:r>
      <w:hyperlink w:anchor="_ENREF_128" w:tooltip="Smith, 1991 #266" w:history="1">
        <w:r w:rsidR="001E4C88">
          <w:rPr>
            <w:bCs/>
            <w:noProof/>
          </w:rPr>
          <w:t>1991</w:t>
        </w:r>
      </w:hyperlink>
      <w:r w:rsidR="00A87D07">
        <w:rPr>
          <w:bCs/>
          <w:noProof/>
        </w:rPr>
        <w:t>)</w:t>
      </w:r>
      <w:r w:rsidRPr="00C04126">
        <w:rPr>
          <w:bCs/>
        </w:rPr>
        <w:fldChar w:fldCharType="end"/>
      </w:r>
      <w:r w:rsidRPr="00C04126">
        <w:rPr>
          <w:bCs/>
        </w:rPr>
        <w:t xml:space="preserve"> not to respond to CTR at this age.  Subsequent f</w:t>
      </w:r>
      <w:r>
        <w:t>inal cuts</w:t>
      </w:r>
      <w:r w:rsidRPr="00591524">
        <w:t xml:space="preserve"> were spread out in an effort to balance age-classes across the project in </w:t>
      </w:r>
      <w:r w:rsidR="00D177C1">
        <w:t>agreement</w:t>
      </w:r>
      <w:r w:rsidRPr="00591524">
        <w:t xml:space="preserve"> with </w:t>
      </w:r>
      <w:r w:rsidR="00A81333">
        <w:t>the protocol’s</w:t>
      </w:r>
      <w:r w:rsidRPr="00591524">
        <w:t xml:space="preserve"> 40 percent constraint on project area in the 0-19 age-class</w:t>
      </w:r>
      <w:r w:rsidR="00E75D2B">
        <w:t>,</w:t>
      </w:r>
      <w:r w:rsidRPr="00591524">
        <w:t xml:space="preserve"> while also following silvicultural guidance for </w:t>
      </w:r>
      <w:r>
        <w:t xml:space="preserve">oak regeneration and removals of financially mature timber according to the SILVAH decision-support system </w:t>
      </w:r>
      <w:r>
        <w:fldChar w:fldCharType="begin"/>
      </w:r>
      <w:r w:rsidR="0056578C">
        <w:instrText xml:space="preserve"> ADDIN EN.CITE &lt;EndNote&gt;&lt;Cite&gt;&lt;Author&gt;Brose&lt;/Author&gt;&lt;Year&gt;2008&lt;/Year&gt;&lt;RecNum&gt;139&lt;/RecNum&gt;&lt;DisplayText&gt;(Brose et al. 2008)&lt;/DisplayText&gt;&lt;record&gt;&lt;rec-number&gt;139&lt;/rec-number&gt;&lt;foreign-keys&gt;&lt;key app="EN" db-id="a90s5zadewrawxeer07v2f90xr5vxv022sat"&gt;139&lt;/key&gt;&lt;/foreign-keys&gt;&lt;ref-type name="Report"&gt;27&lt;/ref-type&gt;&lt;contributors&gt;&lt;authors&gt;&lt;author&gt;Brose, Patrick H.&lt;/author&gt;&lt;author&gt;Gottschalk, Kurt W. &lt;/author&gt;&lt;author&gt;Horsley, Stephen B. &lt;/author&gt;&lt;author&gt;Knopp, Peter D. &lt;/author&gt;&lt;author&gt;Kochenderfer, James N. &lt;/author&gt;&lt;author&gt;McGuinness, Barbara J.&lt;/author&gt;&lt;author&gt;Miller, Gary W. &lt;/author&gt;&lt;author&gt;Ristau, Todd E. &lt;/author&gt;&lt;author&gt;Stoleson, Scott H. &lt;/author&gt;&lt;author&gt;Stout, Susan L. &lt;/author&gt;&lt;/authors&gt;&lt;/contributors&gt;&lt;titles&gt;&lt;title&gt;Prescribing regeneration treatments for mixed-oak forests in the Mid-Atlantic region&lt;/title&gt;&lt;/titles&gt;&lt;dates&gt;&lt;year&gt;2008&lt;/year&gt;&lt;/dates&gt;&lt;publisher&gt;Gen. Tech. Rep. NRS-33. Newtown Square, PA: U.S. Department of Agriculture, Forest Service, Northern Research Station. 100 p&lt;/publisher&gt;&lt;urls&gt;&lt;/urls&gt;&lt;/record&gt;&lt;/Cite&gt;&lt;/EndNote&gt;</w:instrText>
      </w:r>
      <w:r>
        <w:fldChar w:fldCharType="separate"/>
      </w:r>
      <w:r w:rsidR="00A87D07">
        <w:rPr>
          <w:noProof/>
        </w:rPr>
        <w:t>(</w:t>
      </w:r>
      <w:hyperlink w:anchor="_ENREF_29" w:tooltip="Brose, 2008 #139" w:history="1">
        <w:r w:rsidR="001E4C88">
          <w:rPr>
            <w:noProof/>
          </w:rPr>
          <w:t>Brose et al. 2008</w:t>
        </w:r>
      </w:hyperlink>
      <w:r w:rsidR="00A87D07">
        <w:rPr>
          <w:noProof/>
        </w:rPr>
        <w:t>)</w:t>
      </w:r>
      <w:r>
        <w:fldChar w:fldCharType="end"/>
      </w:r>
      <w:r>
        <w:t>.  It should be noted that the scarcity of red oaks in the stands regenerated in the 20 years after the initial set of CTR thinnings was also an important factor in final harvest timing considering that</w:t>
      </w:r>
      <w:r w:rsidRPr="009A3500">
        <w:t xml:space="preserve"> </w:t>
      </w:r>
      <w:r>
        <w:t xml:space="preserve">natural red </w:t>
      </w:r>
      <w:r w:rsidRPr="00AD33C2">
        <w:t xml:space="preserve">oak </w:t>
      </w:r>
      <w:r w:rsidRPr="00AD33C2">
        <w:lastRenderedPageBreak/>
        <w:t xml:space="preserve">restoration is contingent on </w:t>
      </w:r>
      <w:r>
        <w:t xml:space="preserve">having </w:t>
      </w:r>
      <w:r w:rsidRPr="00AD33C2">
        <w:t>a sufficient parent tree population</w:t>
      </w:r>
      <w:r>
        <w:t xml:space="preserve">.  </w:t>
      </w:r>
      <w:r w:rsidR="00635427">
        <w:t xml:space="preserve">Overall, a conservative approach was </w:t>
      </w:r>
      <w:r w:rsidR="00162E4B">
        <w:t>t</w:t>
      </w:r>
      <w:r w:rsidR="00635427">
        <w:t>aken in scheduling regeneration harvests with regard to the 18</w:t>
      </w:r>
      <w:r w:rsidR="00635427">
        <w:rPr>
          <w:rFonts w:cs="Calibri"/>
          <w:bCs/>
        </w:rPr>
        <w:t xml:space="preserve">″ </w:t>
      </w:r>
      <w:r w:rsidR="00635427">
        <w:t xml:space="preserve">mean diameter suggested for rotations </w:t>
      </w:r>
      <w:r w:rsidR="00635427" w:rsidRPr="00635427">
        <w:fldChar w:fldCharType="begin"/>
      </w:r>
      <w:r w:rsidR="0056578C">
        <w:instrText xml:space="preserve"> ADDIN EN.CITE &lt;EndNote&gt;&lt;Cite&gt;&lt;Author&gt;Brose&lt;/Author&gt;&lt;Year&gt;2008&lt;/Year&gt;&lt;RecNum&gt;139&lt;/RecNum&gt;&lt;DisplayText&gt;(Brose et al. 2008)&lt;/DisplayText&gt;&lt;record&gt;&lt;rec-number&gt;139&lt;/rec-number&gt;&lt;foreign-keys&gt;&lt;key app="EN" db-id="a90s5zadewrawxeer07v2f90xr5vxv022sat"&gt;139&lt;/key&gt;&lt;/foreign-keys&gt;&lt;ref-type name="Report"&gt;27&lt;/ref-type&gt;&lt;contributors&gt;&lt;authors&gt;&lt;author&gt;Brose, Patrick H.&lt;/author&gt;&lt;author&gt;Gottschalk, Kurt W. &lt;/author&gt;&lt;author&gt;Horsley, Stephen B. &lt;/author&gt;&lt;author&gt;Knopp, Peter D. &lt;/author&gt;&lt;author&gt;Kochenderfer, James N. &lt;/author&gt;&lt;author&gt;McGuinness, Barbara J.&lt;/author&gt;&lt;author&gt;Miller, Gary W. &lt;/author&gt;&lt;author&gt;Ristau, Todd E. &lt;/author&gt;&lt;author&gt;Stoleson, Scott H. &lt;/author&gt;&lt;author&gt;Stout, Susan L. &lt;/author&gt;&lt;/authors&gt;&lt;/contributors&gt;&lt;titles&gt;&lt;title&gt;Prescribing regeneration treatments for mixed-oak forests in the Mid-Atlantic region&lt;/title&gt;&lt;/titles&gt;&lt;dates&gt;&lt;year&gt;2008&lt;/year&gt;&lt;/dates&gt;&lt;publisher&gt;Gen. Tech. Rep. NRS-33. Newtown Square, PA: U.S. Department of Agriculture, Forest Service, Northern Research Station. 100 p&lt;/publisher&gt;&lt;urls&gt;&lt;/urls&gt;&lt;/record&gt;&lt;/Cite&gt;&lt;/EndNote&gt;</w:instrText>
      </w:r>
      <w:r w:rsidR="00635427" w:rsidRPr="00635427">
        <w:fldChar w:fldCharType="separate"/>
      </w:r>
      <w:r w:rsidR="00A87D07">
        <w:rPr>
          <w:noProof/>
        </w:rPr>
        <w:t>(</w:t>
      </w:r>
      <w:hyperlink w:anchor="_ENREF_29" w:tooltip="Brose, 2008 #139" w:history="1">
        <w:r w:rsidR="001E4C88">
          <w:rPr>
            <w:noProof/>
          </w:rPr>
          <w:t>Brose et al. 2008</w:t>
        </w:r>
      </w:hyperlink>
      <w:r w:rsidR="00A87D07">
        <w:rPr>
          <w:noProof/>
        </w:rPr>
        <w:t>)</w:t>
      </w:r>
      <w:r w:rsidR="00635427" w:rsidRPr="00635427">
        <w:fldChar w:fldCharType="end"/>
      </w:r>
      <w:r w:rsidR="00635427" w:rsidRPr="00635427">
        <w:t xml:space="preserve">, as demonstrated by the </w:t>
      </w:r>
      <w:r w:rsidRPr="00635427">
        <w:t>harves</w:t>
      </w:r>
      <w:r w:rsidR="00230ADF" w:rsidRPr="00635427">
        <w:t xml:space="preserve">t-year conditions displayed in </w:t>
      </w:r>
      <w:r w:rsidR="002F6F7B">
        <w:t>a</w:t>
      </w:r>
      <w:r w:rsidRPr="00635427">
        <w:t>ppendix</w:t>
      </w:r>
      <w:r w:rsidR="00230ADF" w:rsidRPr="00635427">
        <w:t xml:space="preserve"> </w:t>
      </w:r>
      <w:r w:rsidR="002F6F7B">
        <w:t>B</w:t>
      </w:r>
      <w:r w:rsidR="00635427" w:rsidRPr="00635427">
        <w:t>.</w:t>
      </w:r>
    </w:p>
    <w:tbl>
      <w:tblPr>
        <w:tblW w:w="10080" w:type="dxa"/>
        <w:tblInd w:w="108" w:type="dxa"/>
        <w:tblLayout w:type="fixed"/>
        <w:tblLook w:val="04A0" w:firstRow="1" w:lastRow="0" w:firstColumn="1" w:lastColumn="0" w:noHBand="0" w:noVBand="1"/>
      </w:tblPr>
      <w:tblGrid>
        <w:gridCol w:w="630"/>
        <w:gridCol w:w="720"/>
        <w:gridCol w:w="990"/>
        <w:gridCol w:w="900"/>
        <w:gridCol w:w="1170"/>
        <w:gridCol w:w="1080"/>
        <w:gridCol w:w="990"/>
        <w:gridCol w:w="990"/>
        <w:gridCol w:w="900"/>
        <w:gridCol w:w="720"/>
        <w:gridCol w:w="990"/>
      </w:tblGrid>
      <w:tr w:rsidR="00B45B60" w:rsidRPr="0083779F" w:rsidTr="00C369A7">
        <w:trPr>
          <w:cantSplit/>
          <w:trHeight w:val="176"/>
        </w:trPr>
        <w:tc>
          <w:tcPr>
            <w:tcW w:w="4410" w:type="dxa"/>
            <w:gridSpan w:val="5"/>
            <w:tcBorders>
              <w:top w:val="single" w:sz="4" w:space="0" w:color="auto"/>
              <w:left w:val="single" w:sz="4" w:space="0" w:color="auto"/>
              <w:bottom w:val="nil"/>
              <w:right w:val="dotted" w:sz="4" w:space="0" w:color="auto"/>
            </w:tcBorders>
            <w:shd w:val="clear" w:color="auto" w:fill="auto"/>
            <w:noWrap/>
            <w:vAlign w:val="center"/>
            <w:hideMark/>
          </w:tcPr>
          <w:p w:rsidR="00B45B60" w:rsidRDefault="00B45B60" w:rsidP="00C369A7">
            <w:pPr>
              <w:spacing w:after="0" w:line="240" w:lineRule="auto"/>
              <w:rPr>
                <w:rFonts w:asciiTheme="minorHAnsi" w:eastAsia="Times New Roman" w:hAnsiTheme="minorHAnsi" w:cstheme="minorHAnsi"/>
                <w:b/>
                <w:bCs/>
                <w:color w:val="000000"/>
                <w:sz w:val="20"/>
                <w:szCs w:val="20"/>
              </w:rPr>
            </w:pPr>
            <w:r w:rsidRPr="00AB7C09">
              <w:rPr>
                <w:rFonts w:asciiTheme="minorHAnsi" w:eastAsia="Times New Roman" w:hAnsiTheme="minorHAnsi" w:cstheme="minorHAnsi"/>
                <w:b/>
                <w:bCs/>
                <w:color w:val="000000"/>
                <w:sz w:val="20"/>
                <w:szCs w:val="20"/>
                <w:u w:val="single"/>
              </w:rPr>
              <w:t xml:space="preserve">Table </w:t>
            </w:r>
            <w:r>
              <w:rPr>
                <w:rFonts w:asciiTheme="minorHAnsi" w:eastAsia="Times New Roman" w:hAnsiTheme="minorHAnsi" w:cstheme="minorHAnsi"/>
                <w:b/>
                <w:bCs/>
                <w:color w:val="000000"/>
                <w:sz w:val="20"/>
                <w:szCs w:val="20"/>
                <w:u w:val="single"/>
              </w:rPr>
              <w:t>2</w:t>
            </w:r>
            <w:r w:rsidRPr="00B95342">
              <w:rPr>
                <w:rFonts w:asciiTheme="minorHAnsi" w:eastAsia="Times New Roman" w:hAnsiTheme="minorHAnsi" w:cstheme="minorHAnsi"/>
                <w:b/>
                <w:bCs/>
                <w:color w:val="000000"/>
                <w:sz w:val="20"/>
                <w:szCs w:val="20"/>
                <w:u w:val="single"/>
              </w:rPr>
              <w:t>. Project Treatment Schedule</w:t>
            </w:r>
            <w:r>
              <w:rPr>
                <w:rFonts w:asciiTheme="minorHAnsi" w:eastAsia="Times New Roman" w:hAnsiTheme="minorHAnsi" w:cstheme="minorHAnsi"/>
                <w:b/>
                <w:bCs/>
                <w:color w:val="000000"/>
                <w:sz w:val="20"/>
                <w:szCs w:val="20"/>
              </w:rPr>
              <w:t xml:space="preserve">                  Key:</w:t>
            </w:r>
          </w:p>
          <w:p w:rsidR="00B45B60" w:rsidRPr="00635427" w:rsidRDefault="00B45B60" w:rsidP="00C369A7">
            <w:pPr>
              <w:spacing w:after="0" w:line="240" w:lineRule="auto"/>
              <w:rPr>
                <w:rFonts w:asciiTheme="minorHAnsi" w:eastAsia="Times New Roman" w:hAnsiTheme="minorHAnsi" w:cstheme="minorHAnsi"/>
                <w:bCs/>
                <w:color w:val="000000"/>
                <w:sz w:val="20"/>
                <w:szCs w:val="20"/>
              </w:rPr>
            </w:pPr>
            <w:r>
              <w:rPr>
                <w:rFonts w:asciiTheme="minorHAnsi" w:eastAsia="Times New Roman" w:hAnsiTheme="minorHAnsi" w:cstheme="minorHAnsi"/>
                <w:b/>
                <w:bCs/>
                <w:color w:val="000000"/>
                <w:sz w:val="20"/>
                <w:szCs w:val="20"/>
              </w:rPr>
              <w:t xml:space="preserve">              </w:t>
            </w:r>
            <w:r w:rsidRPr="00635427">
              <w:rPr>
                <w:rFonts w:asciiTheme="minorHAnsi" w:eastAsia="Times New Roman" w:hAnsiTheme="minorHAnsi" w:cstheme="minorHAnsi"/>
                <w:bCs/>
                <w:color w:val="000000"/>
                <w:sz w:val="20"/>
                <w:szCs w:val="20"/>
              </w:rPr>
              <w:t>Stand ID</w:t>
            </w:r>
          </w:p>
        </w:tc>
        <w:tc>
          <w:tcPr>
            <w:tcW w:w="1080" w:type="dxa"/>
            <w:tcBorders>
              <w:top w:val="single" w:sz="4" w:space="0" w:color="auto"/>
              <w:left w:val="dotted" w:sz="4" w:space="0" w:color="auto"/>
              <w:bottom w:val="single" w:sz="4" w:space="0" w:color="auto"/>
              <w:right w:val="nil"/>
            </w:tcBorders>
            <w:shd w:val="clear" w:color="000000" w:fill="CCFFCC"/>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Revenue</w:t>
            </w:r>
            <w:r>
              <w:rPr>
                <w:rFonts w:asciiTheme="minorHAnsi" w:eastAsia="Times New Roman" w:hAnsiTheme="minorHAnsi" w:cstheme="minorHAnsi"/>
                <w:color w:val="006100"/>
                <w:sz w:val="20"/>
                <w:szCs w:val="20"/>
              </w:rPr>
              <w:t xml:space="preserve"> </w:t>
            </w:r>
            <w:r w:rsidRPr="00AB7C09">
              <w:rPr>
                <w:rFonts w:asciiTheme="minorHAnsi" w:eastAsia="Times New Roman" w:hAnsiTheme="minorHAnsi" w:cstheme="minorHAnsi"/>
                <w:color w:val="006100"/>
                <w:sz w:val="20"/>
                <w:szCs w:val="20"/>
              </w:rPr>
              <w:t>=</w:t>
            </w:r>
          </w:p>
        </w:tc>
        <w:tc>
          <w:tcPr>
            <w:tcW w:w="990" w:type="dxa"/>
            <w:tcBorders>
              <w:top w:val="single" w:sz="4" w:space="0" w:color="auto"/>
              <w:left w:val="nil"/>
              <w:bottom w:val="single" w:sz="4" w:space="0" w:color="auto"/>
              <w:right w:val="dotted" w:sz="4" w:space="0" w:color="auto"/>
            </w:tcBorders>
            <w:shd w:val="clear" w:color="000000" w:fill="CCFFCC"/>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Green</w:t>
            </w:r>
          </w:p>
        </w:tc>
        <w:tc>
          <w:tcPr>
            <w:tcW w:w="990" w:type="dxa"/>
            <w:tcBorders>
              <w:top w:val="single" w:sz="4" w:space="0" w:color="auto"/>
              <w:left w:val="dotted" w:sz="4" w:space="0" w:color="auto"/>
              <w:bottom w:val="dotted" w:sz="2" w:space="0" w:color="auto"/>
              <w:right w:val="nil"/>
            </w:tcBorders>
            <w:shd w:val="clear" w:color="000000"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Pr>
                <w:rFonts w:asciiTheme="minorHAnsi" w:eastAsia="Times New Roman" w:hAnsiTheme="minorHAnsi" w:cstheme="minorHAnsi"/>
                <w:color w:val="9C6500"/>
                <w:sz w:val="20"/>
                <w:szCs w:val="20"/>
              </w:rPr>
              <w:t>Revenue &amp; Cost</w:t>
            </w:r>
            <w:r w:rsidRPr="00AB7C09">
              <w:rPr>
                <w:rFonts w:asciiTheme="minorHAnsi" w:eastAsia="Times New Roman" w:hAnsiTheme="minorHAnsi" w:cstheme="minorHAnsi"/>
                <w:color w:val="9C6500"/>
                <w:sz w:val="20"/>
                <w:szCs w:val="20"/>
              </w:rPr>
              <w:t xml:space="preserve">  =</w:t>
            </w:r>
          </w:p>
        </w:tc>
        <w:tc>
          <w:tcPr>
            <w:tcW w:w="900" w:type="dxa"/>
            <w:tcBorders>
              <w:top w:val="single" w:sz="4" w:space="0" w:color="auto"/>
              <w:left w:val="nil"/>
              <w:bottom w:val="dotted" w:sz="2" w:space="0" w:color="auto"/>
              <w:right w:val="dotted" w:sz="2" w:space="0" w:color="auto"/>
            </w:tcBorders>
            <w:shd w:val="clear" w:color="000000" w:fill="FFFF99"/>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Yellow</w:t>
            </w:r>
          </w:p>
        </w:tc>
        <w:tc>
          <w:tcPr>
            <w:tcW w:w="720" w:type="dxa"/>
            <w:tcBorders>
              <w:top w:val="single" w:sz="4" w:space="0" w:color="auto"/>
              <w:left w:val="dotted" w:sz="2" w:space="0" w:color="auto"/>
              <w:bottom w:val="dotted" w:sz="2" w:space="0" w:color="auto"/>
              <w:right w:val="nil"/>
            </w:tcBorders>
            <w:shd w:val="clear" w:color="000000" w:fill="FFC7CE"/>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Cost =</w:t>
            </w:r>
          </w:p>
        </w:tc>
        <w:tc>
          <w:tcPr>
            <w:tcW w:w="990" w:type="dxa"/>
            <w:tcBorders>
              <w:top w:val="single" w:sz="4" w:space="0" w:color="auto"/>
              <w:left w:val="nil"/>
              <w:bottom w:val="dotted" w:sz="2" w:space="0" w:color="auto"/>
              <w:right w:val="single" w:sz="4" w:space="0" w:color="auto"/>
            </w:tcBorders>
            <w:shd w:val="clear" w:color="000000" w:fill="FFC7CE"/>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Pink</w:t>
            </w:r>
          </w:p>
        </w:tc>
      </w:tr>
      <w:tr w:rsidR="00B45B60" w:rsidRPr="0083779F" w:rsidTr="00C369A7">
        <w:trPr>
          <w:cantSplit/>
          <w:trHeight w:val="168"/>
        </w:trPr>
        <w:tc>
          <w:tcPr>
            <w:tcW w:w="630" w:type="dxa"/>
            <w:tcBorders>
              <w:top w:val="nil"/>
              <w:left w:val="single" w:sz="4" w:space="0" w:color="auto"/>
              <w:bottom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Year</w:t>
            </w:r>
          </w:p>
        </w:tc>
        <w:tc>
          <w:tcPr>
            <w:tcW w:w="720" w:type="dxa"/>
            <w:tcBorders>
              <w:top w:val="single"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ER24</w:t>
            </w: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06174F" w:rsidRDefault="00B45B60" w:rsidP="00C369A7">
            <w:pPr>
              <w:spacing w:after="0" w:line="240" w:lineRule="auto"/>
              <w:rPr>
                <w:rFonts w:asciiTheme="minorHAnsi" w:eastAsia="Times New Roman" w:hAnsiTheme="minorHAnsi" w:cstheme="minorHAnsi"/>
                <w:b/>
                <w:bCs/>
                <w:color w:val="000000"/>
                <w:sz w:val="20"/>
                <w:szCs w:val="20"/>
              </w:rPr>
            </w:pPr>
            <w:r w:rsidRPr="0006174F">
              <w:rPr>
                <w:rFonts w:asciiTheme="minorHAnsi" w:eastAsia="Times New Roman" w:hAnsiTheme="minorHAnsi" w:cstheme="minorHAnsi"/>
                <w:b/>
                <w:bCs/>
                <w:color w:val="000000"/>
                <w:sz w:val="20"/>
                <w:szCs w:val="20"/>
              </w:rPr>
              <w:t>ER152</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ER3</w:t>
            </w: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ER25</w:t>
            </w: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ER4</w:t>
            </w: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ER33</w:t>
            </w: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ER1</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ER26</w:t>
            </w: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ER34</w:t>
            </w: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rsidR="00B45B60" w:rsidRPr="00B05F48" w:rsidRDefault="00B45B60" w:rsidP="00C369A7">
            <w:pPr>
              <w:spacing w:after="0" w:line="240" w:lineRule="auto"/>
              <w:rPr>
                <w:rFonts w:asciiTheme="minorHAnsi" w:eastAsia="Times New Roman" w:hAnsiTheme="minorHAnsi" w:cstheme="minorHAnsi"/>
                <w:b/>
                <w:bCs/>
                <w:color w:val="000000"/>
                <w:sz w:val="20"/>
                <w:szCs w:val="20"/>
              </w:rPr>
            </w:pPr>
            <w:r w:rsidRPr="00B05F48">
              <w:rPr>
                <w:rFonts w:asciiTheme="minorHAnsi" w:eastAsia="Times New Roman" w:hAnsiTheme="minorHAnsi" w:cstheme="minorHAnsi"/>
                <w:b/>
                <w:bCs/>
                <w:color w:val="000000"/>
                <w:sz w:val="20"/>
                <w:szCs w:val="20"/>
              </w:rPr>
              <w:t>ER</w:t>
            </w:r>
            <w:r>
              <w:rPr>
                <w:rFonts w:asciiTheme="minorHAnsi" w:eastAsia="Times New Roman" w:hAnsiTheme="minorHAnsi" w:cstheme="minorHAnsi"/>
                <w:b/>
                <w:bCs/>
                <w:color w:val="000000"/>
                <w:sz w:val="20"/>
                <w:szCs w:val="20"/>
              </w:rPr>
              <w:t>35</w:t>
            </w:r>
          </w:p>
        </w:tc>
      </w:tr>
      <w:tr w:rsidR="00B45B60" w:rsidRPr="0083779F" w:rsidTr="00A647CF">
        <w:trPr>
          <w:trHeight w:val="176"/>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201</w:t>
            </w:r>
            <w:r w:rsidR="00CA76C4">
              <w:rPr>
                <w:rFonts w:asciiTheme="minorHAnsi" w:eastAsia="Times New Roman" w:hAnsiTheme="minorHAnsi" w:cstheme="minorHAnsi"/>
                <w:bCs/>
                <w:color w:val="000000"/>
                <w:sz w:val="20"/>
                <w:szCs w:val="20"/>
              </w:rPr>
              <w:t>3</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000000" w:fill="FFC7CE"/>
            <w:noWrap/>
            <w:vAlign w:val="center"/>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CTR</w:t>
            </w: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CTR</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A647CF" w:rsidRPr="0083779F" w:rsidTr="00A647CF">
        <w:trPr>
          <w:trHeight w:val="176"/>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7CF" w:rsidRPr="00426DB5" w:rsidRDefault="00A647CF"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201</w:t>
            </w:r>
            <w:r>
              <w:rPr>
                <w:rFonts w:asciiTheme="minorHAnsi" w:eastAsia="Times New Roman" w:hAnsiTheme="minorHAnsi" w:cstheme="minorHAnsi"/>
                <w:bCs/>
                <w:color w:val="000000"/>
                <w:sz w:val="20"/>
                <w:szCs w:val="20"/>
              </w:rPr>
              <w:t>8</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FFFF99"/>
            <w:noWrap/>
            <w:vAlign w:val="center"/>
            <w:hideMark/>
          </w:tcPr>
          <w:p w:rsidR="00A647CF" w:rsidRPr="00AB7C09" w:rsidRDefault="00A647CF" w:rsidP="00A647CF">
            <w:pPr>
              <w:spacing w:after="0" w:line="240" w:lineRule="auto"/>
              <w:rPr>
                <w:rFonts w:asciiTheme="minorHAnsi" w:eastAsia="Times New Roman" w:hAnsiTheme="minorHAnsi" w:cstheme="minorHAnsi"/>
                <w:color w:val="9C0006"/>
                <w:sz w:val="20"/>
                <w:szCs w:val="20"/>
              </w:rPr>
            </w:pPr>
            <w:r>
              <w:rPr>
                <w:rFonts w:asciiTheme="minorHAnsi" w:eastAsia="Times New Roman" w:hAnsiTheme="minorHAnsi" w:cstheme="minorHAnsi"/>
                <w:color w:val="9C6500"/>
                <w:sz w:val="20"/>
                <w:szCs w:val="20"/>
              </w:rPr>
              <w:t>CTR cut</w:t>
            </w: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FFFF99"/>
            <w:noWrap/>
            <w:vAlign w:val="center"/>
            <w:hideMark/>
          </w:tcPr>
          <w:p w:rsidR="00A647CF" w:rsidRPr="00AB7C09" w:rsidRDefault="00A647CF" w:rsidP="00816BE1">
            <w:pPr>
              <w:spacing w:after="0" w:line="240" w:lineRule="auto"/>
              <w:rPr>
                <w:rFonts w:asciiTheme="minorHAnsi" w:eastAsia="Times New Roman" w:hAnsiTheme="minorHAnsi" w:cstheme="minorHAnsi"/>
                <w:color w:val="9C6500"/>
                <w:sz w:val="20"/>
                <w:szCs w:val="20"/>
              </w:rPr>
            </w:pPr>
            <w:r>
              <w:rPr>
                <w:rFonts w:asciiTheme="minorHAnsi" w:eastAsia="Times New Roman" w:hAnsiTheme="minorHAnsi" w:cstheme="minorHAnsi"/>
                <w:color w:val="9C6500"/>
                <w:sz w:val="20"/>
                <w:szCs w:val="20"/>
              </w:rPr>
              <w:t>CTR</w:t>
            </w:r>
            <w:r w:rsidRPr="00AB7C09">
              <w:rPr>
                <w:rFonts w:asciiTheme="minorHAnsi" w:eastAsia="Times New Roman" w:hAnsiTheme="minorHAnsi" w:cstheme="minorHAnsi"/>
                <w:color w:val="9C6500"/>
                <w:sz w:val="20"/>
                <w:szCs w:val="20"/>
              </w:rPr>
              <w:t xml:space="preserve"> cut</w:t>
            </w: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A647CF" w:rsidRPr="00AB7C09" w:rsidRDefault="00A647CF"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368"/>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202</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Final Cut</w:t>
            </w:r>
          </w:p>
        </w:tc>
        <w:tc>
          <w:tcPr>
            <w:tcW w:w="990" w:type="dxa"/>
            <w:tcBorders>
              <w:top w:val="single" w:sz="4" w:space="0" w:color="auto"/>
              <w:left w:val="dotted" w:sz="4" w:space="0" w:color="auto"/>
              <w:bottom w:val="single" w:sz="4" w:space="0" w:color="auto"/>
              <w:right w:val="dotted" w:sz="4" w:space="0" w:color="auto"/>
            </w:tcBorders>
            <w:shd w:val="clear" w:color="000000"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prep spraying</w:t>
            </w:r>
          </w:p>
        </w:tc>
        <w:tc>
          <w:tcPr>
            <w:tcW w:w="90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SMZ</w:t>
            </w:r>
          </w:p>
        </w:tc>
      </w:tr>
      <w:tr w:rsidR="00B45B60" w:rsidRPr="0083779F" w:rsidTr="00C369A7">
        <w:trPr>
          <w:trHeight w:val="240"/>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202</w:t>
            </w:r>
            <w:r w:rsidR="00CA76C4">
              <w:rPr>
                <w:rFonts w:asciiTheme="minorHAnsi" w:eastAsia="Times New Roman" w:hAnsiTheme="minorHAnsi" w:cstheme="minorHAnsi"/>
                <w:bCs/>
                <w:color w:val="000000"/>
                <w:sz w:val="20"/>
                <w:szCs w:val="20"/>
              </w:rPr>
              <w:t>6</w:t>
            </w:r>
          </w:p>
        </w:tc>
        <w:tc>
          <w:tcPr>
            <w:tcW w:w="72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prep cut</w:t>
            </w: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000000"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CTR</w:t>
            </w:r>
            <w:r>
              <w:rPr>
                <w:rFonts w:asciiTheme="minorHAnsi" w:eastAsia="Times New Roman" w:hAnsiTheme="minorHAnsi" w:cstheme="minorHAnsi"/>
                <w:color w:val="9C6500"/>
                <w:sz w:val="20"/>
                <w:szCs w:val="20"/>
              </w:rPr>
              <w:t xml:space="preserve"> cut</w:t>
            </w: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176"/>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202</w:t>
            </w:r>
            <w:r w:rsidR="00CA76C4">
              <w:rPr>
                <w:rFonts w:asciiTheme="minorHAnsi" w:eastAsia="Times New Roman" w:hAnsiTheme="minorHAnsi" w:cstheme="minorHAnsi"/>
                <w:bCs/>
                <w:color w:val="000000"/>
                <w:sz w:val="20"/>
                <w:szCs w:val="20"/>
              </w:rPr>
              <w:t>8</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prep spraying</w:t>
            </w: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176"/>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203</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dotted"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PCTR</w:t>
            </w:r>
          </w:p>
        </w:tc>
        <w:tc>
          <w:tcPr>
            <w:tcW w:w="99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Final Cut</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 xml:space="preserve"> cut</w:t>
            </w:r>
          </w:p>
        </w:tc>
        <w:tc>
          <w:tcPr>
            <w:tcW w:w="990" w:type="dxa"/>
            <w:tcBorders>
              <w:top w:val="single"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 xml:space="preserve"> cut</w:t>
            </w:r>
          </w:p>
        </w:tc>
        <w:tc>
          <w:tcPr>
            <w:tcW w:w="90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SMZ</w:t>
            </w:r>
          </w:p>
        </w:tc>
        <w:tc>
          <w:tcPr>
            <w:tcW w:w="990" w:type="dxa"/>
            <w:tcBorders>
              <w:top w:val="single" w:sz="4" w:space="0" w:color="auto"/>
              <w:left w:val="dotted" w:sz="4" w:space="0" w:color="auto"/>
              <w:bottom w:val="single" w:sz="4" w:space="0" w:color="auto"/>
              <w:right w:val="single"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r>
      <w:tr w:rsidR="00B45B60" w:rsidRPr="0083779F" w:rsidTr="00C369A7">
        <w:trPr>
          <w:trHeight w:val="176"/>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203</w:t>
            </w:r>
            <w:r w:rsidR="00CA76C4">
              <w:rPr>
                <w:rFonts w:asciiTheme="minorHAnsi" w:eastAsia="Times New Roman" w:hAnsiTheme="minorHAnsi" w:cstheme="minorHAnsi"/>
                <w:bCs/>
                <w:color w:val="000000"/>
                <w:sz w:val="20"/>
                <w:szCs w:val="20"/>
              </w:rPr>
              <w:t>6</w:t>
            </w:r>
          </w:p>
        </w:tc>
        <w:tc>
          <w:tcPr>
            <w:tcW w:w="72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Final Cut</w:t>
            </w: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 xml:space="preserve"> cut</w:t>
            </w: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SMZ</w:t>
            </w:r>
          </w:p>
        </w:tc>
      </w:tr>
      <w:tr w:rsidR="00B45B60" w:rsidRPr="0083779F" w:rsidTr="00C369A7">
        <w:trPr>
          <w:trHeight w:val="176"/>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203</w:t>
            </w:r>
            <w:r w:rsidR="00CA76C4">
              <w:rPr>
                <w:rFonts w:asciiTheme="minorHAnsi" w:eastAsia="Times New Roman" w:hAnsiTheme="minorHAnsi" w:cstheme="minorHAnsi"/>
                <w:bCs/>
                <w:color w:val="000000"/>
                <w:sz w:val="20"/>
                <w:szCs w:val="20"/>
              </w:rPr>
              <w:t>8</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Final Cut</w:t>
            </w: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168"/>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204</w:t>
            </w:r>
            <w:r w:rsidR="00CA76C4">
              <w:rPr>
                <w:rFonts w:asciiTheme="minorHAnsi" w:eastAsia="Times New Roman" w:hAnsiTheme="minorHAnsi" w:cstheme="minorHAnsi"/>
                <w:bCs/>
                <w:color w:val="000000"/>
                <w:sz w:val="20"/>
                <w:szCs w:val="20"/>
              </w:rPr>
              <w:t>6</w:t>
            </w:r>
          </w:p>
        </w:tc>
        <w:tc>
          <w:tcPr>
            <w:tcW w:w="72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0006"/>
                <w:sz w:val="20"/>
                <w:szCs w:val="20"/>
              </w:rPr>
              <w:t>PCTR</w:t>
            </w:r>
          </w:p>
        </w:tc>
        <w:tc>
          <w:tcPr>
            <w:tcW w:w="900" w:type="dxa"/>
            <w:tcBorders>
              <w:top w:val="single"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0006"/>
                <w:sz w:val="20"/>
                <w:szCs w:val="20"/>
              </w:rPr>
              <w:t>PCTR</w:t>
            </w: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9C0006"/>
                <w:sz w:val="20"/>
                <w:szCs w:val="20"/>
              </w:rPr>
              <w:t>prep cut/</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0006"/>
                <w:sz w:val="20"/>
                <w:szCs w:val="20"/>
              </w:rPr>
              <w:t>spraying</w:t>
            </w: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503"/>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205</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dotted"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0006"/>
                <w:sz w:val="20"/>
                <w:szCs w:val="20"/>
              </w:rPr>
              <w:t>PCTR</w:t>
            </w: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0006"/>
                <w:sz w:val="20"/>
                <w:szCs w:val="20"/>
              </w:rPr>
              <w:t>PCTR</w:t>
            </w:r>
          </w:p>
        </w:tc>
        <w:tc>
          <w:tcPr>
            <w:tcW w:w="108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Final Cut</w:t>
            </w: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p>
        </w:tc>
      </w:tr>
      <w:tr w:rsidR="00B45B60" w:rsidRPr="0083779F" w:rsidTr="00C369A7">
        <w:trPr>
          <w:trHeight w:val="176"/>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205</w:t>
            </w:r>
            <w:r w:rsidR="00CA76C4">
              <w:rPr>
                <w:rFonts w:asciiTheme="minorHAnsi" w:eastAsia="Times New Roman" w:hAnsiTheme="minorHAnsi" w:cstheme="minorHAnsi"/>
                <w:bCs/>
                <w:color w:val="000000"/>
                <w:sz w:val="20"/>
                <w:szCs w:val="20"/>
              </w:rPr>
              <w:t>6</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Final Cut</w:t>
            </w:r>
          </w:p>
        </w:tc>
        <w:tc>
          <w:tcPr>
            <w:tcW w:w="990" w:type="dxa"/>
            <w:tcBorders>
              <w:top w:val="single" w:sz="4" w:space="0" w:color="auto"/>
              <w:left w:val="dotted" w:sz="4" w:space="0" w:color="auto"/>
              <w:bottom w:val="single" w:sz="4" w:space="0" w:color="auto"/>
              <w:right w:val="dotted" w:sz="4" w:space="0" w:color="auto"/>
            </w:tcBorders>
            <w:shd w:val="clear" w:color="000000" w:fill="FFFFFF" w:themeFill="background1"/>
            <w:noWrap/>
            <w:vAlign w:val="bottom"/>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SMZ</w:t>
            </w:r>
          </w:p>
        </w:tc>
        <w:tc>
          <w:tcPr>
            <w:tcW w:w="990" w:type="dxa"/>
            <w:tcBorders>
              <w:top w:val="single" w:sz="4" w:space="0" w:color="auto"/>
              <w:left w:val="dotted" w:sz="4" w:space="0" w:color="auto"/>
              <w:bottom w:val="single" w:sz="4" w:space="0" w:color="auto"/>
              <w:right w:val="single"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SMZ</w:t>
            </w:r>
          </w:p>
        </w:tc>
      </w:tr>
      <w:tr w:rsidR="00B45B60" w:rsidRPr="0083779F" w:rsidTr="00C369A7">
        <w:trPr>
          <w:trHeight w:val="176"/>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206</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tcBorders>
            <w:shd w:val="clear" w:color="auto"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PCTR/</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900" w:type="dxa"/>
            <w:tcBorders>
              <w:top w:val="single" w:sz="4" w:space="0" w:color="auto"/>
              <w:bottom w:val="single" w:sz="4" w:space="0" w:color="auto"/>
              <w:right w:val="dotted" w:sz="4" w:space="0" w:color="auto"/>
            </w:tcBorders>
            <w:shd w:val="clear" w:color="auto"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PCTR/</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117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FFCC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0006"/>
                <w:sz w:val="20"/>
                <w:szCs w:val="20"/>
              </w:rPr>
              <w:t>prep spraying</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491"/>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207</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w:t>
            </w:r>
            <w:proofErr w:type="spellStart"/>
            <w:r>
              <w:rPr>
                <w:rFonts w:asciiTheme="minorHAnsi" w:eastAsia="Times New Roman" w:hAnsiTheme="minorHAnsi" w:cstheme="minorHAnsi"/>
                <w:color w:val="006100"/>
                <w:sz w:val="20"/>
                <w:szCs w:val="20"/>
              </w:rPr>
              <w:t>DoC</w:t>
            </w:r>
            <w:proofErr w:type="spellEnd"/>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000000" w:fill="FFFF99"/>
            <w:noWrap/>
            <w:vAlign w:val="center"/>
            <w:hideMark/>
          </w:tcPr>
          <w:p w:rsidR="00B45B60"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PCTR/</w:t>
            </w:r>
            <w:proofErr w:type="spellStart"/>
            <w:r>
              <w:rPr>
                <w:rFonts w:asciiTheme="minorHAnsi" w:eastAsia="Times New Roman" w:hAnsiTheme="minorHAnsi" w:cstheme="minorHAnsi"/>
                <w:color w:val="9C6500"/>
                <w:sz w:val="20"/>
                <w:szCs w:val="20"/>
              </w:rPr>
              <w:t>DoC</w:t>
            </w:r>
            <w:proofErr w:type="spellEnd"/>
            <w:r>
              <w:rPr>
                <w:rFonts w:asciiTheme="minorHAnsi" w:eastAsia="Times New Roman" w:hAnsiTheme="minorHAnsi" w:cstheme="minorHAnsi"/>
                <w:color w:val="9C6500"/>
                <w:sz w:val="20"/>
                <w:szCs w:val="20"/>
              </w:rPr>
              <w:t>/</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9C0006"/>
                <w:sz w:val="20"/>
                <w:szCs w:val="20"/>
              </w:rPr>
            </w:pPr>
            <w:r w:rsidRPr="00AB7C09">
              <w:rPr>
                <w:rFonts w:asciiTheme="minorHAnsi" w:eastAsia="Times New Roman" w:hAnsiTheme="minorHAnsi" w:cstheme="minorHAnsi"/>
                <w:color w:val="006100"/>
                <w:sz w:val="20"/>
                <w:szCs w:val="20"/>
              </w:rPr>
              <w:t>Final Cut</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SMZ</w:t>
            </w: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r>
      <w:tr w:rsidR="00B45B60" w:rsidRPr="0083779F" w:rsidTr="00C369A7">
        <w:trPr>
          <w:trHeight w:val="168"/>
        </w:trPr>
        <w:tc>
          <w:tcPr>
            <w:tcW w:w="63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207</w:t>
            </w:r>
            <w:r w:rsidR="00CA76C4">
              <w:rPr>
                <w:rFonts w:asciiTheme="minorHAnsi" w:eastAsia="Times New Roman" w:hAnsiTheme="minorHAnsi" w:cstheme="minorHAnsi"/>
                <w:bCs/>
                <w:color w:val="000000"/>
                <w:sz w:val="20"/>
                <w:szCs w:val="20"/>
              </w:rPr>
              <w:t>6</w:t>
            </w:r>
          </w:p>
        </w:tc>
        <w:tc>
          <w:tcPr>
            <w:tcW w:w="72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FFFF99"/>
            <w:noWrap/>
            <w:vAlign w:val="center"/>
            <w:hideMark/>
          </w:tcPr>
          <w:p w:rsidR="00B45B60"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CTR/</w:t>
            </w:r>
            <w:r>
              <w:rPr>
                <w:rFonts w:asciiTheme="minorHAnsi" w:eastAsia="Times New Roman" w:hAnsiTheme="minorHAnsi" w:cstheme="minorHAnsi"/>
                <w:color w:val="9C6500"/>
                <w:sz w:val="20"/>
                <w:szCs w:val="20"/>
              </w:rPr>
              <w:t xml:space="preserve"> </w:t>
            </w:r>
            <w:proofErr w:type="spellStart"/>
            <w:r>
              <w:rPr>
                <w:rFonts w:asciiTheme="minorHAnsi" w:eastAsia="Times New Roman" w:hAnsiTheme="minorHAnsi" w:cstheme="minorHAnsi"/>
                <w:color w:val="9C6500"/>
                <w:sz w:val="20"/>
                <w:szCs w:val="20"/>
              </w:rPr>
              <w:t>DoC</w:t>
            </w:r>
            <w:proofErr w:type="spellEnd"/>
            <w:r>
              <w:rPr>
                <w:rFonts w:asciiTheme="minorHAnsi" w:eastAsia="Times New Roman" w:hAnsiTheme="minorHAnsi" w:cstheme="minorHAnsi"/>
                <w:color w:val="9C6500"/>
                <w:sz w:val="20"/>
                <w:szCs w:val="20"/>
              </w:rPr>
              <w:t>/</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000000"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PCTR/</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990" w:type="dxa"/>
            <w:tcBorders>
              <w:top w:val="single" w:sz="4" w:space="0" w:color="auto"/>
              <w:left w:val="dotted" w:sz="4" w:space="0" w:color="auto"/>
              <w:bottom w:val="single" w:sz="4" w:space="0" w:color="auto"/>
              <w:right w:val="dotted" w:sz="4" w:space="0" w:color="auto"/>
            </w:tcBorders>
            <w:shd w:val="clear" w:color="auto"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PCTR/</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990" w:type="dxa"/>
            <w:tcBorders>
              <w:top w:val="single" w:sz="4" w:space="0" w:color="auto"/>
              <w:left w:val="dotted" w:sz="4" w:space="0" w:color="auto"/>
              <w:bottom w:val="single" w:sz="4" w:space="0" w:color="auto"/>
              <w:right w:val="dotted" w:sz="4" w:space="0" w:color="auto"/>
            </w:tcBorders>
            <w:shd w:val="clear" w:color="000000" w:fill="FFFFFF" w:themeFill="background1"/>
            <w:noWrap/>
            <w:vAlign w:val="bottom"/>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75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208</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CRT/</w:t>
            </w:r>
            <w:r>
              <w:rPr>
                <w:rFonts w:asciiTheme="minorHAnsi" w:eastAsia="Times New Roman" w:hAnsiTheme="minorHAnsi" w:cstheme="minorHAnsi"/>
                <w:color w:val="9C6500"/>
                <w:sz w:val="20"/>
                <w:szCs w:val="20"/>
              </w:rPr>
              <w:t xml:space="preserve"> </w:t>
            </w:r>
            <w:proofErr w:type="spellStart"/>
            <w:r>
              <w:rPr>
                <w:rFonts w:asciiTheme="minorHAnsi" w:eastAsia="Times New Roman" w:hAnsiTheme="minorHAnsi" w:cstheme="minorHAnsi"/>
                <w:color w:val="9C6500"/>
                <w:sz w:val="20"/>
                <w:szCs w:val="20"/>
              </w:rPr>
              <w:t>DoC</w:t>
            </w:r>
            <w:proofErr w:type="spellEnd"/>
            <w:r>
              <w:rPr>
                <w:rFonts w:asciiTheme="minorHAnsi" w:eastAsia="Times New Roman" w:hAnsiTheme="minorHAnsi" w:cstheme="minorHAnsi"/>
                <w:color w:val="9C6500"/>
                <w:sz w:val="20"/>
                <w:szCs w:val="20"/>
              </w:rPr>
              <w:t>/</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296"/>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209</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single"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w:t>
            </w:r>
            <w:proofErr w:type="spellStart"/>
            <w:r>
              <w:rPr>
                <w:rFonts w:asciiTheme="minorHAnsi" w:eastAsia="Times New Roman" w:hAnsiTheme="minorHAnsi" w:cstheme="minorHAnsi"/>
                <w:color w:val="006100"/>
                <w:sz w:val="20"/>
                <w:szCs w:val="20"/>
              </w:rPr>
              <w:t>DoC</w:t>
            </w:r>
            <w:proofErr w:type="spellEnd"/>
          </w:p>
        </w:tc>
        <w:tc>
          <w:tcPr>
            <w:tcW w:w="990" w:type="dxa"/>
            <w:tcBorders>
              <w:top w:val="single" w:sz="4" w:space="0" w:color="auto"/>
              <w:left w:val="dotted" w:sz="4" w:space="0" w:color="auto"/>
              <w:bottom w:val="single"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Final Cut</w:t>
            </w:r>
          </w:p>
        </w:tc>
        <w:tc>
          <w:tcPr>
            <w:tcW w:w="72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SMZ</w:t>
            </w:r>
          </w:p>
        </w:tc>
        <w:tc>
          <w:tcPr>
            <w:tcW w:w="990" w:type="dxa"/>
            <w:tcBorders>
              <w:top w:val="single" w:sz="4" w:space="0" w:color="auto"/>
              <w:left w:val="dotted" w:sz="4" w:space="0" w:color="auto"/>
              <w:bottom w:val="single" w:sz="4" w:space="0" w:color="auto"/>
              <w:right w:val="single"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SMZ</w:t>
            </w:r>
          </w:p>
        </w:tc>
      </w:tr>
      <w:tr w:rsidR="00B45B60" w:rsidRPr="0083779F" w:rsidTr="00C369A7">
        <w:trPr>
          <w:trHeight w:val="352"/>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209</w:t>
            </w:r>
            <w:r w:rsidR="00CA76C4">
              <w:rPr>
                <w:rFonts w:asciiTheme="minorHAnsi" w:eastAsia="Times New Roman" w:hAnsiTheme="minorHAnsi" w:cstheme="minorHAnsi"/>
                <w:bCs/>
                <w:color w:val="000000"/>
                <w:sz w:val="20"/>
                <w:szCs w:val="20"/>
              </w:rPr>
              <w:t>6</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w:t>
            </w:r>
            <w:proofErr w:type="spellStart"/>
            <w:r>
              <w:rPr>
                <w:rFonts w:asciiTheme="minorHAnsi" w:eastAsia="Times New Roman" w:hAnsiTheme="minorHAnsi" w:cstheme="minorHAnsi"/>
                <w:color w:val="006100"/>
                <w:sz w:val="20"/>
                <w:szCs w:val="20"/>
              </w:rPr>
              <w:t>DoC</w:t>
            </w:r>
            <w:proofErr w:type="spellEnd"/>
          </w:p>
        </w:tc>
        <w:tc>
          <w:tcPr>
            <w:tcW w:w="90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 xml:space="preserve">/ </w:t>
            </w:r>
            <w:proofErr w:type="spellStart"/>
            <w:r>
              <w:rPr>
                <w:rFonts w:asciiTheme="minorHAnsi" w:eastAsia="Times New Roman" w:hAnsiTheme="minorHAnsi" w:cstheme="minorHAnsi"/>
                <w:color w:val="006100"/>
                <w:sz w:val="20"/>
                <w:szCs w:val="20"/>
              </w:rPr>
              <w:t>DoC</w:t>
            </w:r>
            <w:proofErr w:type="spellEnd"/>
          </w:p>
        </w:tc>
        <w:tc>
          <w:tcPr>
            <w:tcW w:w="117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CRT/</w:t>
            </w:r>
            <w:r>
              <w:rPr>
                <w:rFonts w:asciiTheme="minorHAnsi" w:eastAsia="Times New Roman" w:hAnsiTheme="minorHAnsi" w:cstheme="minorHAnsi"/>
                <w:color w:val="006100"/>
                <w:sz w:val="20"/>
                <w:szCs w:val="20"/>
              </w:rPr>
              <w:t xml:space="preserve"> </w:t>
            </w:r>
            <w:proofErr w:type="spellStart"/>
            <w:r>
              <w:rPr>
                <w:rFonts w:asciiTheme="minorHAnsi" w:eastAsia="Times New Roman" w:hAnsiTheme="minorHAnsi" w:cstheme="minorHAnsi"/>
                <w:color w:val="006100"/>
                <w:sz w:val="20"/>
                <w:szCs w:val="20"/>
              </w:rPr>
              <w:t>DoC</w:t>
            </w:r>
            <w:proofErr w:type="spellEnd"/>
            <w:r>
              <w:rPr>
                <w:rFonts w:asciiTheme="minorHAnsi" w:eastAsia="Times New Roman" w:hAnsiTheme="minorHAnsi" w:cstheme="minorHAnsi"/>
                <w:color w:val="006100"/>
                <w:sz w:val="20"/>
                <w:szCs w:val="20"/>
              </w:rPr>
              <w:t>/</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 xml:space="preserve">reserve </w:t>
            </w:r>
            <w:r>
              <w:rPr>
                <w:rFonts w:asciiTheme="minorHAnsi" w:eastAsia="Times New Roman" w:hAnsiTheme="minorHAnsi" w:cstheme="minorHAnsi"/>
                <w:color w:val="006100"/>
                <w:sz w:val="20"/>
                <w:szCs w:val="20"/>
              </w:rPr>
              <w:t xml:space="preserve">tree </w:t>
            </w:r>
            <w:r w:rsidRPr="00AB7C09">
              <w:rPr>
                <w:rFonts w:asciiTheme="minorHAnsi" w:eastAsia="Times New Roman" w:hAnsiTheme="minorHAnsi" w:cstheme="minorHAnsi"/>
                <w:color w:val="006100"/>
                <w:sz w:val="20"/>
                <w:szCs w:val="20"/>
              </w:rPr>
              <w:t>cut</w:t>
            </w:r>
          </w:p>
        </w:tc>
        <w:tc>
          <w:tcPr>
            <w:tcW w:w="1080" w:type="dxa"/>
            <w:tcBorders>
              <w:top w:val="single" w:sz="4" w:space="0" w:color="auto"/>
              <w:left w:val="dotted" w:sz="4" w:space="0" w:color="auto"/>
              <w:bottom w:val="single" w:sz="4" w:space="0" w:color="auto"/>
              <w:right w:val="dotted" w:sz="4" w:space="0" w:color="auto"/>
            </w:tcBorders>
            <w:shd w:val="clear" w:color="000000"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CTR/</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99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CTR</w:t>
            </w:r>
          </w:p>
        </w:tc>
        <w:tc>
          <w:tcPr>
            <w:tcW w:w="990" w:type="dxa"/>
            <w:tcBorders>
              <w:top w:val="single" w:sz="4" w:space="0" w:color="auto"/>
              <w:left w:val="dotted" w:sz="4" w:space="0" w:color="auto"/>
              <w:bottom w:val="single" w:sz="4" w:space="0" w:color="auto"/>
              <w:right w:val="dotted" w:sz="4" w:space="0" w:color="auto"/>
            </w:tcBorders>
            <w:shd w:val="clear" w:color="auto" w:fill="FFFF99"/>
            <w:noWrap/>
            <w:vAlign w:val="center"/>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PCTR/</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900" w:type="dxa"/>
            <w:tcBorders>
              <w:top w:val="single" w:sz="4" w:space="0" w:color="auto"/>
              <w:left w:val="dotted" w:sz="4" w:space="0" w:color="auto"/>
              <w:bottom w:val="single" w:sz="4" w:space="0" w:color="auto"/>
              <w:right w:val="dotted"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r>
      <w:tr w:rsidR="00B45B60" w:rsidRPr="0083779F" w:rsidTr="00C369A7">
        <w:trPr>
          <w:trHeight w:val="18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210</w:t>
            </w:r>
            <w:r w:rsidR="00CA76C4">
              <w:rPr>
                <w:rFonts w:asciiTheme="minorHAnsi" w:eastAsia="Times New Roman" w:hAnsiTheme="minorHAnsi" w:cstheme="minorHAnsi"/>
                <w:bCs/>
                <w:color w:val="000000"/>
                <w:sz w:val="20"/>
                <w:szCs w:val="20"/>
              </w:rPr>
              <w:t>6</w:t>
            </w:r>
          </w:p>
        </w:tc>
        <w:tc>
          <w:tcPr>
            <w:tcW w:w="720" w:type="dxa"/>
            <w:tcBorders>
              <w:top w:val="single" w:sz="4" w:space="0" w:color="auto"/>
              <w:left w:val="single"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Final Cut</w:t>
            </w:r>
          </w:p>
        </w:tc>
        <w:tc>
          <w:tcPr>
            <w:tcW w:w="990" w:type="dxa"/>
            <w:tcBorders>
              <w:top w:val="single" w:sz="4" w:space="0" w:color="auto"/>
              <w:left w:val="dotted" w:sz="4" w:space="0" w:color="auto"/>
              <w:bottom w:val="single"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72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9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r>
      <w:tr w:rsidR="00B45B60" w:rsidRPr="0083779F" w:rsidTr="00C369A7">
        <w:trPr>
          <w:trHeight w:val="314"/>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B60" w:rsidRPr="00426DB5" w:rsidRDefault="00B45B60" w:rsidP="00CA76C4">
            <w:pPr>
              <w:spacing w:after="0" w:line="240" w:lineRule="auto"/>
              <w:jc w:val="right"/>
              <w:rPr>
                <w:rFonts w:asciiTheme="minorHAnsi" w:eastAsia="Times New Roman" w:hAnsiTheme="minorHAnsi" w:cstheme="minorHAnsi"/>
                <w:bCs/>
                <w:color w:val="000000"/>
                <w:sz w:val="20"/>
                <w:szCs w:val="20"/>
              </w:rPr>
            </w:pPr>
            <w:r w:rsidRPr="00426DB5">
              <w:rPr>
                <w:rFonts w:asciiTheme="minorHAnsi" w:eastAsia="Times New Roman" w:hAnsiTheme="minorHAnsi" w:cstheme="minorHAnsi"/>
                <w:bCs/>
                <w:color w:val="000000"/>
                <w:sz w:val="20"/>
                <w:szCs w:val="20"/>
              </w:rPr>
              <w:t>211</w:t>
            </w:r>
            <w:r w:rsidR="00CA76C4">
              <w:rPr>
                <w:rFonts w:asciiTheme="minorHAnsi" w:eastAsia="Times New Roman" w:hAnsiTheme="minorHAnsi" w:cstheme="minorHAnsi"/>
                <w:bCs/>
                <w:color w:val="000000"/>
                <w:sz w:val="20"/>
                <w:szCs w:val="20"/>
              </w:rPr>
              <w:t>1</w:t>
            </w:r>
          </w:p>
        </w:tc>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r w:rsidRPr="00AB7C09">
              <w:rPr>
                <w:rFonts w:asciiTheme="minorHAnsi" w:eastAsia="Times New Roman" w:hAnsiTheme="minorHAnsi" w:cstheme="minorHAnsi"/>
                <w:color w:val="006100"/>
                <w:sz w:val="20"/>
                <w:szCs w:val="20"/>
              </w:rPr>
              <w:t>CTR</w:t>
            </w:r>
            <w:r>
              <w:rPr>
                <w:rFonts w:asciiTheme="minorHAnsi" w:eastAsia="Times New Roman" w:hAnsiTheme="minorHAnsi" w:cstheme="minorHAnsi"/>
                <w:color w:val="006100"/>
                <w:sz w:val="20"/>
                <w:szCs w:val="20"/>
              </w:rPr>
              <w:t>/</w:t>
            </w:r>
            <w:proofErr w:type="spellStart"/>
            <w:r>
              <w:rPr>
                <w:rFonts w:asciiTheme="minorHAnsi" w:eastAsia="Times New Roman" w:hAnsiTheme="minorHAnsi" w:cstheme="minorHAnsi"/>
                <w:color w:val="006100"/>
                <w:sz w:val="20"/>
                <w:szCs w:val="20"/>
              </w:rPr>
              <w:t>DoC</w:t>
            </w:r>
            <w:proofErr w:type="spellEnd"/>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p>
        </w:tc>
        <w:tc>
          <w:tcPr>
            <w:tcW w:w="117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108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c>
          <w:tcPr>
            <w:tcW w:w="990" w:type="dxa"/>
            <w:tcBorders>
              <w:top w:val="single" w:sz="4" w:space="0" w:color="auto"/>
              <w:left w:val="dotted" w:sz="4" w:space="0" w:color="auto"/>
              <w:bottom w:val="single" w:sz="4" w:space="0" w:color="auto"/>
              <w:right w:val="dotted" w:sz="4" w:space="0" w:color="auto"/>
            </w:tcBorders>
            <w:shd w:val="clear" w:color="000000" w:fill="auto"/>
            <w:noWrap/>
            <w:vAlign w:val="bottom"/>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p>
        </w:tc>
        <w:tc>
          <w:tcPr>
            <w:tcW w:w="900" w:type="dxa"/>
            <w:tcBorders>
              <w:top w:val="single" w:sz="4" w:space="0" w:color="auto"/>
              <w:left w:val="dotted" w:sz="4" w:space="0" w:color="auto"/>
              <w:bottom w:val="single" w:sz="4" w:space="0" w:color="auto"/>
              <w:right w:val="dotted" w:sz="4" w:space="0" w:color="auto"/>
            </w:tcBorders>
            <w:shd w:val="clear" w:color="auto" w:fill="FFFF99"/>
            <w:noWrap/>
            <w:vAlign w:val="center"/>
            <w:hideMark/>
          </w:tcPr>
          <w:p w:rsidR="00B45B60" w:rsidRPr="00AB7C09" w:rsidRDefault="00B45B60" w:rsidP="00C369A7">
            <w:pPr>
              <w:spacing w:after="0" w:line="240" w:lineRule="auto"/>
              <w:rPr>
                <w:rFonts w:asciiTheme="minorHAnsi" w:eastAsia="Times New Roman" w:hAnsiTheme="minorHAnsi" w:cstheme="minorHAnsi"/>
                <w:color w:val="9C6500"/>
                <w:sz w:val="20"/>
                <w:szCs w:val="20"/>
              </w:rPr>
            </w:pPr>
            <w:r w:rsidRPr="00AB7C09">
              <w:rPr>
                <w:rFonts w:asciiTheme="minorHAnsi" w:eastAsia="Times New Roman" w:hAnsiTheme="minorHAnsi" w:cstheme="minorHAnsi"/>
                <w:color w:val="9C6500"/>
                <w:sz w:val="20"/>
                <w:szCs w:val="20"/>
              </w:rPr>
              <w:t>PCTR/</w:t>
            </w:r>
          </w:p>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9C6500"/>
                <w:sz w:val="20"/>
                <w:szCs w:val="20"/>
              </w:rPr>
              <w:t xml:space="preserve">reserve </w:t>
            </w:r>
            <w:r>
              <w:rPr>
                <w:rFonts w:asciiTheme="minorHAnsi" w:eastAsia="Times New Roman" w:hAnsiTheme="minorHAnsi" w:cstheme="minorHAnsi"/>
                <w:color w:val="9C6500"/>
                <w:sz w:val="20"/>
                <w:szCs w:val="20"/>
              </w:rPr>
              <w:t xml:space="preserve">tree </w:t>
            </w:r>
            <w:r w:rsidRPr="00AB7C09">
              <w:rPr>
                <w:rFonts w:asciiTheme="minorHAnsi" w:eastAsia="Times New Roman" w:hAnsiTheme="minorHAnsi" w:cstheme="minorHAnsi"/>
                <w:color w:val="9C6500"/>
                <w:sz w:val="20"/>
                <w:szCs w:val="20"/>
              </w:rPr>
              <w:t>cut</w:t>
            </w:r>
          </w:p>
        </w:tc>
        <w:tc>
          <w:tcPr>
            <w:tcW w:w="720" w:type="dxa"/>
            <w:tcBorders>
              <w:top w:val="single" w:sz="4" w:space="0" w:color="auto"/>
              <w:left w:val="dotted" w:sz="4" w:space="0" w:color="auto"/>
              <w:bottom w:val="single" w:sz="4" w:space="0" w:color="auto"/>
              <w:right w:val="dotted" w:sz="4" w:space="0" w:color="auto"/>
            </w:tcBorders>
            <w:shd w:val="clear" w:color="000000" w:fill="CCFFCC"/>
            <w:noWrap/>
            <w:vAlign w:val="center"/>
            <w:hideMark/>
          </w:tcPr>
          <w:p w:rsidR="00B45B60" w:rsidRPr="00AB7C09" w:rsidRDefault="00B45B60" w:rsidP="00C369A7">
            <w:pPr>
              <w:spacing w:after="0" w:line="240" w:lineRule="auto"/>
              <w:rPr>
                <w:rFonts w:asciiTheme="minorHAnsi" w:eastAsia="Times New Roman" w:hAnsiTheme="minorHAnsi" w:cstheme="minorHAnsi"/>
                <w:color w:val="000000"/>
                <w:sz w:val="20"/>
                <w:szCs w:val="20"/>
              </w:rPr>
            </w:pPr>
            <w:r w:rsidRPr="00AB7C09">
              <w:rPr>
                <w:rFonts w:asciiTheme="minorHAnsi" w:eastAsia="Times New Roman" w:hAnsiTheme="minorHAnsi" w:cstheme="minorHAnsi"/>
                <w:color w:val="006100"/>
                <w:sz w:val="20"/>
                <w:szCs w:val="20"/>
              </w:rPr>
              <w:t>SMZ</w:t>
            </w:r>
          </w:p>
        </w:tc>
        <w:tc>
          <w:tcPr>
            <w:tcW w:w="990" w:type="dxa"/>
            <w:tcBorders>
              <w:top w:val="single" w:sz="4" w:space="0" w:color="auto"/>
              <w:left w:val="dotted" w:sz="4" w:space="0" w:color="auto"/>
              <w:bottom w:val="single" w:sz="4" w:space="0" w:color="auto"/>
              <w:right w:val="single" w:sz="4" w:space="0" w:color="auto"/>
            </w:tcBorders>
            <w:shd w:val="clear" w:color="000000" w:fill="auto"/>
            <w:noWrap/>
            <w:vAlign w:val="center"/>
            <w:hideMark/>
          </w:tcPr>
          <w:p w:rsidR="00B45B60" w:rsidRPr="00AB7C09" w:rsidRDefault="00B45B60" w:rsidP="00C369A7">
            <w:pPr>
              <w:spacing w:after="0" w:line="240" w:lineRule="auto"/>
              <w:rPr>
                <w:rFonts w:asciiTheme="minorHAnsi" w:eastAsia="Times New Roman" w:hAnsiTheme="minorHAnsi" w:cstheme="minorHAnsi"/>
                <w:color w:val="006100"/>
                <w:sz w:val="20"/>
                <w:szCs w:val="20"/>
              </w:rPr>
            </w:pPr>
          </w:p>
        </w:tc>
      </w:tr>
    </w:tbl>
    <w:p w:rsidR="009450A1" w:rsidRDefault="009450A1" w:rsidP="00B45B60">
      <w:pPr>
        <w:spacing w:line="480" w:lineRule="auto"/>
        <w:ind w:firstLine="720"/>
      </w:pPr>
      <w:r w:rsidRPr="003678BB">
        <w:lastRenderedPageBreak/>
        <w:t xml:space="preserve">In the years following the initial regeneration harvest, the silvicultural system modeled for all stands was conceptualized to be analogous to the less frequent, higher post-harvest retention even-age scenario found by </w:t>
      </w:r>
      <w:proofErr w:type="spellStart"/>
      <w:r w:rsidRPr="003678BB">
        <w:t>Nunery</w:t>
      </w:r>
      <w:proofErr w:type="spellEnd"/>
      <w:r w:rsidRPr="003678BB">
        <w:t xml:space="preserve"> and Keeton </w:t>
      </w:r>
      <w:r w:rsidRPr="003678BB">
        <w:fldChar w:fldCharType="begin"/>
      </w:r>
      <w:r w:rsidRPr="003678BB">
        <w:instrText xml:space="preserve"> ADDIN EN.CITE &lt;EndNote&gt;&lt;Cite ExcludeAuth="1"&gt;&lt;Author&gt;Nunery&lt;/Author&gt;&lt;Year&gt;2010&lt;/Year&gt;&lt;RecNum&gt;271&lt;/RecNum&gt;&lt;DisplayText&gt;(2010)&lt;/DisplayText&gt;&lt;record&gt;&lt;rec-number&gt;271&lt;/rec-number&gt;&lt;foreign-keys&gt;&lt;key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sidRPr="003678BB">
        <w:fldChar w:fldCharType="separate"/>
      </w:r>
      <w:r w:rsidRPr="003678BB">
        <w:t>(</w:t>
      </w:r>
      <w:hyperlink w:anchor="_ENREF_107" w:tooltip="Nunery, 2010 #271" w:history="1">
        <w:r w:rsidR="001E4C88" w:rsidRPr="00DF1366">
          <w:t>2010</w:t>
        </w:r>
      </w:hyperlink>
      <w:r w:rsidRPr="003678BB">
        <w:t>)</w:t>
      </w:r>
      <w:r w:rsidRPr="003678BB">
        <w:fldChar w:fldCharType="end"/>
      </w:r>
      <w:r w:rsidRPr="003678BB">
        <w:t xml:space="preserve"> to sequester more carbon than conventional even-age forestry.  Specifically, the irregular shelterwood method was employed with an overall even-age approach, in lieu of the two-aged approach as defined by Stringer </w:t>
      </w:r>
      <w:r w:rsidRPr="003678BB">
        <w:fldChar w:fldCharType="begin"/>
      </w:r>
      <w:r w:rsidRPr="003678BB">
        <w:instrText xml:space="preserve"> ADDIN EN.CITE &lt;EndNote&gt;&lt;Cite ExcludeAuth="1"&gt;&lt;Author&gt;Stringer&lt;/Author&gt;&lt;Year&gt;2006&lt;/Year&gt;&lt;RecNum&gt;260&lt;/RecNum&gt;&lt;DisplayText&gt;(2006)&lt;/DisplayText&gt;&lt;record&gt;&lt;rec-number&gt;260&lt;/rec-number&gt;&lt;foreign-keys&gt;&lt;key app="EN" db-id="a90s5zadewrawxeer07v2f90xr5vxv022sat"&gt;260&lt;/key&gt;&lt;/foreign-keys&gt;&lt;ref-type name="Report"&gt;27&lt;/ref-type&gt;&lt;contributors&gt;&lt;authors&gt;&lt;author&gt;Jeff W. Stringer&lt;/author&gt;&lt;/authors&gt;&lt;secondary-authors&gt;&lt;author&gt;Jeff W. Stringer&lt;/author&gt;&lt;author&gt;Wayne K. Clatterbuck&lt;/author&gt;&lt;/secondary-authors&gt;&lt;/contributors&gt;&lt;titles&gt;&lt;title&gt;Two-age system and deferment harvests&lt;/title&gt;&lt;secondary-title&gt;Professional Hardwood Notes&lt;/secondary-title&gt;&lt;/titles&gt;&lt;pages&gt;12&lt;/pages&gt;&lt;volume&gt;FOR-103&lt;/volume&gt;&lt;dates&gt;&lt;year&gt;2006&lt;/year&gt;&lt;/dates&gt;&lt;publisher&gt;University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rsidRPr="003678BB">
        <w:fldChar w:fldCharType="separate"/>
      </w:r>
      <w:r w:rsidRPr="003678BB">
        <w:t>(</w:t>
      </w:r>
      <w:hyperlink w:anchor="_ENREF_134" w:tooltip="Stringer, 2006 #260" w:history="1">
        <w:r w:rsidR="001E4C88" w:rsidRPr="00DF1366">
          <w:t>2006</w:t>
        </w:r>
      </w:hyperlink>
      <w:r w:rsidRPr="003678BB">
        <w:t>)</w:t>
      </w:r>
      <w:r w:rsidRPr="003678BB">
        <w:fldChar w:fldCharType="end"/>
      </w:r>
      <w:r w:rsidRPr="003678BB">
        <w:t>.  This system embodies the widely recognized shelterwood harvest</w:t>
      </w:r>
      <w:r>
        <w:t xml:space="preserve"> method</w:t>
      </w:r>
      <w:r w:rsidRPr="003678BB">
        <w:t xml:space="preserve"> espoused by </w:t>
      </w:r>
      <w:proofErr w:type="spellStart"/>
      <w:r w:rsidRPr="003678BB">
        <w:t>Loftis</w:t>
      </w:r>
      <w:proofErr w:type="spellEnd"/>
      <w:r w:rsidRPr="003678BB">
        <w:t xml:space="preserve"> </w:t>
      </w:r>
      <w:r w:rsidRPr="003678BB">
        <w:fldChar w:fldCharType="begin"/>
      </w:r>
      <w:r w:rsidRPr="003678BB">
        <w:instrText xml:space="preserve"> ADDIN EN.CITE &lt;EndNote&gt;&lt;Cite ExcludeAuth="1"&gt;&lt;Author&gt;Loftis&lt;/Author&gt;&lt;Year&gt;1990&lt;/Year&gt;&lt;RecNum&gt;135&lt;/RecNum&gt;&lt;DisplayText&gt;(1990)&lt;/DisplayText&gt;&lt;record&gt;&lt;rec-number&gt;135&lt;/rec-number&gt;&lt;foreign-keys&gt;&lt;key app="EN" db-id="a90s5zadewrawxeer07v2f90xr5vxv022sat"&gt;135&lt;/key&gt;&lt;/foreign-keys&gt;&lt;ref-type name="Journal Article"&gt;17&lt;/ref-type&gt;&lt;contributors&gt;&lt;authors&gt;&lt;author&gt;Loftis, David L.&lt;/author&gt;&lt;/authors&gt;&lt;/contributors&gt;&lt;titles&gt;&lt;title&gt;A Shelterwood Method for Regenerating Red Oak in the Southern Appalachians&lt;/title&gt;&lt;secondary-title&gt;Forest Science&lt;/secondary-title&gt;&lt;/titles&gt;&lt;periodical&gt;&lt;full-title&gt;Forest Science&lt;/full-title&gt;&lt;/periodical&gt;&lt;pages&gt;917-929&lt;/pages&gt;&lt;volume&gt;36&lt;/volume&gt;&lt;dates&gt;&lt;year&gt;1990&lt;/year&gt;&lt;/dates&gt;&lt;urls&gt;&lt;related-urls&gt;&lt;url&gt;http://www.ingentaconnect.com/content/saf/fs/1990/00000036/00000004/art00008&lt;/url&gt;&lt;/related-urls&gt;&lt;/urls&gt;&lt;/record&gt;&lt;/Cite&gt;&lt;/EndNote&gt;</w:instrText>
      </w:r>
      <w:r w:rsidRPr="003678BB">
        <w:fldChar w:fldCharType="separate"/>
      </w:r>
      <w:r w:rsidRPr="003678BB">
        <w:t>(</w:t>
      </w:r>
      <w:hyperlink w:anchor="_ENREF_88" w:tooltip="Loftis, 1990 #135" w:history="1">
        <w:r w:rsidR="001E4C88" w:rsidRPr="00DF1366">
          <w:t>1990</w:t>
        </w:r>
      </w:hyperlink>
      <w:r w:rsidRPr="003678BB">
        <w:t>)</w:t>
      </w:r>
      <w:r w:rsidRPr="003678BB">
        <w:fldChar w:fldCharType="end"/>
      </w:r>
      <w:r w:rsidRPr="003678BB">
        <w:t>, which calls for specific basal area reductions from the understory to midstory</w:t>
      </w:r>
      <w:r w:rsidRPr="009450A1">
        <w:t xml:space="preserve"> </w:t>
      </w:r>
      <w:r w:rsidRPr="006A3DAD">
        <w:t>in order to bolster oak advance-regeneration development.  Simulated prescriptions generally followed the guidelines for a shelterwood cutting sequence while retaining 10-15 ft</w:t>
      </w:r>
      <w:r w:rsidRPr="006A3DAD">
        <w:rPr>
          <w:vertAlign w:val="superscript"/>
        </w:rPr>
        <w:t>2</w:t>
      </w:r>
      <w:r w:rsidRPr="006A3DAD">
        <w:t xml:space="preserve"> ac</w:t>
      </w:r>
      <w:r w:rsidRPr="006A3DAD">
        <w:rPr>
          <w:vertAlign w:val="superscript"/>
        </w:rPr>
        <w:t>-1</w:t>
      </w:r>
      <w:r w:rsidRPr="006A3DAD">
        <w:t xml:space="preserve"> of basal area (BA) in healthy</w:t>
      </w:r>
      <w:r>
        <w:t xml:space="preserve"> sawtimber trees after overstory removals as recommended by Stringer </w:t>
      </w:r>
      <w:r>
        <w:fldChar w:fldCharType="begin"/>
      </w:r>
      <w:r>
        <w:instrText xml:space="preserve"> ADDIN EN.CITE &lt;EndNote&gt;&lt;Cite ExcludeAuth="1"&gt;&lt;Author&gt;Stringer&lt;/Author&gt;&lt;Year&gt;2006&lt;/Year&gt;&lt;RecNum&gt;260&lt;/RecNum&gt;&lt;DisplayText&gt;(2006)&lt;/DisplayText&gt;&lt;record&gt;&lt;rec-number&gt;260&lt;/rec-number&gt;&lt;foreign-keys&gt;&lt;key app="EN" db-id="a90s5zadewrawxeer07v2f90xr5vxv022sat"&gt;260&lt;/key&gt;&lt;/foreign-keys&gt;&lt;ref-type name="Report"&gt;27&lt;/ref-type&gt;&lt;contributors&gt;&lt;authors&gt;&lt;author&gt;Jeff W. Stringer&lt;/author&gt;&lt;/authors&gt;&lt;secondary-authors&gt;&lt;author&gt;Jeff W. Stringer&lt;/author&gt;&lt;author&gt;Wayne K. Clatterbuck&lt;/author&gt;&lt;/secondary-authors&gt;&lt;/contributors&gt;&lt;titles&gt;&lt;title&gt;Two-age system and deferment harvests&lt;/title&gt;&lt;secondary-title&gt;Professional Hardwood Notes&lt;/secondary-title&gt;&lt;/titles&gt;&lt;pages&gt;12&lt;/pages&gt;&lt;volume&gt;FOR-103&lt;/volume&gt;&lt;dates&gt;&lt;year&gt;2006&lt;/year&gt;&lt;/dates&gt;&lt;publisher&gt;University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fldChar w:fldCharType="separate"/>
      </w:r>
      <w:r>
        <w:rPr>
          <w:noProof/>
        </w:rPr>
        <w:t>(</w:t>
      </w:r>
      <w:hyperlink w:anchor="_ENREF_134" w:tooltip="Stringer, 2006 #260" w:history="1">
        <w:r w:rsidR="001E4C88">
          <w:rPr>
            <w:noProof/>
          </w:rPr>
          <w:t>2006</w:t>
        </w:r>
      </w:hyperlink>
      <w:r>
        <w:rPr>
          <w:noProof/>
        </w:rPr>
        <w:t>)</w:t>
      </w:r>
      <w:r>
        <w:fldChar w:fldCharType="end"/>
      </w:r>
      <w:r>
        <w:t xml:space="preserve">.  Instead of implementing the two-age system, whereby all reserve trees would be held for another full rotation, reserve trees were cut back to 10 </w:t>
      </w:r>
      <w:r w:rsidRPr="00C04126">
        <w:rPr>
          <w:rFonts w:asciiTheme="minorHAnsi" w:hAnsiTheme="minorHAnsi" w:cstheme="minorHAnsi"/>
        </w:rPr>
        <w:t>ft</w:t>
      </w:r>
      <w:r w:rsidRPr="00C04126">
        <w:rPr>
          <w:rFonts w:asciiTheme="minorHAnsi" w:hAnsiTheme="minorHAnsi" w:cstheme="minorHAnsi"/>
          <w:vertAlign w:val="superscript"/>
        </w:rPr>
        <w:t>2</w:t>
      </w:r>
      <w:r>
        <w:t xml:space="preserve"> ac</w:t>
      </w:r>
      <w:r w:rsidRPr="00C04126">
        <w:rPr>
          <w:vertAlign w:val="superscript"/>
        </w:rPr>
        <w:t>-1</w:t>
      </w:r>
      <w:r>
        <w:t xml:space="preserve"> BA or completely removed during thinnings begun at ages 20-30.</w:t>
      </w:r>
    </w:p>
    <w:p w:rsidR="00531D08" w:rsidRPr="00B45B60" w:rsidRDefault="00C04126" w:rsidP="00B45B60">
      <w:pPr>
        <w:spacing w:line="480" w:lineRule="auto"/>
        <w:ind w:firstLine="720"/>
        <w:rPr>
          <w:bCs/>
        </w:rPr>
      </w:pPr>
      <w:r>
        <w:t>Doing so alleviated</w:t>
      </w:r>
      <w:r w:rsidRPr="003222D1">
        <w:t xml:space="preserve"> overstocked conditions </w:t>
      </w:r>
      <w:r>
        <w:t>that</w:t>
      </w:r>
      <w:r w:rsidRPr="003222D1">
        <w:t xml:space="preserve"> </w:t>
      </w:r>
      <w:r>
        <w:t>elevated</w:t>
      </w:r>
      <w:r w:rsidRPr="003222D1">
        <w:t xml:space="preserve"> stand mortality rates</w:t>
      </w:r>
      <w:r>
        <w:t xml:space="preserve">, </w:t>
      </w:r>
      <w:r w:rsidR="00426DB5">
        <w:t xml:space="preserve">thereby </w:t>
      </w:r>
      <w:r>
        <w:t>enhancing subsequent growth rates.  Reserve tree removals also</w:t>
      </w:r>
      <w:r w:rsidRPr="002952FB">
        <w:t xml:space="preserve"> </w:t>
      </w:r>
      <w:r>
        <w:t xml:space="preserve">captured revenues that helped finance </w:t>
      </w:r>
      <w:r w:rsidR="00426DB5">
        <w:t xml:space="preserve">cultural </w:t>
      </w:r>
      <w:r>
        <w:t>treatment</w:t>
      </w:r>
      <w:r w:rsidR="00426DB5">
        <w:t>s</w:t>
      </w:r>
      <w:r>
        <w:t>.  Note that this revenue would have otherwise not been realized (i.e. under a two-age system) since none of these stands received a second final harvest in the duration of the project.  While standing</w:t>
      </w:r>
      <w:r w:rsidRPr="00A64CC8">
        <w:t xml:space="preserve">, the carbon stocks in reserve trees </w:t>
      </w:r>
      <w:r>
        <w:t xml:space="preserve">helped </w:t>
      </w:r>
      <w:r w:rsidRPr="00A64CC8">
        <w:t>buffer carbon losses from harvests and hasten</w:t>
      </w:r>
      <w:r>
        <w:t>ed</w:t>
      </w:r>
      <w:r w:rsidRPr="00A64CC8">
        <w:t xml:space="preserve"> the recovery of forest carbon stocks to baseline levels.</w:t>
      </w:r>
      <w:r>
        <w:t xml:space="preserve">  Reserve trees were assumed not to be severely wounded or knocked down in logging operations and assumed healthy enough to resist damaging agents; though, some mortality occurred over time because the </w:t>
      </w:r>
      <w:proofErr w:type="spellStart"/>
      <w:r>
        <w:t>Sn</w:t>
      </w:r>
      <w:proofErr w:type="spellEnd"/>
      <w:r>
        <w:t>-variant applies some amount of mortality however small to all trees in each cycle.</w:t>
      </w:r>
      <w:r w:rsidR="009A1EC3">
        <w:t xml:space="preserve"> </w:t>
      </w:r>
      <w:r w:rsidR="009A1EC3" w:rsidRPr="009A1EC3">
        <w:rPr>
          <w:bCs/>
        </w:rPr>
        <w:t xml:space="preserve"> </w:t>
      </w:r>
      <w:r w:rsidR="009A1EC3">
        <w:rPr>
          <w:bCs/>
        </w:rPr>
        <w:t>Each final harvest was extended beyond the nu</w:t>
      </w:r>
      <w:r w:rsidR="002F6F7B">
        <w:rPr>
          <w:bCs/>
        </w:rPr>
        <w:t>mber of years-to-maturity (see a</w:t>
      </w:r>
      <w:r w:rsidR="009A1EC3">
        <w:rPr>
          <w:bCs/>
        </w:rPr>
        <w:t>ppendix B) indicated at project inception by the Silviculture for Allegheny Hardwoods (SILVAH) decision support system’s equations, which define maturity as stands with an 18</w:t>
      </w:r>
      <w:r w:rsidR="009A1EC3">
        <w:rPr>
          <w:rFonts w:cs="Calibri"/>
          <w:bCs/>
        </w:rPr>
        <w:t>″</w:t>
      </w:r>
      <w:r w:rsidR="009A1EC3">
        <w:rPr>
          <w:bCs/>
        </w:rPr>
        <w:t xml:space="preserve"> BA-weighted arithmetic mean DBH of merchantable trees (or MDM).  According to this years-to-maturity </w:t>
      </w:r>
      <w:r w:rsidR="009C341B">
        <w:rPr>
          <w:bCs/>
        </w:rPr>
        <w:t xml:space="preserve">(YTM) </w:t>
      </w:r>
      <w:r w:rsidR="009A1EC3">
        <w:rPr>
          <w:bCs/>
        </w:rPr>
        <w:t xml:space="preserve">metric, overstory harvest deferments were approximately 10, 20, or (in one </w:t>
      </w:r>
      <w:r w:rsidR="009A1EC3">
        <w:rPr>
          <w:bCs/>
        </w:rPr>
        <w:lastRenderedPageBreak/>
        <w:t xml:space="preserve">case) 50 years.  In addition, pre-harvest stand-MDMs are provided for each final harvest year in </w:t>
      </w:r>
      <w:r w:rsidR="002F6F7B">
        <w:rPr>
          <w:bCs/>
        </w:rPr>
        <w:t>a</w:t>
      </w:r>
      <w:r w:rsidR="009A1EC3">
        <w:rPr>
          <w:bCs/>
        </w:rPr>
        <w:t>ppendix B, demonstrating the extent of such deferments (</w:t>
      </w:r>
      <w:r w:rsidR="00BE7216">
        <w:rPr>
          <w:bCs/>
        </w:rPr>
        <w:t>i.e. increments beyond</w:t>
      </w:r>
      <w:r w:rsidR="009A1EC3">
        <w:rPr>
          <w:bCs/>
        </w:rPr>
        <w:t xml:space="preserve"> the 18</w:t>
      </w:r>
      <w:r w:rsidR="009A1EC3">
        <w:rPr>
          <w:rFonts w:cs="Calibri"/>
          <w:bCs/>
        </w:rPr>
        <w:t>″ MDM defining stand maturity)</w:t>
      </w:r>
      <w:r w:rsidR="009A1EC3">
        <w:rPr>
          <w:bCs/>
        </w:rPr>
        <w:t>.</w:t>
      </w:r>
      <w:r w:rsidR="004D7724">
        <w:rPr>
          <w:bCs/>
        </w:rPr>
        <w:t xml:space="preserve">  One stand (ER4) was harvested just before achieving an 18</w:t>
      </w:r>
      <w:r w:rsidR="004D7724">
        <w:rPr>
          <w:rFonts w:cs="Calibri"/>
          <w:bCs/>
        </w:rPr>
        <w:t>″ MDM</w:t>
      </w:r>
      <w:r w:rsidR="009C341B">
        <w:rPr>
          <w:rFonts w:cs="Calibri"/>
          <w:bCs/>
        </w:rPr>
        <w:t xml:space="preserve"> but after the </w:t>
      </w:r>
      <w:r w:rsidR="009C341B">
        <w:rPr>
          <w:bCs/>
        </w:rPr>
        <w:t>YTM-implied harvest date</w:t>
      </w:r>
      <w:r w:rsidR="004D7724">
        <w:rPr>
          <w:bCs/>
        </w:rPr>
        <w:t xml:space="preserve">.  </w:t>
      </w:r>
      <w:r w:rsidR="005A598A">
        <w:rPr>
          <w:bCs/>
        </w:rPr>
        <w:t>This circumstance is consistent with SILVAH guidance for mixed-oak stands, which suggests an MDM as low as 15</w:t>
      </w:r>
      <w:r w:rsidR="005A598A">
        <w:rPr>
          <w:rFonts w:cs="Calibri"/>
          <w:bCs/>
        </w:rPr>
        <w:t>″ for such</w:t>
      </w:r>
      <w:r w:rsidR="005A598A">
        <w:rPr>
          <w:bCs/>
        </w:rPr>
        <w:t xml:space="preserve"> fair-quality</w:t>
      </w:r>
      <w:r w:rsidR="009C341B">
        <w:rPr>
          <w:bCs/>
        </w:rPr>
        <w:t xml:space="preserve"> </w:t>
      </w:r>
      <w:r w:rsidR="005A598A">
        <w:rPr>
          <w:bCs/>
        </w:rPr>
        <w:t xml:space="preserve">dry oak </w:t>
      </w:r>
      <w:r w:rsidR="009C341B">
        <w:rPr>
          <w:bCs/>
        </w:rPr>
        <w:t>stand</w:t>
      </w:r>
      <w:r w:rsidR="005A598A">
        <w:rPr>
          <w:bCs/>
        </w:rPr>
        <w:t>s.</w:t>
      </w:r>
    </w:p>
    <w:p w:rsidR="00C04126" w:rsidRPr="00C04126" w:rsidRDefault="00C04126" w:rsidP="00C04126">
      <w:pPr>
        <w:numPr>
          <w:ilvl w:val="3"/>
          <w:numId w:val="16"/>
        </w:numPr>
        <w:spacing w:line="480" w:lineRule="auto"/>
        <w:rPr>
          <w:b/>
          <w:bCs/>
          <w:i/>
        </w:rPr>
      </w:pPr>
      <w:r w:rsidRPr="00C04126">
        <w:rPr>
          <w:b/>
          <w:bCs/>
          <w:i/>
        </w:rPr>
        <w:t>Immature Oak Management Prescriptions and Silvicultural Rationale</w:t>
      </w:r>
    </w:p>
    <w:p w:rsidR="00B95342" w:rsidRDefault="006979E8" w:rsidP="003858A0">
      <w:pPr>
        <w:spacing w:line="480" w:lineRule="auto"/>
        <w:ind w:firstLine="720"/>
        <w:rPr>
          <w:rFonts w:asciiTheme="minorHAnsi" w:hAnsiTheme="minorHAnsi" w:cstheme="minorHAnsi"/>
          <w:lang w:val="en"/>
        </w:rPr>
      </w:pPr>
      <w:proofErr w:type="spellStart"/>
      <w:r>
        <w:rPr>
          <w:rFonts w:asciiTheme="minorHAnsi" w:hAnsiTheme="minorHAnsi" w:cstheme="minorHAnsi"/>
          <w:lang w:val="en"/>
        </w:rPr>
        <w:t>C</w:t>
      </w:r>
      <w:r w:rsidR="00FE7404">
        <w:rPr>
          <w:rFonts w:asciiTheme="minorHAnsi" w:hAnsiTheme="minorHAnsi" w:cstheme="minorHAnsi"/>
          <w:lang w:val="en"/>
        </w:rPr>
        <w:t>odominant</w:t>
      </w:r>
      <w:proofErr w:type="spellEnd"/>
      <w:r w:rsidR="00FE7404" w:rsidRPr="00CB0227">
        <w:rPr>
          <w:rFonts w:asciiTheme="minorHAnsi" w:hAnsiTheme="minorHAnsi" w:cstheme="minorHAnsi"/>
          <w:lang w:val="en"/>
        </w:rPr>
        <w:t xml:space="preserve"> saplings that regress to the intermediate canopy class have a small chance of long-term survival without regaining a competitive canopy position</w:t>
      </w:r>
      <w:r w:rsidR="00581978">
        <w:rPr>
          <w:rFonts w:asciiTheme="minorHAnsi" w:hAnsiTheme="minorHAnsi" w:cstheme="minorHAnsi"/>
          <w:lang w:val="en"/>
        </w:rPr>
        <w:t xml:space="preserve"> with the help of human or natural disturbances</w:t>
      </w:r>
      <w:r w:rsidR="00FE7404" w:rsidRPr="00CB0227">
        <w:rPr>
          <w:rFonts w:asciiTheme="minorHAnsi" w:hAnsiTheme="minorHAnsi" w:cstheme="minorHAnsi"/>
          <w:lang w:val="en"/>
        </w:rPr>
        <w:t xml:space="preserve"> </w:t>
      </w:r>
      <w:r w:rsidR="00FE7404" w:rsidRPr="00CB0227">
        <w:rPr>
          <w:rFonts w:asciiTheme="minorHAnsi" w:hAnsiTheme="minorHAnsi" w:cstheme="minorHAnsi"/>
          <w:lang w:val="en"/>
        </w:rPr>
        <w:fldChar w:fldCharType="begin"/>
      </w:r>
      <w:r w:rsidR="00A87D07">
        <w:rPr>
          <w:rFonts w:asciiTheme="minorHAnsi" w:hAnsiTheme="minorHAnsi" w:cstheme="minorHAnsi"/>
          <w:lang w:val="en"/>
        </w:rPr>
        <w:instrText xml:space="preserve"> ADDIN EN.CITE &lt;EndNote&gt;&lt;Cite&gt;&lt;Author&gt;Trimble&lt;/Author&gt;&lt;Year&gt;1974&lt;/Year&gt;&lt;RecNum&gt;151&lt;/RecNum&gt;&lt;DisplayText&gt;(Trimble 1974)&lt;/DisplayText&gt;&lt;record&gt;&lt;rec-number&gt;151&lt;/rec-number&gt;&lt;foreign-keys&gt;&lt;key app="EN" db-id="a90s5zadewrawxeer07v2f90xr5vxv022sat"&gt;151&lt;/key&gt;&lt;/foreign-keys&gt;&lt;ref-type name="Report"&gt;27&lt;/ref-type&gt;&lt;contributors&gt;&lt;authors&gt;&lt;author&gt;Trimble, G. R., Jr.&lt;/author&gt;&lt;/authors&gt;&lt;/contributors&gt;&lt;titles&gt;&lt;title&gt;Response to crop-tree release by 7-year-old stems of red maple stump sprouts and northern red oak advance reproduction. Res. Pap. NE-303. Upper Darby, PA: U.S. Department of Agriculture, Forest Service, Northeastern Forest Experiment Station. 6p.&lt;/title&gt;&lt;/titles&gt;&lt;dates&gt;&lt;year&gt;1974&lt;/year&gt;&lt;/dates&gt;&lt;urls&gt;&lt;/urls&gt;&lt;/record&gt;&lt;/Cite&gt;&lt;/EndNote&gt;</w:instrText>
      </w:r>
      <w:r w:rsidR="00FE7404" w:rsidRPr="00CB0227">
        <w:rPr>
          <w:rFonts w:asciiTheme="minorHAnsi" w:hAnsiTheme="minorHAnsi" w:cstheme="minorHAnsi"/>
          <w:lang w:val="en"/>
        </w:rPr>
        <w:fldChar w:fldCharType="separate"/>
      </w:r>
      <w:r w:rsidR="00A87D07">
        <w:rPr>
          <w:rFonts w:asciiTheme="minorHAnsi" w:hAnsiTheme="minorHAnsi" w:cstheme="minorHAnsi"/>
          <w:noProof/>
          <w:lang w:val="en"/>
        </w:rPr>
        <w:t>(</w:t>
      </w:r>
      <w:hyperlink w:anchor="_ENREF_138" w:tooltip="Trimble, 1974 #151" w:history="1">
        <w:r w:rsidR="001E4C88">
          <w:rPr>
            <w:rFonts w:asciiTheme="minorHAnsi" w:hAnsiTheme="minorHAnsi" w:cstheme="minorHAnsi"/>
            <w:noProof/>
            <w:lang w:val="en"/>
          </w:rPr>
          <w:t>Trimble 1974</w:t>
        </w:r>
      </w:hyperlink>
      <w:r w:rsidR="00A87D07">
        <w:rPr>
          <w:rFonts w:asciiTheme="minorHAnsi" w:hAnsiTheme="minorHAnsi" w:cstheme="minorHAnsi"/>
          <w:noProof/>
          <w:lang w:val="en"/>
        </w:rPr>
        <w:t>)</w:t>
      </w:r>
      <w:r w:rsidR="00FE7404" w:rsidRPr="00CB0227">
        <w:rPr>
          <w:rFonts w:asciiTheme="minorHAnsi" w:hAnsiTheme="minorHAnsi" w:cstheme="minorHAnsi"/>
          <w:lang w:val="en"/>
        </w:rPr>
        <w:fldChar w:fldCharType="end"/>
      </w:r>
      <w:r w:rsidR="00FE7404" w:rsidRPr="00CB0227">
        <w:rPr>
          <w:rFonts w:asciiTheme="minorHAnsi" w:hAnsiTheme="minorHAnsi" w:cstheme="minorHAnsi"/>
          <w:lang w:val="en"/>
        </w:rPr>
        <w:t>.</w:t>
      </w:r>
      <w:r w:rsidR="00FE7404">
        <w:rPr>
          <w:rFonts w:asciiTheme="minorHAnsi" w:hAnsiTheme="minorHAnsi" w:cstheme="minorHAnsi"/>
          <w:lang w:val="en"/>
        </w:rPr>
        <w:t xml:space="preserve">  </w:t>
      </w:r>
      <w:r w:rsidR="00A64CC8" w:rsidRPr="00CB0227">
        <w:rPr>
          <w:rFonts w:asciiTheme="minorHAnsi" w:hAnsiTheme="minorHAnsi" w:cstheme="minorHAnsi"/>
          <w:lang w:val="en"/>
        </w:rPr>
        <w:t xml:space="preserve">In the presence of </w:t>
      </w:r>
      <w:r w:rsidR="00192DE1" w:rsidRPr="00CB0227">
        <w:rPr>
          <w:rFonts w:asciiTheme="minorHAnsi" w:hAnsiTheme="minorHAnsi" w:cstheme="minorHAnsi"/>
          <w:lang w:val="en"/>
        </w:rPr>
        <w:t>shade-</w:t>
      </w:r>
      <w:r w:rsidR="00A64CC8" w:rsidRPr="00CB0227">
        <w:rPr>
          <w:rFonts w:asciiTheme="minorHAnsi" w:hAnsiTheme="minorHAnsi" w:cstheme="minorHAnsi"/>
          <w:lang w:val="en"/>
        </w:rPr>
        <w:t xml:space="preserve">intolerant regeneration on </w:t>
      </w:r>
      <w:r w:rsidR="00040E26" w:rsidRPr="00CB0227">
        <w:rPr>
          <w:rFonts w:asciiTheme="minorHAnsi" w:hAnsiTheme="minorHAnsi" w:cstheme="minorHAnsi"/>
          <w:lang w:val="en"/>
        </w:rPr>
        <w:t>intermediate</w:t>
      </w:r>
      <w:r w:rsidR="00A64CC8" w:rsidRPr="00CB0227">
        <w:rPr>
          <w:rFonts w:asciiTheme="minorHAnsi" w:hAnsiTheme="minorHAnsi" w:cstheme="minorHAnsi"/>
          <w:lang w:val="en"/>
        </w:rPr>
        <w:t xml:space="preserve"> to good sites, failure to release oaks </w:t>
      </w:r>
      <w:r w:rsidR="00B31452">
        <w:rPr>
          <w:rFonts w:asciiTheme="minorHAnsi" w:hAnsiTheme="minorHAnsi" w:cstheme="minorHAnsi"/>
          <w:lang w:val="en"/>
        </w:rPr>
        <w:t>early will guarantee low</w:t>
      </w:r>
      <w:r w:rsidR="00A64CC8" w:rsidRPr="00CB0227">
        <w:rPr>
          <w:rFonts w:asciiTheme="minorHAnsi" w:hAnsiTheme="minorHAnsi" w:cstheme="minorHAnsi"/>
          <w:lang w:val="en"/>
        </w:rPr>
        <w:t xml:space="preserve"> </w:t>
      </w:r>
      <w:r w:rsidR="00B31452">
        <w:rPr>
          <w:rFonts w:asciiTheme="minorHAnsi" w:hAnsiTheme="minorHAnsi" w:cstheme="minorHAnsi"/>
          <w:lang w:val="en"/>
        </w:rPr>
        <w:t>oak-</w:t>
      </w:r>
      <w:r w:rsidR="00A64CC8" w:rsidRPr="00CB0227">
        <w:rPr>
          <w:rFonts w:asciiTheme="minorHAnsi" w:hAnsiTheme="minorHAnsi" w:cstheme="minorHAnsi"/>
          <w:lang w:val="en"/>
        </w:rPr>
        <w:t>stocking in the new stand</w:t>
      </w:r>
      <w:r w:rsidR="00FE7404">
        <w:rPr>
          <w:rFonts w:asciiTheme="minorHAnsi" w:hAnsiTheme="minorHAnsi" w:cstheme="minorHAnsi"/>
          <w:lang w:val="en"/>
        </w:rPr>
        <w:t xml:space="preserve"> as most </w:t>
      </w:r>
      <w:r>
        <w:rPr>
          <w:rFonts w:asciiTheme="minorHAnsi" w:hAnsiTheme="minorHAnsi" w:cstheme="minorHAnsi"/>
          <w:lang w:val="en"/>
        </w:rPr>
        <w:t xml:space="preserve">non-coppice </w:t>
      </w:r>
      <w:r w:rsidR="00FE7404">
        <w:rPr>
          <w:rFonts w:asciiTheme="minorHAnsi" w:hAnsiTheme="minorHAnsi" w:cstheme="minorHAnsi"/>
          <w:lang w:val="en"/>
        </w:rPr>
        <w:t xml:space="preserve">oaks </w:t>
      </w:r>
      <w:r>
        <w:rPr>
          <w:rFonts w:asciiTheme="minorHAnsi" w:hAnsiTheme="minorHAnsi" w:cstheme="minorHAnsi"/>
          <w:lang w:val="en"/>
        </w:rPr>
        <w:t>cannot compete</w:t>
      </w:r>
      <w:r w:rsidR="00FE7404">
        <w:rPr>
          <w:rFonts w:asciiTheme="minorHAnsi" w:hAnsiTheme="minorHAnsi" w:cstheme="minorHAnsi"/>
          <w:lang w:val="en"/>
        </w:rPr>
        <w:t xml:space="preserve"> in the long-run without a head start on such competition</w:t>
      </w:r>
      <w:r w:rsidR="00A64CC8" w:rsidRPr="00CB0227">
        <w:rPr>
          <w:rFonts w:asciiTheme="minorHAnsi" w:hAnsiTheme="minorHAnsi" w:cstheme="minorHAnsi"/>
          <w:lang w:val="en"/>
        </w:rPr>
        <w:t xml:space="preserve">.  </w:t>
      </w:r>
      <w:r w:rsidR="00FE7404">
        <w:rPr>
          <w:rFonts w:asciiTheme="minorHAnsi" w:hAnsiTheme="minorHAnsi" w:cstheme="minorHAnsi"/>
          <w:lang w:val="en"/>
        </w:rPr>
        <w:t>While</w:t>
      </w:r>
      <w:r w:rsidR="00A64CC8" w:rsidRPr="00CB0227">
        <w:rPr>
          <w:rFonts w:asciiTheme="minorHAnsi" w:hAnsiTheme="minorHAnsi" w:cstheme="minorHAnsi"/>
          <w:lang w:val="en"/>
        </w:rPr>
        <w:t xml:space="preserve"> intolerant species tend not to respond to crown release after partial suppression </w:t>
      </w:r>
      <w:r w:rsidR="00A64CC8" w:rsidRPr="00CB0227">
        <w:rPr>
          <w:rFonts w:asciiTheme="minorHAnsi" w:hAnsiTheme="minorHAnsi" w:cstheme="minorHAnsi"/>
          <w:lang w:val="en"/>
        </w:rPr>
        <w:fldChar w:fldCharType="begin"/>
      </w:r>
      <w:r w:rsidR="00CE2DF2">
        <w:rPr>
          <w:rFonts w:asciiTheme="minorHAnsi" w:hAnsiTheme="minorHAnsi" w:cstheme="minorHAnsi"/>
          <w:lang w:val="en"/>
        </w:rPr>
        <w:instrText xml:space="preserve"> ADDIN EN.CITE &lt;EndNote&gt;&lt;Cite&gt;&lt;Author&gt;Trimble&lt;/Author&gt;&lt;Year&gt;1974&lt;/Year&gt;&lt;RecNum&gt;151&lt;/RecNum&gt;&lt;DisplayText&gt;(Trimble 1974; Smith and Lamson 1983)&lt;/DisplayText&gt;&lt;record&gt;&lt;rec-number&gt;151&lt;/rec-number&gt;&lt;foreign-keys&gt;&lt;key app="EN" db-id="a90s5zadewrawxeer07v2f90xr5vxv022sat"&gt;151&lt;/key&gt;&lt;/foreign-keys&gt;&lt;ref-type name="Report"&gt;27&lt;/ref-type&gt;&lt;contributors&gt;&lt;authors&gt;&lt;author&gt;Trimble, G. R., Jr.&lt;/author&gt;&lt;/authors&gt;&lt;/contributors&gt;&lt;titles&gt;&lt;title&gt;Response to crop-tree release by 7-year-old stems of red maple stump sprouts and northern red oak advance reproduction. Res. Pap. NE-303. Upper Darby, PA: U.S. Department of Agriculture, Forest Service, Northeastern Forest Experiment Station. 6p.&lt;/title&gt;&lt;/titles&gt;&lt;dates&gt;&lt;year&gt;1974&lt;/year&gt;&lt;/dates&gt;&lt;urls&gt;&lt;/urls&gt;&lt;/record&gt;&lt;/Cite&gt;&lt;Cite&gt;&lt;Author&gt;Smith&lt;/Author&gt;&lt;Year&gt;1983&lt;/Year&gt;&lt;RecNum&gt;152&lt;/RecNum&gt;&lt;record&gt;&lt;rec-number&gt;152&lt;/rec-number&gt;&lt;foreign-keys&gt;&lt;key app="EN" db-id="a90s5zadewrawxeer07v2f90xr5vxv022sat"&gt;152&lt;/key&gt;&lt;/foreign-keys&gt;&lt;ref-type name="Report"&gt;27&lt;/ref-type&gt;&lt;contributors&gt;&lt;authors&gt;&lt;author&gt;Smith, H. Clay&lt;/author&gt;&lt;author&gt;Lamson, Neil I.&lt;/author&gt;&lt;/authors&gt;&lt;/contributors&gt;&lt;titles&gt;&lt;title&gt;Precommercial crop-tree release increases diameter growth of Appalachian hardwood saplings. Res. Pap. NE-534. Broomall, PA: U.S. Department of Agriculture, Forest Service, Northeastern Forest Experiement Station. 7p.&lt;/title&gt;&lt;/titles&gt;&lt;dates&gt;&lt;year&gt;1983&lt;/year&gt;&lt;/dates&gt;&lt;urls&gt;&lt;/urls&gt;&lt;/record&gt;&lt;/Cite&gt;&lt;/EndNote&gt;</w:instrText>
      </w:r>
      <w:r w:rsidR="00A64CC8" w:rsidRPr="00CB0227">
        <w:rPr>
          <w:rFonts w:asciiTheme="minorHAnsi" w:hAnsiTheme="minorHAnsi" w:cstheme="minorHAnsi"/>
          <w:lang w:val="en"/>
        </w:rPr>
        <w:fldChar w:fldCharType="separate"/>
      </w:r>
      <w:r w:rsidR="00CE2DF2">
        <w:rPr>
          <w:rFonts w:asciiTheme="minorHAnsi" w:hAnsiTheme="minorHAnsi" w:cstheme="minorHAnsi"/>
          <w:noProof/>
          <w:lang w:val="en"/>
        </w:rPr>
        <w:t>(</w:t>
      </w:r>
      <w:hyperlink w:anchor="_ENREF_138" w:tooltip="Trimble, 1974 #151" w:history="1">
        <w:r w:rsidR="001E4C88">
          <w:rPr>
            <w:rFonts w:asciiTheme="minorHAnsi" w:hAnsiTheme="minorHAnsi" w:cstheme="minorHAnsi"/>
            <w:noProof/>
            <w:lang w:val="en"/>
          </w:rPr>
          <w:t>Trimble 1974</w:t>
        </w:r>
      </w:hyperlink>
      <w:r w:rsidR="00CE2DF2">
        <w:rPr>
          <w:rFonts w:asciiTheme="minorHAnsi" w:hAnsiTheme="minorHAnsi" w:cstheme="minorHAnsi"/>
          <w:noProof/>
          <w:lang w:val="en"/>
        </w:rPr>
        <w:t xml:space="preserve">; </w:t>
      </w:r>
      <w:hyperlink w:anchor="_ENREF_126" w:tooltip="Smith, 1983 #152" w:history="1">
        <w:r w:rsidR="001E4C88">
          <w:rPr>
            <w:rFonts w:asciiTheme="minorHAnsi" w:hAnsiTheme="minorHAnsi" w:cstheme="minorHAnsi"/>
            <w:noProof/>
            <w:lang w:val="en"/>
          </w:rPr>
          <w:t>Smith and Lamson 1983</w:t>
        </w:r>
      </w:hyperlink>
      <w:r w:rsidR="00CE2DF2">
        <w:rPr>
          <w:rFonts w:asciiTheme="minorHAnsi" w:hAnsiTheme="minorHAnsi" w:cstheme="minorHAnsi"/>
          <w:noProof/>
          <w:lang w:val="en"/>
        </w:rPr>
        <w:t>)</w:t>
      </w:r>
      <w:r w:rsidR="00A64CC8" w:rsidRPr="00CB0227">
        <w:rPr>
          <w:rFonts w:asciiTheme="minorHAnsi" w:hAnsiTheme="minorHAnsi" w:cstheme="minorHAnsi"/>
          <w:lang w:val="en"/>
        </w:rPr>
        <w:fldChar w:fldCharType="end"/>
      </w:r>
      <w:r w:rsidR="00A64CC8" w:rsidRPr="00CB0227">
        <w:rPr>
          <w:rFonts w:asciiTheme="minorHAnsi" w:hAnsiTheme="minorHAnsi" w:cstheme="minorHAnsi"/>
          <w:lang w:val="en"/>
        </w:rPr>
        <w:t xml:space="preserve">, they along with oak saplings easily maintain their competitive positions in the </w:t>
      </w:r>
      <w:proofErr w:type="spellStart"/>
      <w:r w:rsidR="00A64CC8" w:rsidRPr="00CB0227">
        <w:rPr>
          <w:rFonts w:asciiTheme="minorHAnsi" w:hAnsiTheme="minorHAnsi" w:cstheme="minorHAnsi"/>
          <w:lang w:val="en"/>
        </w:rPr>
        <w:t>codominant</w:t>
      </w:r>
      <w:proofErr w:type="spellEnd"/>
      <w:r w:rsidR="00A64CC8" w:rsidRPr="00CB0227">
        <w:rPr>
          <w:rFonts w:asciiTheme="minorHAnsi" w:hAnsiTheme="minorHAnsi" w:cstheme="minorHAnsi"/>
          <w:lang w:val="en"/>
        </w:rPr>
        <w:t xml:space="preserve"> class if fully released </w:t>
      </w:r>
      <w:r w:rsidR="00A64CC8" w:rsidRPr="00CB0227">
        <w:rPr>
          <w:rFonts w:asciiTheme="minorHAnsi" w:hAnsiTheme="minorHAnsi" w:cstheme="minorHAnsi"/>
          <w:lang w:val="en"/>
        </w:rPr>
        <w:fldChar w:fldCharType="begin"/>
      </w:r>
      <w:r w:rsidR="00CE2DF2">
        <w:rPr>
          <w:rFonts w:asciiTheme="minorHAnsi" w:hAnsiTheme="minorHAnsi" w:cstheme="minorHAnsi"/>
          <w:lang w:val="en"/>
        </w:rPr>
        <w:instrText xml:space="preserve"> ADDIN EN.CITE &lt;EndNote&gt;&lt;Cite&gt;&lt;Author&gt;Miller&lt;/Author&gt;&lt;Year&gt;2000&lt;/Year&gt;&lt;RecNum&gt;153&lt;/RecNum&gt;&lt;DisplayText&gt;(Miller 2000)&lt;/DisplayText&gt;&lt;record&gt;&lt;rec-number&gt;153&lt;/rec-number&gt;&lt;foreign-keys&gt;&lt;key app="EN" db-id="a90s5zadewrawxeer07v2f90xr5vxv022sat"&gt;153&lt;/key&gt;&lt;/foreign-keys&gt;&lt;ref-type name="Journal Article"&gt;17&lt;/ref-type&gt;&lt;contributors&gt;&lt;authors&gt;&lt;author&gt;Miller, Gary W.&lt;/author&gt;&lt;/authors&gt;&lt;/contributors&gt;&lt;titles&gt;&lt;title&gt;Effect of Crown Growing Space on the Development of Young Hardwood Crop Trees&lt;/title&gt;&lt;secondary-title&gt;Northern Journal of Applied Forestry&lt;/secondary-title&gt;&lt;/titles&gt;&lt;periodical&gt;&lt;full-title&gt;Northern Journal of Applied Forestry&lt;/full-title&gt;&lt;abbr-1&gt;North. J. Appl. For.&lt;/abbr-1&gt;&lt;/periodical&gt;&lt;pages&gt;25-35&lt;/pages&gt;&lt;volume&gt;17&lt;/volume&gt;&lt;dates&gt;&lt;year&gt;2000&lt;/year&gt;&lt;/dates&gt;&lt;urls&gt;&lt;related-urls&gt;&lt;url&gt;http://www.ingentaconnect.com/content/saf/njaf/2000/00000017/00000001/art00008&lt;/url&gt;&lt;/related-urls&gt;&lt;/urls&gt;&lt;/record&gt;&lt;/Cite&gt;&lt;/EndNote&gt;</w:instrText>
      </w:r>
      <w:r w:rsidR="00A64CC8" w:rsidRPr="00CB0227">
        <w:rPr>
          <w:rFonts w:asciiTheme="minorHAnsi" w:hAnsiTheme="minorHAnsi" w:cstheme="minorHAnsi"/>
          <w:lang w:val="en"/>
        </w:rPr>
        <w:fldChar w:fldCharType="separate"/>
      </w:r>
      <w:r w:rsidR="00CE2DF2">
        <w:rPr>
          <w:rFonts w:asciiTheme="minorHAnsi" w:hAnsiTheme="minorHAnsi" w:cstheme="minorHAnsi"/>
          <w:noProof/>
          <w:lang w:val="en"/>
        </w:rPr>
        <w:t>(</w:t>
      </w:r>
      <w:hyperlink w:anchor="_ENREF_96" w:tooltip="Miller, 2000 #153" w:history="1">
        <w:r w:rsidR="001E4C88">
          <w:rPr>
            <w:rFonts w:asciiTheme="minorHAnsi" w:hAnsiTheme="minorHAnsi" w:cstheme="minorHAnsi"/>
            <w:noProof/>
            <w:lang w:val="en"/>
          </w:rPr>
          <w:t>Miller 2000</w:t>
        </w:r>
      </w:hyperlink>
      <w:r w:rsidR="00CE2DF2">
        <w:rPr>
          <w:rFonts w:asciiTheme="minorHAnsi" w:hAnsiTheme="minorHAnsi" w:cstheme="minorHAnsi"/>
          <w:noProof/>
          <w:lang w:val="en"/>
        </w:rPr>
        <w:t>)</w:t>
      </w:r>
      <w:r w:rsidR="00A64CC8" w:rsidRPr="00CB0227">
        <w:rPr>
          <w:rFonts w:asciiTheme="minorHAnsi" w:hAnsiTheme="minorHAnsi" w:cstheme="minorHAnsi"/>
          <w:lang w:val="en"/>
        </w:rPr>
        <w:fldChar w:fldCharType="end"/>
      </w:r>
      <w:r w:rsidR="00FE7404">
        <w:rPr>
          <w:rFonts w:asciiTheme="minorHAnsi" w:hAnsiTheme="minorHAnsi" w:cstheme="minorHAnsi"/>
          <w:lang w:val="en"/>
        </w:rPr>
        <w:t xml:space="preserve">.  </w:t>
      </w:r>
      <w:r w:rsidR="00A64CC8" w:rsidRPr="00CB0227">
        <w:rPr>
          <w:rFonts w:asciiTheme="minorHAnsi" w:hAnsiTheme="minorHAnsi" w:cstheme="minorHAnsi"/>
          <w:lang w:val="en"/>
        </w:rPr>
        <w:t xml:space="preserve">Moreover, the occasional ascension of </w:t>
      </w:r>
      <w:r w:rsidR="00192DE1" w:rsidRPr="00CB0227">
        <w:rPr>
          <w:rFonts w:asciiTheme="minorHAnsi" w:hAnsiTheme="minorHAnsi" w:cstheme="minorHAnsi"/>
          <w:lang w:val="en"/>
        </w:rPr>
        <w:t>Northern red oak</w:t>
      </w:r>
      <w:r w:rsidR="004960BE">
        <w:rPr>
          <w:rFonts w:asciiTheme="minorHAnsi" w:hAnsiTheme="minorHAnsi" w:cstheme="minorHAnsi"/>
          <w:lang w:val="en"/>
        </w:rPr>
        <w:t>s</w:t>
      </w:r>
      <w:r w:rsidR="00192DE1" w:rsidRPr="00CB0227">
        <w:rPr>
          <w:rFonts w:asciiTheme="minorHAnsi" w:hAnsiTheme="minorHAnsi" w:cstheme="minorHAnsi"/>
          <w:lang w:val="en"/>
        </w:rPr>
        <w:t xml:space="preserve"> </w:t>
      </w:r>
      <w:r w:rsidR="00CB0227" w:rsidRPr="00CB0227">
        <w:rPr>
          <w:rFonts w:asciiTheme="minorHAnsi" w:hAnsiTheme="minorHAnsi" w:cstheme="minorHAnsi"/>
          <w:iCs/>
          <w:color w:val="333333"/>
        </w:rPr>
        <w:t>(</w:t>
      </w:r>
      <w:proofErr w:type="spellStart"/>
      <w:r w:rsidR="00CB0227" w:rsidRPr="00CB0227">
        <w:rPr>
          <w:rFonts w:asciiTheme="minorHAnsi" w:hAnsiTheme="minorHAnsi" w:cstheme="minorHAnsi"/>
          <w:i/>
          <w:iCs/>
          <w:color w:val="333333"/>
        </w:rPr>
        <w:t>Quercus</w:t>
      </w:r>
      <w:proofErr w:type="spellEnd"/>
      <w:r w:rsidR="00CB0227" w:rsidRPr="00CB0227">
        <w:rPr>
          <w:rFonts w:asciiTheme="minorHAnsi" w:hAnsiTheme="minorHAnsi" w:cstheme="minorHAnsi"/>
          <w:i/>
          <w:iCs/>
          <w:color w:val="333333"/>
        </w:rPr>
        <w:t xml:space="preserve"> </w:t>
      </w:r>
      <w:proofErr w:type="spellStart"/>
      <w:r w:rsidR="00CB0227" w:rsidRPr="00CB0227">
        <w:rPr>
          <w:rFonts w:asciiTheme="minorHAnsi" w:hAnsiTheme="minorHAnsi" w:cstheme="minorHAnsi"/>
          <w:i/>
          <w:iCs/>
          <w:color w:val="333333"/>
        </w:rPr>
        <w:t>rubra</w:t>
      </w:r>
      <w:proofErr w:type="spellEnd"/>
      <w:r w:rsidR="00CB0227" w:rsidRPr="00CB0227">
        <w:rPr>
          <w:rFonts w:asciiTheme="minorHAnsi" w:hAnsiTheme="minorHAnsi" w:cstheme="minorHAnsi"/>
          <w:iCs/>
          <w:color w:val="333333"/>
        </w:rPr>
        <w:t xml:space="preserve">) </w:t>
      </w:r>
      <w:r w:rsidR="004960BE">
        <w:rPr>
          <w:rFonts w:asciiTheme="minorHAnsi" w:hAnsiTheme="minorHAnsi" w:cstheme="minorHAnsi"/>
          <w:iCs/>
          <w:color w:val="333333"/>
        </w:rPr>
        <w:t xml:space="preserve">of </w:t>
      </w:r>
      <w:r w:rsidR="004960BE">
        <w:rPr>
          <w:rFonts w:asciiTheme="minorHAnsi" w:hAnsiTheme="minorHAnsi" w:cstheme="minorHAnsi"/>
          <w:lang w:val="en"/>
        </w:rPr>
        <w:t xml:space="preserve">intermediate canopy position </w:t>
      </w:r>
      <w:r w:rsidR="00A64CC8" w:rsidRPr="00CB0227">
        <w:rPr>
          <w:rFonts w:asciiTheme="minorHAnsi" w:hAnsiTheme="minorHAnsi" w:cstheme="minorHAnsi"/>
          <w:lang w:val="en"/>
        </w:rPr>
        <w:t xml:space="preserve">to a </w:t>
      </w:r>
      <w:proofErr w:type="spellStart"/>
      <w:r w:rsidR="00A64CC8" w:rsidRPr="00CB0227">
        <w:rPr>
          <w:rFonts w:asciiTheme="minorHAnsi" w:hAnsiTheme="minorHAnsi" w:cstheme="minorHAnsi"/>
          <w:lang w:val="en"/>
        </w:rPr>
        <w:t>codominant</w:t>
      </w:r>
      <w:proofErr w:type="spellEnd"/>
      <w:r w:rsidR="00A64CC8" w:rsidRPr="00CB0227">
        <w:rPr>
          <w:rFonts w:asciiTheme="minorHAnsi" w:hAnsiTheme="minorHAnsi" w:cstheme="minorHAnsi"/>
          <w:lang w:val="en"/>
        </w:rPr>
        <w:t xml:space="preserve"> position can occur nearly twice as frequently after full crown release </w:t>
      </w:r>
      <w:r w:rsidR="00A64CC8" w:rsidRPr="00CB0227">
        <w:rPr>
          <w:rFonts w:asciiTheme="minorHAnsi" w:hAnsiTheme="minorHAnsi" w:cstheme="minorHAnsi"/>
          <w:lang w:val="en"/>
        </w:rPr>
        <w:fldChar w:fldCharType="begin"/>
      </w:r>
      <w:r w:rsidR="00CE2DF2">
        <w:rPr>
          <w:rFonts w:asciiTheme="minorHAnsi" w:hAnsiTheme="minorHAnsi" w:cstheme="minorHAnsi"/>
          <w:lang w:val="en"/>
        </w:rPr>
        <w:instrText xml:space="preserve"> ADDIN EN.CITE &lt;EndNote&gt;&lt;Cite&gt;&lt;Author&gt;Miller&lt;/Author&gt;&lt;Year&gt;2000&lt;/Year&gt;&lt;RecNum&gt;153&lt;/RecNum&gt;&lt;DisplayText&gt;(Miller 2000)&lt;/DisplayText&gt;&lt;record&gt;&lt;rec-number&gt;153&lt;/rec-number&gt;&lt;foreign-keys&gt;&lt;key app="EN" db-id="a90s5zadewrawxeer07v2f90xr5vxv022sat"&gt;153&lt;/key&gt;&lt;/foreign-keys&gt;&lt;ref-type name="Journal Article"&gt;17&lt;/ref-type&gt;&lt;contributors&gt;&lt;authors&gt;&lt;author&gt;Miller, Gary W.&lt;/author&gt;&lt;/authors&gt;&lt;/contributors&gt;&lt;titles&gt;&lt;title&gt;Effect of Crown Growing Space on the Development of Young Hardwood Crop Trees&lt;/title&gt;&lt;secondary-title&gt;Northern Journal of Applied Forestry&lt;/secondary-title&gt;&lt;/titles&gt;&lt;periodical&gt;&lt;full-title&gt;Northern Journal of Applied Forestry&lt;/full-title&gt;&lt;abbr-1&gt;North. J. Appl. For.&lt;/abbr-1&gt;&lt;/periodical&gt;&lt;pages&gt;25-35&lt;/pages&gt;&lt;volume&gt;17&lt;/volume&gt;&lt;dates&gt;&lt;year&gt;2000&lt;/year&gt;&lt;/dates&gt;&lt;urls&gt;&lt;related-urls&gt;&lt;url&gt;http://www.ingentaconnect.com/content/saf/njaf/2000/00000017/00000001/art00008&lt;/url&gt;&lt;/related-urls&gt;&lt;/urls&gt;&lt;/record&gt;&lt;/Cite&gt;&lt;/EndNote&gt;</w:instrText>
      </w:r>
      <w:r w:rsidR="00A64CC8" w:rsidRPr="00CB0227">
        <w:rPr>
          <w:rFonts w:asciiTheme="minorHAnsi" w:hAnsiTheme="minorHAnsi" w:cstheme="minorHAnsi"/>
          <w:lang w:val="en"/>
        </w:rPr>
        <w:fldChar w:fldCharType="separate"/>
      </w:r>
      <w:r w:rsidR="00CE2DF2">
        <w:rPr>
          <w:rFonts w:asciiTheme="minorHAnsi" w:hAnsiTheme="minorHAnsi" w:cstheme="minorHAnsi"/>
          <w:noProof/>
          <w:lang w:val="en"/>
        </w:rPr>
        <w:t>(</w:t>
      </w:r>
      <w:hyperlink w:anchor="_ENREF_96" w:tooltip="Miller, 2000 #153" w:history="1">
        <w:r w:rsidR="001E4C88">
          <w:rPr>
            <w:rFonts w:asciiTheme="minorHAnsi" w:hAnsiTheme="minorHAnsi" w:cstheme="minorHAnsi"/>
            <w:noProof/>
            <w:lang w:val="en"/>
          </w:rPr>
          <w:t>Miller 2000</w:t>
        </w:r>
      </w:hyperlink>
      <w:r w:rsidR="00CE2DF2">
        <w:rPr>
          <w:rFonts w:asciiTheme="minorHAnsi" w:hAnsiTheme="minorHAnsi" w:cstheme="minorHAnsi"/>
          <w:noProof/>
          <w:lang w:val="en"/>
        </w:rPr>
        <w:t>)</w:t>
      </w:r>
      <w:r w:rsidR="00A64CC8" w:rsidRPr="00CB0227">
        <w:rPr>
          <w:rFonts w:asciiTheme="minorHAnsi" w:hAnsiTheme="minorHAnsi" w:cstheme="minorHAnsi"/>
          <w:lang w:val="en"/>
        </w:rPr>
        <w:fldChar w:fldCharType="end"/>
      </w:r>
      <w:r w:rsidR="00A64CC8" w:rsidRPr="00CB0227">
        <w:rPr>
          <w:rFonts w:asciiTheme="minorHAnsi" w:hAnsiTheme="minorHAnsi" w:cstheme="minorHAnsi"/>
          <w:lang w:val="en"/>
        </w:rPr>
        <w:t>.</w:t>
      </w:r>
    </w:p>
    <w:p w:rsidR="0010106D" w:rsidRDefault="001F1673" w:rsidP="0010106D">
      <w:pPr>
        <w:spacing w:line="480" w:lineRule="auto"/>
        <w:ind w:firstLine="720"/>
        <w:rPr>
          <w:rFonts w:asciiTheme="minorHAnsi" w:hAnsiTheme="minorHAnsi" w:cstheme="minorHAnsi"/>
        </w:rPr>
      </w:pPr>
      <w:r w:rsidRPr="00192DE1">
        <w:rPr>
          <w:rFonts w:asciiTheme="minorHAnsi" w:hAnsiTheme="minorHAnsi" w:cstheme="minorHAnsi"/>
          <w:lang w:val="en"/>
        </w:rPr>
        <w:t xml:space="preserve">LeDoux and Miller </w:t>
      </w:r>
      <w:r w:rsidRPr="00192DE1">
        <w:rPr>
          <w:rFonts w:asciiTheme="minorHAnsi" w:hAnsiTheme="minorHAnsi" w:cstheme="minorHAnsi"/>
          <w:lang w:val="en"/>
        </w:rPr>
        <w:fldChar w:fldCharType="begin"/>
      </w:r>
      <w:r w:rsidR="00A87D07">
        <w:rPr>
          <w:rFonts w:asciiTheme="minorHAnsi" w:hAnsiTheme="minorHAnsi" w:cstheme="minorHAnsi"/>
          <w:lang w:val="en"/>
        </w:rPr>
        <w:instrText xml:space="preserve"> ADDIN EN.CITE &lt;EndNote&gt;&lt;Cite ExcludeAuth="1"&gt;&lt;Author&gt;LeDoux&lt;/Author&gt;&lt;Year&gt;2008&lt;/Year&gt;&lt;RecNum&gt;138&lt;/RecNum&gt;&lt;DisplayText&gt;(2008)&lt;/DisplayText&gt;&lt;record&gt;&lt;rec-number&gt;138&lt;/rec-number&gt;&lt;foreign-keys&gt;&lt;key app="EN" db-id="a90s5zadewrawxeer07v2f90xr5vxv022sat"&gt;138&lt;/key&gt;&lt;/foreign-keys&gt;&lt;ref-type name="Conference Proceedings"&gt;10&lt;/ref-type&gt;&lt;contributors&gt;&lt;authors&gt;&lt;author&gt;LeDoux, Chris B.&lt;/author&gt;&lt;author&gt;Miller, Gary W. &lt;/author&gt;&lt;/authors&gt;&lt;/contributors&gt;&lt;titles&gt;&lt;title&gt;Exploring the optimal economic timing for crop tree release treatments in hardwoods: results from simulation&lt;/title&gt;&lt;secondary-title&gt;In: Jacobs, Douglass F.; Michler, Charles H., eds. 2008. Proceedings, 16th Central Hardwood Forest Conference; 2008 April 8-9; West Lafayette, IN. Gen. Tech. Rep. NRS-P-24. Newtown Square, PA: U.S. Department of Agriculture, Forest Service, Northern Research Station: 265-274.&lt;/secondary-title&gt;&lt;/titles&gt;&lt;dates&gt;&lt;year&gt;2008&lt;/year&gt;&lt;/dates&gt;&lt;urls&gt;&lt;/urls&gt;&lt;/record&gt;&lt;/Cite&gt;&lt;/EndNote&gt;</w:instrText>
      </w:r>
      <w:r w:rsidRPr="00192DE1">
        <w:rPr>
          <w:rFonts w:asciiTheme="minorHAnsi" w:hAnsiTheme="minorHAnsi" w:cstheme="minorHAnsi"/>
          <w:lang w:val="en"/>
        </w:rPr>
        <w:fldChar w:fldCharType="separate"/>
      </w:r>
      <w:r w:rsidR="00A87D07">
        <w:rPr>
          <w:rFonts w:asciiTheme="minorHAnsi" w:hAnsiTheme="minorHAnsi" w:cstheme="minorHAnsi"/>
          <w:noProof/>
          <w:lang w:val="en"/>
        </w:rPr>
        <w:t>(</w:t>
      </w:r>
      <w:hyperlink w:anchor="_ENREF_85" w:tooltip="LeDoux, 2008 #138" w:history="1">
        <w:r w:rsidR="001E4C88">
          <w:rPr>
            <w:rFonts w:asciiTheme="minorHAnsi" w:hAnsiTheme="minorHAnsi" w:cstheme="minorHAnsi"/>
            <w:noProof/>
            <w:lang w:val="en"/>
          </w:rPr>
          <w:t>2008</w:t>
        </w:r>
      </w:hyperlink>
      <w:r w:rsidR="00A87D07">
        <w:rPr>
          <w:rFonts w:asciiTheme="minorHAnsi" w:hAnsiTheme="minorHAnsi" w:cstheme="minorHAnsi"/>
          <w:noProof/>
          <w:lang w:val="en"/>
        </w:rPr>
        <w:t>)</w:t>
      </w:r>
      <w:r w:rsidRPr="00192DE1">
        <w:rPr>
          <w:rFonts w:asciiTheme="minorHAnsi" w:hAnsiTheme="minorHAnsi" w:cstheme="minorHAnsi"/>
          <w:lang w:val="en"/>
        </w:rPr>
        <w:fldChar w:fldCharType="end"/>
      </w:r>
      <w:r w:rsidRPr="00192DE1">
        <w:rPr>
          <w:rFonts w:asciiTheme="minorHAnsi" w:hAnsiTheme="minorHAnsi" w:cstheme="minorHAnsi"/>
          <w:lang w:val="en"/>
        </w:rPr>
        <w:t xml:space="preserve"> found CTR via mechanical removal to be a sound investment at a</w:t>
      </w:r>
      <w:r>
        <w:rPr>
          <w:rFonts w:asciiTheme="minorHAnsi" w:hAnsiTheme="minorHAnsi" w:cstheme="minorHAnsi"/>
          <w:lang w:val="en"/>
        </w:rPr>
        <w:t>bout age 30 and beyond in intermediate</w:t>
      </w:r>
      <w:r w:rsidRPr="00192DE1">
        <w:rPr>
          <w:rFonts w:asciiTheme="minorHAnsi" w:hAnsiTheme="minorHAnsi" w:cstheme="minorHAnsi"/>
          <w:lang w:val="en"/>
        </w:rPr>
        <w:t>-site Appalachian mixed hardwood stands harvested at age 76</w:t>
      </w:r>
      <w:r>
        <w:rPr>
          <w:rFonts w:asciiTheme="minorHAnsi" w:hAnsiTheme="minorHAnsi" w:cstheme="minorHAnsi"/>
          <w:lang w:val="en"/>
        </w:rPr>
        <w:t xml:space="preserve"> (optimal)</w:t>
      </w:r>
      <w:r w:rsidRPr="00192DE1">
        <w:rPr>
          <w:rFonts w:asciiTheme="minorHAnsi" w:hAnsiTheme="minorHAnsi" w:cstheme="minorHAnsi"/>
          <w:lang w:val="en"/>
        </w:rPr>
        <w:t xml:space="preserve"> or 100, demonstrating the financial limitation to maximizing crop tree abundance and somewhat corroborating the age recommendations for initial upland oak thinnings by Hilt and Dale </w:t>
      </w:r>
      <w:r w:rsidRPr="00192DE1">
        <w:rPr>
          <w:rFonts w:asciiTheme="minorHAnsi" w:hAnsiTheme="minorHAnsi" w:cstheme="minorHAnsi"/>
          <w:lang w:val="en"/>
        </w:rPr>
        <w:fldChar w:fldCharType="begin"/>
      </w:r>
      <w:r w:rsidR="00A87D07">
        <w:rPr>
          <w:rFonts w:asciiTheme="minorHAnsi" w:hAnsiTheme="minorHAnsi" w:cstheme="minorHAnsi"/>
          <w:lang w:val="en"/>
        </w:rPr>
        <w:instrText xml:space="preserve"> ADDIN EN.CITE &lt;EndNote&gt;&lt;Cite ExcludeAuth="1"&gt;&lt;Author&gt;Dale&lt;/Author&gt;&lt;Year&gt;1989&lt;/Year&gt;&lt;RecNum&gt;146&lt;/RecNum&gt;&lt;DisplayText&gt;(1989)&lt;/DisplayText&gt;&lt;record&gt;&lt;rec-number&gt;146&lt;/rec-number&gt;&lt;foreign-keys&gt;&lt;key app="EN" db-id="a90s5zadewrawxeer07v2f90xr5vxv022sat"&gt;146&lt;/key&gt;&lt;/foreign-keys&gt;&lt;ref-type name="Report"&gt;27&lt;/ref-type&gt;&lt;contributors&gt;&lt;authors&gt;&lt;author&gt;Hilt, Donald E.&lt;/author&gt;&lt;author&gt;Dale, Martin E.&lt;/author&gt;&lt;/authors&gt;&lt;/contributors&gt;&lt;titles&gt;&lt;title&gt;Thinning Even-aged Upland Oak Stands. In: Clark, F. Bryan, tech. ed.; Hutchinson, Jay G., ed. Central Hardwood Notes. St. Paul, MN: U.S. Department of Agriculture, Forest Service, North Central Forest Experiment Station: Note 6.06&lt;/title&gt;&lt;/titles&gt;&lt;dates&gt;&lt;year&gt;1989&lt;/year&gt;&lt;/dates&gt;&lt;urls&gt;&lt;/urls&gt;&lt;/record&gt;&lt;/Cite&gt;&lt;/EndNote&gt;</w:instrText>
      </w:r>
      <w:r w:rsidRPr="00192DE1">
        <w:rPr>
          <w:rFonts w:asciiTheme="minorHAnsi" w:hAnsiTheme="minorHAnsi" w:cstheme="minorHAnsi"/>
          <w:lang w:val="en"/>
        </w:rPr>
        <w:fldChar w:fldCharType="separate"/>
      </w:r>
      <w:r w:rsidR="00A87D07">
        <w:rPr>
          <w:rFonts w:asciiTheme="minorHAnsi" w:hAnsiTheme="minorHAnsi" w:cstheme="minorHAnsi"/>
          <w:noProof/>
          <w:lang w:val="en"/>
        </w:rPr>
        <w:t>(</w:t>
      </w:r>
      <w:hyperlink w:anchor="_ENREF_71" w:tooltip="Hilt, 1989 #146" w:history="1">
        <w:r w:rsidR="001E4C88">
          <w:rPr>
            <w:rFonts w:asciiTheme="minorHAnsi" w:hAnsiTheme="minorHAnsi" w:cstheme="minorHAnsi"/>
            <w:noProof/>
            <w:lang w:val="en"/>
          </w:rPr>
          <w:t>1989</w:t>
        </w:r>
      </w:hyperlink>
      <w:r w:rsidR="00A87D07">
        <w:rPr>
          <w:rFonts w:asciiTheme="minorHAnsi" w:hAnsiTheme="minorHAnsi" w:cstheme="minorHAnsi"/>
          <w:noProof/>
          <w:lang w:val="en"/>
        </w:rPr>
        <w:t>)</w:t>
      </w:r>
      <w:r w:rsidRPr="00192DE1">
        <w:rPr>
          <w:rFonts w:asciiTheme="minorHAnsi" w:hAnsiTheme="minorHAnsi" w:cstheme="minorHAnsi"/>
          <w:lang w:val="en"/>
        </w:rPr>
        <w:fldChar w:fldCharType="end"/>
      </w:r>
      <w:r w:rsidRPr="00192DE1">
        <w:rPr>
          <w:rFonts w:asciiTheme="minorHAnsi" w:hAnsiTheme="minorHAnsi" w:cstheme="minorHAnsi"/>
          <w:lang w:val="en"/>
        </w:rPr>
        <w:t xml:space="preserve">.  The hack and squirt herbicide injection </w:t>
      </w:r>
      <w:r>
        <w:rPr>
          <w:rFonts w:asciiTheme="minorHAnsi" w:hAnsiTheme="minorHAnsi" w:cstheme="minorHAnsi"/>
          <w:lang w:val="en"/>
        </w:rPr>
        <w:t xml:space="preserve">(or chemical control) </w:t>
      </w:r>
      <w:r w:rsidRPr="00192DE1">
        <w:rPr>
          <w:rFonts w:asciiTheme="minorHAnsi" w:hAnsiTheme="minorHAnsi" w:cstheme="minorHAnsi"/>
          <w:lang w:val="en"/>
        </w:rPr>
        <w:t xml:space="preserve">method produced even higher returns between ages 25 and 30 but could probably not be economically justified </w:t>
      </w:r>
      <w:r>
        <w:rPr>
          <w:rFonts w:asciiTheme="minorHAnsi" w:hAnsiTheme="minorHAnsi" w:cstheme="minorHAnsi"/>
          <w:lang w:val="en"/>
        </w:rPr>
        <w:t xml:space="preserve">over mechanical operations or the no treatment option </w:t>
      </w:r>
      <w:r w:rsidRPr="00192DE1">
        <w:rPr>
          <w:rFonts w:asciiTheme="minorHAnsi" w:hAnsiTheme="minorHAnsi" w:cstheme="minorHAnsi"/>
          <w:lang w:val="en"/>
        </w:rPr>
        <w:t xml:space="preserve">much beyond age 30 </w:t>
      </w:r>
      <w:r>
        <w:rPr>
          <w:rFonts w:asciiTheme="minorHAnsi" w:hAnsiTheme="minorHAnsi" w:cstheme="minorHAnsi"/>
          <w:lang w:val="en"/>
        </w:rPr>
        <w:t>(</w:t>
      </w:r>
      <w:r w:rsidRPr="00192DE1">
        <w:rPr>
          <w:rFonts w:asciiTheme="minorHAnsi" w:hAnsiTheme="minorHAnsi" w:cstheme="minorHAnsi"/>
          <w:lang w:val="en"/>
        </w:rPr>
        <w:t>assuming a 100 year rotation</w:t>
      </w:r>
      <w:r>
        <w:rPr>
          <w:rFonts w:asciiTheme="minorHAnsi" w:hAnsiTheme="minorHAnsi" w:cstheme="minorHAnsi"/>
          <w:lang w:val="en"/>
        </w:rPr>
        <w:t>) under the circumstances in the study</w:t>
      </w:r>
      <w:r w:rsidRPr="00192DE1">
        <w:rPr>
          <w:rFonts w:asciiTheme="minorHAnsi" w:hAnsiTheme="minorHAnsi" w:cstheme="minorHAnsi"/>
          <w:lang w:val="en"/>
        </w:rPr>
        <w:t xml:space="preserve">. </w:t>
      </w:r>
      <w:r>
        <w:rPr>
          <w:rFonts w:asciiTheme="minorHAnsi" w:hAnsiTheme="minorHAnsi" w:cstheme="minorHAnsi"/>
          <w:lang w:val="en"/>
        </w:rPr>
        <w:t xml:space="preserve"> By contrast, a</w:t>
      </w:r>
      <w:r w:rsidRPr="00192DE1">
        <w:rPr>
          <w:rFonts w:asciiTheme="minorHAnsi" w:hAnsiTheme="minorHAnsi" w:cstheme="minorHAnsi"/>
        </w:rPr>
        <w:t xml:space="preserve"> hardwood stand’s </w:t>
      </w:r>
      <w:r w:rsidRPr="00192DE1">
        <w:rPr>
          <w:rFonts w:asciiTheme="minorHAnsi" w:hAnsiTheme="minorHAnsi" w:cstheme="minorHAnsi"/>
        </w:rPr>
        <w:lastRenderedPageBreak/>
        <w:t xml:space="preserve">canopy closes within 10 years </w:t>
      </w:r>
      <w:r w:rsidR="00F835AB">
        <w:rPr>
          <w:rFonts w:asciiTheme="minorHAnsi" w:hAnsiTheme="minorHAnsi" w:cstheme="minorHAnsi"/>
        </w:rPr>
        <w:t>of regeneration harvests</w:t>
      </w:r>
      <w:r>
        <w:rPr>
          <w:rFonts w:asciiTheme="minorHAnsi" w:hAnsiTheme="minorHAnsi" w:cstheme="minorHAnsi"/>
        </w:rPr>
        <w:t xml:space="preserve"> </w:t>
      </w:r>
      <w:r w:rsidRPr="00192DE1">
        <w:rPr>
          <w:rFonts w:asciiTheme="minorHAnsi" w:hAnsiTheme="minorHAnsi" w:cstheme="minorHAnsi"/>
        </w:rPr>
        <w:t xml:space="preserve">on high quality sites and within 15 years on poorer sites. </w:t>
      </w:r>
      <w:r>
        <w:rPr>
          <w:rFonts w:asciiTheme="minorHAnsi" w:hAnsiTheme="minorHAnsi" w:cstheme="minorHAnsi"/>
        </w:rPr>
        <w:t xml:space="preserve"> Yet, even at an age of 30, there is no pragmatic economic rationale for </w:t>
      </w:r>
      <w:r w:rsidR="00F835AB">
        <w:rPr>
          <w:rFonts w:asciiTheme="minorHAnsi" w:hAnsiTheme="minorHAnsi" w:cstheme="minorHAnsi"/>
        </w:rPr>
        <w:t>these</w:t>
      </w:r>
      <w:r>
        <w:rPr>
          <w:rFonts w:asciiTheme="minorHAnsi" w:hAnsiTheme="minorHAnsi" w:cstheme="minorHAnsi"/>
        </w:rPr>
        <w:t xml:space="preserve"> treatments because the </w:t>
      </w:r>
      <w:r w:rsidR="00F835AB">
        <w:rPr>
          <w:rFonts w:asciiTheme="minorHAnsi" w:hAnsiTheme="minorHAnsi" w:cstheme="minorHAnsi"/>
        </w:rPr>
        <w:t xml:space="preserve">typical </w:t>
      </w:r>
      <w:r>
        <w:rPr>
          <w:rFonts w:asciiTheme="minorHAnsi" w:hAnsiTheme="minorHAnsi" w:cstheme="minorHAnsi"/>
        </w:rPr>
        <w:t xml:space="preserve">landowner </w:t>
      </w:r>
      <w:r w:rsidR="00F835AB">
        <w:rPr>
          <w:rFonts w:asciiTheme="minorHAnsi" w:hAnsiTheme="minorHAnsi" w:cstheme="minorHAnsi"/>
        </w:rPr>
        <w:t xml:space="preserve">is </w:t>
      </w:r>
      <w:r>
        <w:rPr>
          <w:rFonts w:asciiTheme="minorHAnsi" w:hAnsiTheme="minorHAnsi" w:cstheme="minorHAnsi"/>
        </w:rPr>
        <w:t xml:space="preserve">not </w:t>
      </w:r>
      <w:r w:rsidR="00F835AB">
        <w:rPr>
          <w:rFonts w:asciiTheme="minorHAnsi" w:hAnsiTheme="minorHAnsi" w:cstheme="minorHAnsi"/>
        </w:rPr>
        <w:t xml:space="preserve">likely to </w:t>
      </w:r>
      <w:r>
        <w:rPr>
          <w:rFonts w:asciiTheme="minorHAnsi" w:hAnsiTheme="minorHAnsi" w:cstheme="minorHAnsi"/>
        </w:rPr>
        <w:t xml:space="preserve">live as long as the payback period on </w:t>
      </w:r>
      <w:r w:rsidR="00F835AB">
        <w:rPr>
          <w:rFonts w:asciiTheme="minorHAnsi" w:hAnsiTheme="minorHAnsi" w:cstheme="minorHAnsi"/>
        </w:rPr>
        <w:t xml:space="preserve">such an </w:t>
      </w:r>
      <w:r>
        <w:rPr>
          <w:rFonts w:asciiTheme="minorHAnsi" w:hAnsiTheme="minorHAnsi" w:cstheme="minorHAnsi"/>
        </w:rPr>
        <w:t xml:space="preserve">investment.  </w:t>
      </w:r>
      <w:r w:rsidR="00F835AB">
        <w:rPr>
          <w:rFonts w:asciiTheme="minorHAnsi" w:hAnsiTheme="minorHAnsi" w:cstheme="minorHAnsi"/>
        </w:rPr>
        <w:t xml:space="preserve">Nevertheless, </w:t>
      </w:r>
      <w:proofErr w:type="spellStart"/>
      <w:r w:rsidR="003379EC">
        <w:rPr>
          <w:rFonts w:asciiTheme="minorHAnsi" w:hAnsiTheme="minorHAnsi" w:cstheme="minorHAnsi"/>
        </w:rPr>
        <w:t>t</w:t>
      </w:r>
      <w:r w:rsidR="003379EC">
        <w:rPr>
          <w:rFonts w:asciiTheme="minorHAnsi" w:hAnsiTheme="minorHAnsi" w:cstheme="minorHAnsi"/>
          <w:lang w:val="en"/>
        </w:rPr>
        <w:t>he</w:t>
      </w:r>
      <w:proofErr w:type="spellEnd"/>
      <w:r>
        <w:rPr>
          <w:rFonts w:asciiTheme="minorHAnsi" w:hAnsiTheme="minorHAnsi" w:cstheme="minorHAnsi"/>
          <w:lang w:val="en"/>
        </w:rPr>
        <w:t xml:space="preserve"> number of crop-</w:t>
      </w:r>
      <w:r w:rsidRPr="00192DE1">
        <w:rPr>
          <w:rFonts w:asciiTheme="minorHAnsi" w:hAnsiTheme="minorHAnsi" w:cstheme="minorHAnsi"/>
          <w:lang w:val="en"/>
        </w:rPr>
        <w:t xml:space="preserve">trees </w:t>
      </w:r>
      <w:r w:rsidR="00B3570E" w:rsidRPr="00B3570E">
        <w:rPr>
          <w:rFonts w:asciiTheme="minorHAnsi" w:hAnsiTheme="minorHAnsi" w:cstheme="minorHAnsi"/>
        </w:rPr>
        <w:t>ac</w:t>
      </w:r>
      <w:r w:rsidR="00B3570E" w:rsidRPr="00B3570E">
        <w:rPr>
          <w:rFonts w:asciiTheme="minorHAnsi" w:hAnsiTheme="minorHAnsi" w:cstheme="minorHAnsi"/>
          <w:vertAlign w:val="superscript"/>
        </w:rPr>
        <w:t>-1</w:t>
      </w:r>
      <w:r w:rsidRPr="00192DE1">
        <w:rPr>
          <w:rFonts w:asciiTheme="minorHAnsi" w:hAnsiTheme="minorHAnsi" w:cstheme="minorHAnsi"/>
          <w:lang w:val="en"/>
        </w:rPr>
        <w:t xml:space="preserve"> falls precipitously after canopy closure </w:t>
      </w:r>
      <w:r w:rsidRPr="00192DE1">
        <w:rPr>
          <w:rFonts w:asciiTheme="minorHAnsi" w:hAnsiTheme="minorHAnsi" w:cstheme="minorHAnsi"/>
          <w:lang w:val="en"/>
        </w:rPr>
        <w:fldChar w:fldCharType="begin"/>
      </w:r>
      <w:r w:rsidR="00CE2DF2">
        <w:rPr>
          <w:rFonts w:asciiTheme="minorHAnsi" w:hAnsiTheme="minorHAnsi" w:cstheme="minorHAnsi"/>
          <w:lang w:val="en"/>
        </w:rPr>
        <w:instrText xml:space="preserve"> ADDIN EN.CITE &lt;EndNote&gt;&lt;Cite&gt;&lt;Author&gt;Miller&lt;/Author&gt;&lt;Year&gt;2007&lt;/Year&gt;&lt;RecNum&gt;148&lt;/RecNum&gt;&lt;DisplayText&gt;(Miller et al. 2007)&lt;/DisplayText&gt;&lt;record&gt;&lt;rec-number&gt;148&lt;/rec-number&gt;&lt;foreign-keys&gt;&lt;key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Forestry]&lt;/publisher&gt;&lt;urls&gt;&lt;/urls&gt;&lt;/record&gt;&lt;/Cite&gt;&lt;/EndNote&gt;</w:instrText>
      </w:r>
      <w:r w:rsidRPr="00192DE1">
        <w:rPr>
          <w:rFonts w:asciiTheme="minorHAnsi" w:hAnsiTheme="minorHAnsi" w:cstheme="minorHAnsi"/>
          <w:lang w:val="en"/>
        </w:rPr>
        <w:fldChar w:fldCharType="separate"/>
      </w:r>
      <w:r w:rsidR="00CE2DF2">
        <w:rPr>
          <w:rFonts w:asciiTheme="minorHAnsi" w:hAnsiTheme="minorHAnsi" w:cstheme="minorHAnsi"/>
          <w:noProof/>
          <w:lang w:val="en"/>
        </w:rPr>
        <w:t>(</w:t>
      </w:r>
      <w:hyperlink w:anchor="_ENREF_101" w:tooltip="Miller, 2007 #148" w:history="1">
        <w:r w:rsidR="001E4C88">
          <w:rPr>
            <w:rFonts w:asciiTheme="minorHAnsi" w:hAnsiTheme="minorHAnsi" w:cstheme="minorHAnsi"/>
            <w:noProof/>
            <w:lang w:val="en"/>
          </w:rPr>
          <w:t>Miller et al. 2007</w:t>
        </w:r>
      </w:hyperlink>
      <w:r w:rsidR="00CE2DF2">
        <w:rPr>
          <w:rFonts w:asciiTheme="minorHAnsi" w:hAnsiTheme="minorHAnsi" w:cstheme="minorHAnsi"/>
          <w:noProof/>
          <w:lang w:val="en"/>
        </w:rPr>
        <w:t>)</w:t>
      </w:r>
      <w:r w:rsidRPr="00192DE1">
        <w:rPr>
          <w:rFonts w:asciiTheme="minorHAnsi" w:hAnsiTheme="minorHAnsi" w:cstheme="minorHAnsi"/>
          <w:lang w:val="en"/>
        </w:rPr>
        <w:fldChar w:fldCharType="end"/>
      </w:r>
      <w:r>
        <w:rPr>
          <w:rFonts w:asciiTheme="minorHAnsi" w:hAnsiTheme="minorHAnsi" w:cstheme="minorHAnsi"/>
          <w:lang w:val="en"/>
        </w:rPr>
        <w:t xml:space="preserve"> as does the growth potential of crop-trees </w:t>
      </w:r>
      <w:r>
        <w:rPr>
          <w:rFonts w:asciiTheme="minorHAnsi" w:hAnsiTheme="minorHAnsi" w:cstheme="minorHAnsi"/>
          <w:lang w:val="en"/>
        </w:rPr>
        <w:fldChar w:fldCharType="begin"/>
      </w:r>
      <w:r w:rsidR="00CE2DF2">
        <w:rPr>
          <w:rFonts w:asciiTheme="minorHAnsi" w:hAnsiTheme="minorHAnsi" w:cstheme="minorHAnsi"/>
          <w:lang w:val="en"/>
        </w:rPr>
        <w:instrText xml:space="preserve"> ADDIN EN.CITE &lt;EndNote&gt;&lt;Cite&gt;&lt;Author&gt;Miller&lt;/Author&gt;&lt;Year&gt;1997&lt;/Year&gt;&lt;RecNum&gt;137&lt;/RecNum&gt;&lt;DisplayText&gt;(Miller 1997)&lt;/DisplayText&gt;&lt;record&gt;&lt;rec-number&gt;137&lt;/rec-number&gt;&lt;foreign-keys&gt;&lt;key app="EN" db-id="a90s5zadewrawxeer07v2f90xr5vxv022sat"&gt;137&lt;/key&gt;&lt;/foreign-keys&gt;&lt;ref-type name="Conference Proceedings"&gt;10&lt;/ref-type&gt;&lt;contributors&gt;&lt;authors&gt;&lt;author&gt;Gary W. Miller&lt;/author&gt;&lt;/authors&gt;&lt;/contributors&gt;&lt;titles&gt;&lt;title&gt;Effect of crown growing space and age on the growth of northern red oak&lt;/title&gt;&lt;secondary-title&gt;In: Spiecker, H.; Rogers, R.; Somogyi, Z., comps. IUFRO Proceedings: advances in research in intermediate oak stands; 1997 July 27-30; Freiburg, Germany. Freiburg, Germany: University of Freiburg: 140-159.&lt;/secondary-title&gt;&lt;/titles&gt;&lt;dates&gt;&lt;year&gt;1997&lt;/year&gt;&lt;/dates&gt;&lt;urls&gt;&lt;/urls&gt;&lt;/record&gt;&lt;/Cite&gt;&lt;/EndNote&gt;</w:instrText>
      </w:r>
      <w:r>
        <w:rPr>
          <w:rFonts w:asciiTheme="minorHAnsi" w:hAnsiTheme="minorHAnsi" w:cstheme="minorHAnsi"/>
          <w:lang w:val="en"/>
        </w:rPr>
        <w:fldChar w:fldCharType="separate"/>
      </w:r>
      <w:r w:rsidR="00CE2DF2">
        <w:rPr>
          <w:rFonts w:asciiTheme="minorHAnsi" w:hAnsiTheme="minorHAnsi" w:cstheme="minorHAnsi"/>
          <w:noProof/>
          <w:lang w:val="en"/>
        </w:rPr>
        <w:t>(</w:t>
      </w:r>
      <w:hyperlink w:anchor="_ENREF_95" w:tooltip="Miller, 1997 #137" w:history="1">
        <w:r w:rsidR="001E4C88">
          <w:rPr>
            <w:rFonts w:asciiTheme="minorHAnsi" w:hAnsiTheme="minorHAnsi" w:cstheme="minorHAnsi"/>
            <w:noProof/>
            <w:lang w:val="en"/>
          </w:rPr>
          <w:t>Miller 1997</w:t>
        </w:r>
      </w:hyperlink>
      <w:r w:rsidR="00CE2DF2">
        <w:rPr>
          <w:rFonts w:asciiTheme="minorHAnsi" w:hAnsiTheme="minorHAnsi" w:cstheme="minorHAnsi"/>
          <w:noProof/>
          <w:lang w:val="en"/>
        </w:rPr>
        <w:t>)</w:t>
      </w:r>
      <w:r>
        <w:rPr>
          <w:rFonts w:asciiTheme="minorHAnsi" w:hAnsiTheme="minorHAnsi" w:cstheme="minorHAnsi"/>
          <w:lang w:val="en"/>
        </w:rPr>
        <w:fldChar w:fldCharType="end"/>
      </w:r>
      <w:r w:rsidRPr="00192DE1">
        <w:rPr>
          <w:rFonts w:asciiTheme="minorHAnsi" w:hAnsiTheme="minorHAnsi" w:cstheme="minorHAnsi"/>
          <w:lang w:val="en"/>
        </w:rPr>
        <w:t xml:space="preserve">, so there is appreciable value to be gained </w:t>
      </w:r>
      <w:r>
        <w:rPr>
          <w:rFonts w:asciiTheme="minorHAnsi" w:hAnsiTheme="minorHAnsi" w:cstheme="minorHAnsi"/>
          <w:lang w:val="en"/>
        </w:rPr>
        <w:t xml:space="preserve">(in theory) </w:t>
      </w:r>
      <w:r w:rsidRPr="00192DE1">
        <w:rPr>
          <w:rFonts w:asciiTheme="minorHAnsi" w:hAnsiTheme="minorHAnsi" w:cstheme="minorHAnsi"/>
          <w:lang w:val="en"/>
        </w:rPr>
        <w:t xml:space="preserve">by employing </w:t>
      </w:r>
      <w:proofErr w:type="spellStart"/>
      <w:r w:rsidRPr="00192DE1">
        <w:rPr>
          <w:rFonts w:asciiTheme="minorHAnsi" w:hAnsiTheme="minorHAnsi" w:cstheme="minorHAnsi"/>
          <w:lang w:val="en"/>
        </w:rPr>
        <w:t>precommercial</w:t>
      </w:r>
      <w:proofErr w:type="spellEnd"/>
      <w:r w:rsidRPr="00192DE1">
        <w:rPr>
          <w:rFonts w:asciiTheme="minorHAnsi" w:hAnsiTheme="minorHAnsi" w:cstheme="minorHAnsi"/>
          <w:lang w:val="en"/>
        </w:rPr>
        <w:t>-CTR (PCTR)</w:t>
      </w:r>
      <w:r>
        <w:rPr>
          <w:rFonts w:asciiTheme="minorHAnsi" w:hAnsiTheme="minorHAnsi" w:cstheme="minorHAnsi"/>
          <w:lang w:val="en"/>
        </w:rPr>
        <w:t>, especially</w:t>
      </w:r>
      <w:r w:rsidRPr="00192DE1">
        <w:rPr>
          <w:rFonts w:asciiTheme="minorHAnsi" w:hAnsiTheme="minorHAnsi" w:cstheme="minorHAnsi"/>
          <w:lang w:val="en"/>
        </w:rPr>
        <w:t xml:space="preserve"> if carbon revenues are large enough to finance </w:t>
      </w:r>
      <w:r>
        <w:rPr>
          <w:rFonts w:asciiTheme="minorHAnsi" w:hAnsiTheme="minorHAnsi" w:cstheme="minorHAnsi"/>
          <w:lang w:val="en"/>
        </w:rPr>
        <w:t xml:space="preserve">such </w:t>
      </w:r>
      <w:r w:rsidRPr="00192DE1">
        <w:rPr>
          <w:rFonts w:asciiTheme="minorHAnsi" w:hAnsiTheme="minorHAnsi" w:cstheme="minorHAnsi"/>
          <w:lang w:val="en"/>
        </w:rPr>
        <w:t xml:space="preserve">rarely applied but promising </w:t>
      </w:r>
      <w:r>
        <w:rPr>
          <w:rFonts w:asciiTheme="minorHAnsi" w:hAnsiTheme="minorHAnsi" w:cstheme="minorHAnsi"/>
          <w:lang w:val="en"/>
        </w:rPr>
        <w:t xml:space="preserve">cultural </w:t>
      </w:r>
      <w:r w:rsidRPr="00192DE1">
        <w:rPr>
          <w:rFonts w:asciiTheme="minorHAnsi" w:hAnsiTheme="minorHAnsi" w:cstheme="minorHAnsi"/>
          <w:lang w:val="en"/>
        </w:rPr>
        <w:t>treatment</w:t>
      </w:r>
      <w:r>
        <w:rPr>
          <w:rFonts w:asciiTheme="minorHAnsi" w:hAnsiTheme="minorHAnsi" w:cstheme="minorHAnsi"/>
          <w:lang w:val="en"/>
        </w:rPr>
        <w:t>s early-on in the rotation.</w:t>
      </w:r>
      <w:r w:rsidR="0010106D">
        <w:rPr>
          <w:rFonts w:asciiTheme="minorHAnsi" w:hAnsiTheme="minorHAnsi" w:cstheme="minorHAnsi"/>
        </w:rPr>
        <w:t xml:space="preserve"> </w:t>
      </w:r>
    </w:p>
    <w:p w:rsidR="006A3DAD" w:rsidRDefault="0015704F" w:rsidP="003678BB">
      <w:pPr>
        <w:spacing w:line="480" w:lineRule="auto"/>
        <w:ind w:firstLine="720"/>
      </w:pPr>
      <w:r>
        <w:rPr>
          <w:rFonts w:asciiTheme="minorHAnsi" w:hAnsiTheme="minorHAnsi" w:cstheme="minorHAnsi"/>
        </w:rPr>
        <w:t>T</w:t>
      </w:r>
      <w:r>
        <w:t xml:space="preserve">o ensure the survival and competitive canopy </w:t>
      </w:r>
      <w:r w:rsidRPr="008774DC">
        <w:t xml:space="preserve">positions of oaks and other </w:t>
      </w:r>
      <w:r>
        <w:t>desirable</w:t>
      </w:r>
      <w:r w:rsidRPr="008774DC">
        <w:t xml:space="preserve"> crop trees</w:t>
      </w:r>
      <w:r>
        <w:rPr>
          <w:rFonts w:asciiTheme="minorHAnsi" w:hAnsiTheme="minorHAnsi" w:cstheme="minorHAnsi"/>
        </w:rPr>
        <w:t xml:space="preserve">, PCTR </w:t>
      </w:r>
      <w:r w:rsidRPr="00192DE1">
        <w:rPr>
          <w:rFonts w:asciiTheme="minorHAnsi" w:hAnsiTheme="minorHAnsi" w:cstheme="minorHAnsi"/>
        </w:rPr>
        <w:t xml:space="preserve">via chemical control </w:t>
      </w:r>
      <w:r>
        <w:rPr>
          <w:rFonts w:asciiTheme="minorHAnsi" w:hAnsiTheme="minorHAnsi" w:cstheme="minorHAnsi"/>
        </w:rPr>
        <w:t xml:space="preserve">was simulated for each even-aged stand zero to ten years after canopy closure depending on </w:t>
      </w:r>
      <w:r w:rsidR="00DB08C7">
        <w:rPr>
          <w:rFonts w:asciiTheme="minorHAnsi" w:hAnsiTheme="minorHAnsi" w:cstheme="minorHAnsi"/>
        </w:rPr>
        <w:t>site quality</w:t>
      </w:r>
      <w:r w:rsidR="00D536E0">
        <w:t>, a</w:t>
      </w:r>
      <w:r w:rsidR="00D536E0" w:rsidRPr="00591524">
        <w:t xml:space="preserve">s </w:t>
      </w:r>
      <w:r w:rsidR="00530166">
        <w:t>shown</w:t>
      </w:r>
      <w:r w:rsidR="00D536E0" w:rsidRPr="00591524">
        <w:t xml:space="preserve"> in Table </w:t>
      </w:r>
      <w:r w:rsidR="00D536E0">
        <w:t>2</w:t>
      </w:r>
      <w:r w:rsidR="00296CED">
        <w:rPr>
          <w:rFonts w:asciiTheme="minorHAnsi" w:hAnsiTheme="minorHAnsi" w:cstheme="minorHAnsi"/>
        </w:rPr>
        <w:t xml:space="preserve">.  </w:t>
      </w:r>
      <w:r w:rsidR="00296CED" w:rsidRPr="00192DE1">
        <w:rPr>
          <w:rFonts w:asciiTheme="minorHAnsi" w:hAnsiTheme="minorHAnsi" w:cstheme="minorHAnsi"/>
        </w:rPr>
        <w:t xml:space="preserve">An average of </w:t>
      </w:r>
      <w:r w:rsidR="00DB08C7">
        <w:rPr>
          <w:rFonts w:asciiTheme="minorHAnsi" w:hAnsiTheme="minorHAnsi" w:cstheme="minorHAnsi"/>
        </w:rPr>
        <w:t>60-</w:t>
      </w:r>
      <w:r w:rsidR="00296CED" w:rsidRPr="00192DE1">
        <w:rPr>
          <w:rFonts w:asciiTheme="minorHAnsi" w:hAnsiTheme="minorHAnsi" w:cstheme="minorHAnsi"/>
        </w:rPr>
        <w:t>70 crop trees were assumed to be favored</w:t>
      </w:r>
      <w:r w:rsidR="003379EC">
        <w:rPr>
          <w:rFonts w:asciiTheme="minorHAnsi" w:hAnsiTheme="minorHAnsi" w:cstheme="minorHAnsi"/>
        </w:rPr>
        <w:t xml:space="preserve"> in CTR treatments in </w:t>
      </w:r>
      <w:r w:rsidR="00530166">
        <w:rPr>
          <w:rFonts w:asciiTheme="minorHAnsi" w:hAnsiTheme="minorHAnsi" w:cstheme="minorHAnsi"/>
        </w:rPr>
        <w:t>agreement</w:t>
      </w:r>
      <w:r w:rsidR="00530166" w:rsidRPr="00192DE1">
        <w:rPr>
          <w:rFonts w:asciiTheme="minorHAnsi" w:hAnsiTheme="minorHAnsi" w:cstheme="minorHAnsi"/>
        </w:rPr>
        <w:t xml:space="preserve"> with guidance by Miller et al. </w:t>
      </w:r>
      <w:r w:rsidR="00530166" w:rsidRPr="00192DE1">
        <w:rPr>
          <w:rFonts w:asciiTheme="minorHAnsi" w:hAnsiTheme="minorHAnsi" w:cstheme="minorHAnsi"/>
          <w:lang w:val="en"/>
        </w:rPr>
        <w:fldChar w:fldCharType="begin"/>
      </w:r>
      <w:r w:rsidR="0056578C">
        <w:rPr>
          <w:rFonts w:asciiTheme="minorHAnsi" w:hAnsiTheme="minorHAnsi" w:cstheme="minorHAnsi"/>
          <w:lang w:val="en"/>
        </w:rPr>
        <w:instrText xml:space="preserve"> ADDIN EN.CITE &lt;EndNote&gt;&lt;Cite ExcludeAuth="1"&gt;&lt;Author&gt;Miller&lt;/Author&gt;&lt;Year&gt;2007&lt;/Year&gt;&lt;RecNum&gt;148&lt;/RecNum&gt;&lt;DisplayText&gt;(2007)&lt;/DisplayText&gt;&lt;record&gt;&lt;rec-number&gt;148&lt;/rec-number&gt;&lt;foreign-keys&gt;&lt;key app="EN" db-id="a90s5zadewrawxeer07v2f90xr5vxv022sat"&gt;148&lt;/key&gt;&lt;/foreign-keys&gt;&lt;ref-type name="Report"&gt;27&lt;/ref-type&gt;&lt;contributors&gt;&lt;authors&gt;&lt;author&gt;Gary W. Miller&lt;/author&gt;&lt;author&gt;Jeffrey W. Stringer&lt;/author&gt;&lt;author&gt;David C. Mercker&lt;/author&gt;&lt;/authors&gt;&lt;/contributors&gt;&lt;titles&gt;&lt;title&gt;Technical Guide to Crop Tree Release in Hardwood Forests&lt;/title&gt;&lt;/titles&gt;&lt;dates&gt;&lt;year&gt;2007&lt;/year&gt;&lt;/dates&gt;&lt;publisher&gt;Publication PB1774. Knoxville, TN: University of Tennessee Extension. 24 p. [Published with the University of Kentucky Cooperative Extension and Southern Regional Extension Forestry]&lt;/publisher&gt;&lt;urls&gt;&lt;/urls&gt;&lt;/record&gt;&lt;/Cite&gt;&lt;/EndNote&gt;</w:instrText>
      </w:r>
      <w:r w:rsidR="00530166" w:rsidRPr="00192DE1">
        <w:rPr>
          <w:rFonts w:asciiTheme="minorHAnsi" w:hAnsiTheme="minorHAnsi" w:cstheme="minorHAnsi"/>
          <w:lang w:val="en"/>
        </w:rPr>
        <w:fldChar w:fldCharType="separate"/>
      </w:r>
      <w:r w:rsidR="00A87D07">
        <w:rPr>
          <w:rFonts w:asciiTheme="minorHAnsi" w:hAnsiTheme="minorHAnsi" w:cstheme="minorHAnsi"/>
          <w:noProof/>
          <w:lang w:val="en"/>
        </w:rPr>
        <w:t>(</w:t>
      </w:r>
      <w:hyperlink w:anchor="_ENREF_101" w:tooltip="Miller, 2007 #148" w:history="1">
        <w:r w:rsidR="001E4C88">
          <w:rPr>
            <w:rFonts w:asciiTheme="minorHAnsi" w:hAnsiTheme="minorHAnsi" w:cstheme="minorHAnsi"/>
            <w:noProof/>
            <w:lang w:val="en"/>
          </w:rPr>
          <w:t>2007</w:t>
        </w:r>
      </w:hyperlink>
      <w:r w:rsidR="00A87D07">
        <w:rPr>
          <w:rFonts w:asciiTheme="minorHAnsi" w:hAnsiTheme="minorHAnsi" w:cstheme="minorHAnsi"/>
          <w:noProof/>
          <w:lang w:val="en"/>
        </w:rPr>
        <w:t>)</w:t>
      </w:r>
      <w:r w:rsidR="00530166" w:rsidRPr="00192DE1">
        <w:rPr>
          <w:rFonts w:asciiTheme="minorHAnsi" w:hAnsiTheme="minorHAnsi" w:cstheme="minorHAnsi"/>
          <w:lang w:val="en"/>
        </w:rPr>
        <w:fldChar w:fldCharType="end"/>
      </w:r>
      <w:r w:rsidR="00530166" w:rsidRPr="00192DE1">
        <w:rPr>
          <w:rFonts w:asciiTheme="minorHAnsi" w:hAnsiTheme="minorHAnsi" w:cstheme="minorHAnsi"/>
        </w:rPr>
        <w:t xml:space="preserve">.  Chemical release at initial canopy closure was simulated in relevant stands instead of treatment by chainsaw felling or girdling because the herbicide injection method </w:t>
      </w:r>
      <w:r w:rsidR="00530166">
        <w:rPr>
          <w:rFonts w:asciiTheme="minorHAnsi" w:hAnsiTheme="minorHAnsi" w:cstheme="minorHAnsi"/>
        </w:rPr>
        <w:t>is</w:t>
      </w:r>
      <w:r w:rsidR="00530166" w:rsidRPr="00192DE1">
        <w:rPr>
          <w:rFonts w:asciiTheme="minorHAnsi" w:hAnsiTheme="minorHAnsi" w:cstheme="minorHAnsi"/>
        </w:rPr>
        <w:t xml:space="preserve"> less expensive </w:t>
      </w:r>
      <w:r w:rsidR="00530166" w:rsidRPr="00192DE1">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&lt;EndNote&gt;&lt;Cite&gt;&lt;Author&gt;Groninger&lt;/Author&gt;&lt;Year&gt;1998&lt;/Year&gt;&lt;RecNum&gt;133&lt;/RecNum&gt;&lt;DisplayText&gt;(Groninger et al. 1998; Kochenderfer et al. 2001)&lt;/DisplayText&gt;&lt;record&gt;&lt;rec-number&gt;133&lt;/rec-number&gt;&lt;foreign-keys&gt;&lt;key app="EN" db-id="a90s5zadewrawxeer07v2f90xr5vxv022sat"&gt;133&lt;/key&gt;&lt;/foreign-keys&gt;&lt;ref-type name="Journal Article"&gt;17&lt;/ref-type&gt;&lt;contributors&gt;&lt;authors&gt;&lt;author&gt;Groninger, John W.&lt;/author&gt;&lt;author&gt;Stein, Henry D.&lt;/author&gt;&lt;author&gt;Zedaker, Shepard M.&lt;/author&gt;&lt;author&gt;Smith, David Wm&lt;/author&gt;&lt;/authors&gt;&lt;/contributors&gt;&lt;titles&gt;&lt;title&gt;Growth Response and Cost Comparisons for Precommercial Thinning Methods of Appalachian Oak Stump Sprout Clumps&lt;/title&gt;&lt;secondary-title&gt;Southern Journal of Applied Forestry&lt;/secondary-title&gt;&lt;/titles&gt;&lt;periodical&gt;&lt;full-title&gt;Southern Journal of Applied Forestry&lt;/full-title&gt;&lt;/periodical&gt;&lt;pages&gt;19-23&lt;/pages&gt;&lt;volume&gt;22&lt;/volume&gt;&lt;dates&gt;&lt;year&gt;1998&lt;/year&gt;&lt;/dates&gt;&lt;urls&gt;&lt;related-urls&gt;&lt;url&gt;http://www.ingentaconnect.com/content/saf/sjaf/1998/00000022/00000001/art00006&lt;/url&gt;&lt;/related-urls&gt;&lt;/urls&gt;&lt;/record&gt;&lt;/Cite&gt;&lt;Cite&gt;&lt;Author&gt;Kochenderfer&lt;/Author&gt;&lt;Year&gt;2001&lt;/Year&gt;&lt;RecNum&gt;134&lt;/RecNum&gt;&lt;record&gt;&lt;rec-number&gt;134&lt;/rec-number&gt;&lt;foreign-keys&gt;&lt;key app="EN" db-id="a90s5zadewrawxeer07v2f90xr5vxv022sat"&gt;134&lt;/key&gt;&lt;/foreign-keys&gt;&lt;ref-type name="Journal Article"&gt;17&lt;/ref-type&gt;&lt;contributors&gt;&lt;authors&gt;&lt;author&gt;Kochenderfer, J. D.&lt;/author&gt;&lt;author&gt;Zedaker, S. M.&lt;/author&gt;&lt;author&gt;Johnson, J. E.&lt;/author&gt;&lt;author&gt;Smith, D. W.&lt;/author&gt;&lt;author&gt;Miller, G. W.&lt;/author&gt;&lt;/authors&gt;&lt;/contributors&gt;&lt;titles&gt;&lt;title&gt;Herbicide Hardwood Crop Tree Release in Central West Virginia&lt;/title&gt;&lt;secondary-title&gt;Northern Journal of Applied Forestry&lt;/secondary-title&gt;&lt;/titles&gt;&lt;periodical&gt;&lt;full-title&gt;Northern Journal of Applied Forestry&lt;/full-title&gt;&lt;abbr-1&gt;North. J. Appl. For.&lt;/abbr-1&gt;&lt;/periodical&gt;&lt;pages&gt;46-54&lt;/pages&gt;&lt;volume&gt;18&lt;/volume&gt;&lt;dates&gt;&lt;year&gt;2001&lt;/year&gt;&lt;/dates&gt;&lt;urls&gt;&lt;related-urls&gt;&lt;url&gt;http://www.ingentaconnect.com/content/saf/njaf/2001/00000018/00000002/art00004&lt;/url&gt;&lt;/related-urls&gt;&lt;/urls&gt;&lt;/record&gt;&lt;/Cite&gt;&lt;/EndNote&gt;</w:instrText>
      </w:r>
      <w:r w:rsidR="00530166" w:rsidRPr="00192DE1">
        <w:rPr>
          <w:rFonts w:asciiTheme="minorHAnsi" w:hAnsiTheme="minorHAnsi" w:cstheme="minorHAnsi"/>
        </w:rPr>
        <w:fldChar w:fldCharType="separate"/>
      </w:r>
      <w:r w:rsidR="00CE2DF2">
        <w:rPr>
          <w:rFonts w:asciiTheme="minorHAnsi" w:hAnsiTheme="minorHAnsi" w:cstheme="minorHAnsi"/>
          <w:noProof/>
        </w:rPr>
        <w:t>(</w:t>
      </w:r>
      <w:hyperlink w:anchor="_ENREF_62" w:tooltip="Groninger, 1998 #133" w:history="1">
        <w:r w:rsidR="001E4C88">
          <w:rPr>
            <w:rFonts w:asciiTheme="minorHAnsi" w:hAnsiTheme="minorHAnsi" w:cstheme="minorHAnsi"/>
            <w:noProof/>
          </w:rPr>
          <w:t>Groninger et al. 1998</w:t>
        </w:r>
      </w:hyperlink>
      <w:r w:rsidR="00CE2DF2">
        <w:rPr>
          <w:rFonts w:asciiTheme="minorHAnsi" w:hAnsiTheme="minorHAnsi" w:cstheme="minorHAnsi"/>
          <w:noProof/>
        </w:rPr>
        <w:t xml:space="preserve">; </w:t>
      </w:r>
      <w:hyperlink w:anchor="_ENREF_77" w:tooltip="Kochenderfer, 2001 #134" w:history="1">
        <w:r w:rsidR="001E4C88">
          <w:rPr>
            <w:rFonts w:asciiTheme="minorHAnsi" w:hAnsiTheme="minorHAnsi" w:cstheme="minorHAnsi"/>
            <w:noProof/>
          </w:rPr>
          <w:t>Kochenderfer et al. 2001</w:t>
        </w:r>
      </w:hyperlink>
      <w:r w:rsidR="00CE2DF2">
        <w:rPr>
          <w:rFonts w:asciiTheme="minorHAnsi" w:hAnsiTheme="minorHAnsi" w:cstheme="minorHAnsi"/>
          <w:noProof/>
        </w:rPr>
        <w:t>)</w:t>
      </w:r>
      <w:r w:rsidR="00530166" w:rsidRPr="00192DE1">
        <w:rPr>
          <w:rFonts w:asciiTheme="minorHAnsi" w:hAnsiTheme="minorHAnsi" w:cstheme="minorHAnsi"/>
        </w:rPr>
        <w:fldChar w:fldCharType="end"/>
      </w:r>
      <w:r w:rsidR="00530166" w:rsidRPr="00192DE1">
        <w:rPr>
          <w:rFonts w:asciiTheme="minorHAnsi" w:hAnsiTheme="minorHAnsi" w:cstheme="minorHAnsi"/>
        </w:rPr>
        <w:t xml:space="preserve">.  Regardless of cost savings, chemical control </w:t>
      </w:r>
      <w:r w:rsidR="00530166">
        <w:rPr>
          <w:rFonts w:asciiTheme="minorHAnsi" w:hAnsiTheme="minorHAnsi" w:cstheme="minorHAnsi"/>
        </w:rPr>
        <w:t xml:space="preserve">may </w:t>
      </w:r>
      <w:r w:rsidR="00530166" w:rsidRPr="00192DE1">
        <w:rPr>
          <w:rFonts w:asciiTheme="minorHAnsi" w:hAnsiTheme="minorHAnsi" w:cstheme="minorHAnsi"/>
        </w:rPr>
        <w:t>provide an extended period of release</w:t>
      </w:r>
      <w:r w:rsidR="00530166">
        <w:rPr>
          <w:rFonts w:asciiTheme="minorHAnsi" w:hAnsiTheme="minorHAnsi" w:cstheme="minorHAnsi"/>
        </w:rPr>
        <w:t xml:space="preserve"> relative to mechanical treatment </w:t>
      </w:r>
      <w:r w:rsidR="00530166">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&lt;EndNote&gt;&lt;Cite&gt;&lt;Author&gt;Wendel&lt;/Author&gt;&lt;Year&gt;1987&lt;/Year&gt;&lt;RecNum&gt;268&lt;/RecNum&gt;&lt;DisplayText&gt;(Wendel and Lamson 1987)&lt;/DisplayText&gt;&lt;record&gt;&lt;rec-number&gt;268&lt;/rec-number&gt;&lt;foreign-keys&gt;&lt;key app="EN" db-id="a90s5zadewrawxeer07v2f90xr5vxv022sat"&gt;268&lt;/key&gt;&lt;/foreign-keys&gt;&lt;ref-type name="Report"&gt;27&lt;/ref-type&gt;&lt;contributors&gt;&lt;authors&gt;&lt;author&gt;Wendel, G.W.&lt;/author&gt;&lt;author&gt;Lamson, Neil I. &lt;/author&gt;&lt;/authors&gt;&lt;/contributors&gt;&lt;titles&gt;&lt;title&gt;Effects of herbicide release on the growth of 8- to 12-year-old hardwood trees.  NE-RP-598. Broomall, PA: U.S. Department of Agriculture, Forest Service, Northeastern Forest Experiment Station. 4 p&lt;/title&gt;&lt;/titles&gt;&lt;dates&gt;&lt;year&gt;1987&lt;/year&gt;&lt;/dates&gt;&lt;urls&gt;&lt;/urls&gt;&lt;/record&gt;&lt;/Cite&gt;&lt;/EndNote&gt;</w:instrText>
      </w:r>
      <w:r w:rsidR="00530166">
        <w:rPr>
          <w:rFonts w:asciiTheme="minorHAnsi" w:hAnsiTheme="minorHAnsi" w:cstheme="minorHAnsi"/>
        </w:rPr>
        <w:fldChar w:fldCharType="separate"/>
      </w:r>
      <w:r w:rsidR="00A87D07">
        <w:rPr>
          <w:rFonts w:asciiTheme="minorHAnsi" w:hAnsiTheme="minorHAnsi" w:cstheme="minorHAnsi"/>
          <w:noProof/>
        </w:rPr>
        <w:t>(</w:t>
      </w:r>
      <w:hyperlink w:anchor="_ENREF_146" w:tooltip="Wendel, 1987 #268" w:history="1">
        <w:r w:rsidR="001E4C88">
          <w:rPr>
            <w:rFonts w:asciiTheme="minorHAnsi" w:hAnsiTheme="minorHAnsi" w:cstheme="minorHAnsi"/>
            <w:noProof/>
          </w:rPr>
          <w:t>Wendel and Lamson 1987</w:t>
        </w:r>
      </w:hyperlink>
      <w:r w:rsidR="00A87D07">
        <w:rPr>
          <w:rFonts w:asciiTheme="minorHAnsi" w:hAnsiTheme="minorHAnsi" w:cstheme="minorHAnsi"/>
          <w:noProof/>
        </w:rPr>
        <w:t>)</w:t>
      </w:r>
      <w:r w:rsidR="00530166">
        <w:rPr>
          <w:rFonts w:asciiTheme="minorHAnsi" w:hAnsiTheme="minorHAnsi" w:cstheme="minorHAnsi"/>
        </w:rPr>
        <w:fldChar w:fldCharType="end"/>
      </w:r>
      <w:r w:rsidR="00530166">
        <w:rPr>
          <w:rFonts w:asciiTheme="minorHAnsi" w:hAnsiTheme="minorHAnsi" w:cstheme="minorHAnsi"/>
        </w:rPr>
        <w:t>.</w:t>
      </w:r>
      <w:r w:rsidR="00530166">
        <w:t xml:space="preserve">  Again, thinnings were</w:t>
      </w:r>
      <w:r w:rsidR="00530166" w:rsidRPr="008774DC">
        <w:t xml:space="preserve"> repeated in </w:t>
      </w:r>
      <w:r w:rsidR="00530166" w:rsidRPr="003222D1">
        <w:t>the latter half of the simulation</w:t>
      </w:r>
      <w:r w:rsidR="00530166">
        <w:t xml:space="preserve"> to maintain periodic annual growth but also to prevent the crowding out of intolerant species such as Scarlet oak (</w:t>
      </w:r>
      <w:proofErr w:type="spellStart"/>
      <w:r w:rsidR="00530166">
        <w:rPr>
          <w:i/>
        </w:rPr>
        <w:t>Quercus</w:t>
      </w:r>
      <w:proofErr w:type="spellEnd"/>
      <w:r w:rsidR="00530166">
        <w:rPr>
          <w:i/>
        </w:rPr>
        <w:t xml:space="preserve"> </w:t>
      </w:r>
      <w:proofErr w:type="spellStart"/>
      <w:r w:rsidR="00530166">
        <w:rPr>
          <w:i/>
        </w:rPr>
        <w:t>coccinea</w:t>
      </w:r>
      <w:proofErr w:type="spellEnd"/>
      <w:r w:rsidR="00530166">
        <w:t xml:space="preserve">), </w:t>
      </w:r>
      <w:r w:rsidR="00D47C88">
        <w:t>B</w:t>
      </w:r>
      <w:r w:rsidR="00530166">
        <w:t xml:space="preserve">lack cherry, and </w:t>
      </w:r>
      <w:r w:rsidR="00D47C88">
        <w:t>B</w:t>
      </w:r>
      <w:r w:rsidR="00530166">
        <w:t xml:space="preserve">lack </w:t>
      </w:r>
      <w:r w:rsidR="00530166" w:rsidRPr="00105F0D">
        <w:rPr>
          <w:rFonts w:asciiTheme="minorHAnsi" w:hAnsiTheme="minorHAnsi" w:cstheme="minorHAnsi"/>
        </w:rPr>
        <w:t>walnut</w:t>
      </w:r>
      <w:r w:rsidR="00530166">
        <w:rPr>
          <w:rFonts w:asciiTheme="minorHAnsi" w:hAnsiTheme="minorHAnsi" w:cstheme="minorHAnsi"/>
        </w:rPr>
        <w:t xml:space="preserve"> </w:t>
      </w:r>
      <w:r w:rsidR="00530166">
        <w:t xml:space="preserve">by the pervasive </w:t>
      </w:r>
      <w:r w:rsidR="00D47C88">
        <w:t>R</w:t>
      </w:r>
      <w:r w:rsidR="00530166">
        <w:t xml:space="preserve">ed and </w:t>
      </w:r>
      <w:r w:rsidR="00D47C88">
        <w:t>S</w:t>
      </w:r>
      <w:r w:rsidR="00530166">
        <w:t>ugar (</w:t>
      </w:r>
      <w:r w:rsidR="00530166" w:rsidRPr="00105F0D">
        <w:rPr>
          <w:i/>
        </w:rPr>
        <w:t xml:space="preserve">Acer </w:t>
      </w:r>
      <w:proofErr w:type="spellStart"/>
      <w:r w:rsidR="00530166" w:rsidRPr="00105F0D">
        <w:rPr>
          <w:i/>
        </w:rPr>
        <w:t>saccharum</w:t>
      </w:r>
      <w:proofErr w:type="spellEnd"/>
      <w:r w:rsidR="00530166">
        <w:t>) maples</w:t>
      </w:r>
      <w:r w:rsidR="00530166" w:rsidRPr="008774DC">
        <w:t xml:space="preserve">.  </w:t>
      </w:r>
      <w:r w:rsidR="00530166">
        <w:t>Of those that were commercial operations or nearly so, distribution-of-cut (</w:t>
      </w:r>
      <w:proofErr w:type="spellStart"/>
      <w:r w:rsidR="00530166">
        <w:t>DoC</w:t>
      </w:r>
      <w:proofErr w:type="spellEnd"/>
      <w:r w:rsidR="00530166">
        <w:t xml:space="preserve">) recommendations for Allegheny hardwoods </w:t>
      </w:r>
      <w:r w:rsidR="00530166">
        <w:fldChar w:fldCharType="begin"/>
      </w:r>
      <w:r w:rsidR="00A87D07">
        <w:instrText xml:space="preserve"> ADDIN EN.CITE &lt;EndNote&gt;&lt;Cite&gt;&lt;Author&gt;Nowak&lt;/Author&gt;&lt;Year&gt;1997&lt;/Year&gt;&lt;RecNum&gt;168&lt;/RecNum&gt;&lt;DisplayText&gt;(Nowak and Marquis 1997)&lt;/DisplayText&gt;&lt;record&gt;&lt;rec-number&gt;168&lt;/rec-number&gt;&lt;foreign-keys&gt;&lt;key app="EN" db-id="a90s5zadewrawxeer07v2f90xr5vxv022sat"&gt;168&lt;/key&gt;&lt;/foreign-keys&gt;&lt;ref-type name="Report"&gt;27&lt;/ref-type&gt;&lt;contributors&gt;&lt;authors&gt;&lt;author&gt;Nowak, Christopher A.&lt;/author&gt;&lt;author&gt;Marquis, David A.&lt;/author&gt;&lt;/authors&gt;&lt;/contributors&gt;&lt;titles&gt;&lt;title&gt;Distribution-of-cut guides for thinning in Allegheny hardwoods: a review. Res. Notes NE-362. Radnor, PA: U.S. Department of Agriculture, Forest Service, Northeastern Forest Experiment Station. 7 p&lt;/title&gt;&lt;/titles&gt;&lt;dates&gt;&lt;year&gt;1997&lt;/year&gt;&lt;/dates&gt;&lt;urls&gt;&lt;related-urls&gt;&lt;url&gt;http://nrs.fs.fed.us/pubs/6141&lt;/url&gt;&lt;/related-urls&gt;&lt;/urls&gt;&lt;/record&gt;&lt;/Cite&gt;&lt;/EndNote&gt;</w:instrText>
      </w:r>
      <w:r w:rsidR="00530166">
        <w:fldChar w:fldCharType="separate"/>
      </w:r>
      <w:r w:rsidR="00A87D07">
        <w:rPr>
          <w:noProof/>
        </w:rPr>
        <w:t>(</w:t>
      </w:r>
      <w:hyperlink w:anchor="_ENREF_106" w:tooltip="Nowak, 1997 #168" w:history="1">
        <w:r w:rsidR="001E4C88">
          <w:rPr>
            <w:noProof/>
          </w:rPr>
          <w:t>Nowak and Marquis 1997</w:t>
        </w:r>
      </w:hyperlink>
      <w:r w:rsidR="00A87D07">
        <w:rPr>
          <w:noProof/>
        </w:rPr>
        <w:t>)</w:t>
      </w:r>
      <w:r w:rsidR="00530166">
        <w:fldChar w:fldCharType="end"/>
      </w:r>
      <w:r w:rsidR="00530166">
        <w:t xml:space="preserve"> were employed as proxy CTR thinnings since there is no other specific and standardized guidelines by which to carry out thinnings; </w:t>
      </w:r>
      <w:proofErr w:type="spellStart"/>
      <w:r w:rsidR="00530166">
        <w:t>DoC</w:t>
      </w:r>
      <w:proofErr w:type="spellEnd"/>
      <w:r w:rsidR="00530166">
        <w:t xml:space="preserve"> guidelines were found to target trees among crop tree heights just as CTR marking guidelines suggest.  From a cash-flow perspective, these treatments represented both expenditures and earnings depending on stand age, as indica</w:t>
      </w:r>
      <w:r w:rsidR="009A1EC3">
        <w:t>ted by color codes in Table 2.</w:t>
      </w:r>
    </w:p>
    <w:p w:rsidR="009450A1" w:rsidRPr="009A1EC3" w:rsidRDefault="009450A1" w:rsidP="003678BB">
      <w:pPr>
        <w:spacing w:line="480" w:lineRule="auto"/>
        <w:ind w:firstLine="720"/>
      </w:pPr>
    </w:p>
    <w:p w:rsidR="008E38BC" w:rsidRPr="002B58DD" w:rsidRDefault="008E38BC" w:rsidP="005D07C8">
      <w:pPr>
        <w:numPr>
          <w:ilvl w:val="1"/>
          <w:numId w:val="16"/>
        </w:numPr>
        <w:spacing w:line="240" w:lineRule="auto"/>
        <w:ind w:left="450"/>
        <w:rPr>
          <w:b/>
          <w:bCs/>
          <w:i/>
        </w:rPr>
      </w:pPr>
      <w:r>
        <w:rPr>
          <w:rFonts w:cs="TimesNewRomanPSMT"/>
          <w:b/>
          <w:bCs/>
          <w:i/>
        </w:rPr>
        <w:lastRenderedPageBreak/>
        <w:t>Carbon Accounting Approach and Assumptions</w:t>
      </w:r>
    </w:p>
    <w:p w:rsidR="00924090" w:rsidRPr="00242FAF" w:rsidRDefault="00924090" w:rsidP="00924090">
      <w:pPr>
        <w:spacing w:line="480" w:lineRule="auto"/>
        <w:ind w:firstLine="720"/>
      </w:pPr>
      <w:r>
        <w:t xml:space="preserve">CAR projects estimate the below-ground live carbon pool (course-root carbon) using the Cairns </w:t>
      </w:r>
      <w:r w:rsidRPr="00094AF5">
        <w:t>et al.</w:t>
      </w:r>
      <w:r>
        <w:t xml:space="preserve"> </w:t>
      </w:r>
      <w:r w:rsidR="003D7BAC">
        <w:fldChar w:fldCharType="begin"/>
      </w:r>
      <w:r w:rsidR="003D7BAC">
        <w:instrText xml:space="preserve"> ADDIN EN.CITE &lt;EndNote&gt;&lt;Cite ExcludeAuth="1"&gt;&lt;Author&gt;Cairns&lt;/Author&gt;&lt;Year&gt;1997&lt;/Year&gt;&lt;RecNum&gt;241&lt;/RecNum&gt;&lt;DisplayText&gt;(1997)&lt;/DisplayText&gt;&lt;record&gt;&lt;rec-number&gt;241&lt;/rec-number&gt;&lt;foreign-keys&gt;&lt;key app="EN" db-id="a90s5zadewrawxeer07v2f90xr5vxv022sat"&gt;241&lt;/key&gt;&lt;/foreign-keys&gt;&lt;ref-type name="Journal Article"&gt;17&lt;/ref-type&gt;&lt;contributors&gt;&lt;authors&gt;&lt;author&gt;Cairns, M. A.&lt;/author&gt;&lt;author&gt;S. Brown&lt;/author&gt;&lt;author&gt;E. H. Helmer&lt;/author&gt;&lt;author&gt;G. A. Baumgardner&lt;/author&gt;&lt;/authors&gt;&lt;/contributors&gt;&lt;titles&gt;&lt;title&gt;Root biomass allocation in the world&amp;apos;s upland forests. Biomedical and Life Sciences&lt;/title&gt;&lt;secondary-title&gt;Oecologia&lt;/secondary-title&gt;&lt;/titles&gt;&lt;periodical&gt;&lt;full-title&gt;Oecologia&lt;/full-title&gt;&lt;/periodical&gt;&lt;pages&gt;1-11&lt;/pages&gt;&lt;volume&gt;111&lt;/volume&gt;&lt;number&gt;1&lt;/number&gt;&lt;dates&gt;&lt;year&gt;1997&lt;/year&gt;&lt;/dates&gt;&lt;urls&gt;&lt;related-urls&gt;&lt;url&gt;http://www.winrock.org/ecosystems/files/rootbiomassallocationintheworldsuplandforests1997.pdf&lt;/url&gt;&lt;/related-urls&gt;&lt;/urls&gt;&lt;/record&gt;&lt;/Cite&gt;&lt;/EndNote&gt;</w:instrText>
      </w:r>
      <w:r w:rsidR="003D7BAC">
        <w:fldChar w:fldCharType="separate"/>
      </w:r>
      <w:r w:rsidR="003D7BAC">
        <w:rPr>
          <w:noProof/>
        </w:rPr>
        <w:t>(</w:t>
      </w:r>
      <w:hyperlink w:anchor="_ENREF_33" w:tooltip="Cairns, 1997 #241" w:history="1">
        <w:r w:rsidR="001E4C88">
          <w:rPr>
            <w:noProof/>
          </w:rPr>
          <w:t>1997</w:t>
        </w:r>
      </w:hyperlink>
      <w:r w:rsidR="003D7BAC">
        <w:rPr>
          <w:noProof/>
        </w:rPr>
        <w:t>)</w:t>
      </w:r>
      <w:r w:rsidR="003D7BAC">
        <w:fldChar w:fldCharType="end"/>
      </w:r>
      <w:r>
        <w:t xml:space="preserve"> equation.  This relationship is derived from temperate forest studies across the globe but does not differentiate between conifers and hardwoods and is a function of AGL biomass on a ac</w:t>
      </w:r>
      <w:r w:rsidRPr="00924090">
        <w:rPr>
          <w:vertAlign w:val="superscript"/>
        </w:rPr>
        <w:t>-1</w:t>
      </w:r>
      <w:r w:rsidR="00094AF5">
        <w:rPr>
          <w:vertAlign w:val="superscript"/>
        </w:rPr>
        <w:t xml:space="preserve"> </w:t>
      </w:r>
      <w:r>
        <w:t xml:space="preserve">basis, whereas Jenkins </w:t>
      </w:r>
      <w:r w:rsidRPr="00094AF5">
        <w:t>et al.’s</w:t>
      </w:r>
      <w:r w:rsidRPr="00924090">
        <w:rPr>
          <w:i/>
        </w:rPr>
        <w:t xml:space="preserve"> </w:t>
      </w:r>
      <w:r>
        <w:fldChar w:fldCharType="begin"/>
      </w:r>
      <w:r w:rsidR="00773529">
        <w:instrText xml:space="preserve"> ADDIN EN.CITE &lt;EndNote&gt;&lt;Cite ExcludeAuth="1"&gt;&lt;Author&gt;Jenkins&lt;/Author&gt;&lt;Year&gt;2003&lt;/Year&gt;&lt;RecNum&gt;58&lt;/RecNum&gt;&lt;DisplayText&gt;(2003)&lt;/DisplayText&gt;&lt;record&gt;&lt;rec-number&gt;58&lt;/rec-number&gt;&lt;foreign-keys&gt;&lt;key app="EN" db-id="t5exxrwf3ztp9pe0swc5wrzc0trswdztftef"&gt;58&lt;/key&gt;&lt;/foreign-keys&gt;&lt;ref-type name="Journal Article"&gt;17&lt;/ref-type&gt;&lt;contributors&gt;&lt;authors&gt;&lt;author&gt;Jenkins, Jennifer C.&lt;/author&gt;&lt;author&gt;Chojnacky, David C.&lt;/author&gt;&lt;author&gt;Heath, Linda S.&lt;/author&gt;&lt;author&gt;Birdsey, Richard A.&lt;/author&gt;&lt;/authors&gt;&lt;/contributors&gt;&lt;titles&gt;&lt;title&gt;National scale biomass estimators for United States tree species   &lt;/title&gt;&lt;secondary-title&gt;Forest Science&lt;/secondary-title&gt;&lt;/titles&gt;&lt;pages&gt;12-35&lt;/pages&gt;&lt;volume&gt;49&lt;/volume&gt;&lt;dates&gt;&lt;year&gt;2003&lt;/year&gt;&lt;/dates&gt;&lt;urls&gt;&lt;related-urls&gt;&lt;url&gt;http://www.treesearch.fs.fed.us/pubs/6996&lt;/url&gt;&lt;/related-urls&gt;&lt;/urls&gt;&lt;/record&gt;&lt;/Cite&gt;&lt;/EndNote&gt;</w:instrText>
      </w:r>
      <w:r>
        <w:fldChar w:fldCharType="separate"/>
      </w:r>
      <w:r w:rsidR="00773529">
        <w:rPr>
          <w:noProof/>
        </w:rPr>
        <w:t>(</w:t>
      </w:r>
      <w:hyperlink w:anchor="_ENREF_74" w:tooltip="Jenkins, 2003 #58" w:history="1">
        <w:r w:rsidR="001E4C88">
          <w:rPr>
            <w:noProof/>
          </w:rPr>
          <w:t>2003</w:t>
        </w:r>
      </w:hyperlink>
      <w:r w:rsidR="00773529">
        <w:rPr>
          <w:noProof/>
        </w:rPr>
        <w:t>)</w:t>
      </w:r>
      <w:r>
        <w:fldChar w:fldCharType="end"/>
      </w:r>
      <w:r>
        <w:t xml:space="preserve"> BGL equations are derived from eastern U.S. forests and are a function of species groups and stem DBH, which is more consistent with the requisite per tree procedure for estimating AGL biomass.  Consequently, BGL carbon stocks resulting from the Jenkins </w:t>
      </w:r>
      <w:r w:rsidRPr="00094AF5">
        <w:t>et al.</w:t>
      </w:r>
      <w:r w:rsidRPr="00924090">
        <w:rPr>
          <w:i/>
        </w:rPr>
        <w:t xml:space="preserve"> </w:t>
      </w:r>
      <w:r w:rsidR="003D7BAC">
        <w:t>(2003)</w:t>
      </w:r>
      <w:r>
        <w:t xml:space="preserve"> equations are likely to be more accurate for the forests modeled here.  Because they happen to be significantly larger than those given by the Cairns </w:t>
      </w:r>
      <w:r w:rsidRPr="00094AF5">
        <w:t>et al.</w:t>
      </w:r>
      <w:r>
        <w:t xml:space="preserve"> </w:t>
      </w:r>
      <w:r w:rsidR="003D7BAC">
        <w:t>(1997)</w:t>
      </w:r>
      <w:r>
        <w:t xml:space="preserve"> equation and considering that CAR allows for the approval of other BGL biomass formulas better suited to a given project area, the Jenkins </w:t>
      </w:r>
      <w:r w:rsidRPr="00094AF5">
        <w:t>et al.</w:t>
      </w:r>
      <w:r w:rsidRPr="00924090">
        <w:rPr>
          <w:i/>
        </w:rPr>
        <w:t xml:space="preserve"> </w:t>
      </w:r>
      <w:r w:rsidR="003D7BAC" w:rsidRPr="003D7BAC">
        <w:t>(2003)</w:t>
      </w:r>
      <w:r>
        <w:t xml:space="preserve"> BGL biomas</w:t>
      </w:r>
      <w:r w:rsidR="00534DEE">
        <w:t>s equations were used instead.</w:t>
      </w:r>
      <w:r w:rsidR="00ED6F15">
        <w:t xml:space="preserve">  Standing dead carbon estimates were taken from the standard output of the FVS Carbon </w:t>
      </w:r>
      <w:proofErr w:type="spellStart"/>
      <w:r w:rsidR="00ED6F15">
        <w:t>submodel</w:t>
      </w:r>
      <w:proofErr w:type="spellEnd"/>
      <w:r w:rsidR="002405BA">
        <w:t xml:space="preserve">, the methods of which are reported in </w:t>
      </w:r>
      <w:proofErr w:type="spellStart"/>
      <w:r w:rsidR="0056578C">
        <w:t>Rebain</w:t>
      </w:r>
      <w:proofErr w:type="spellEnd"/>
      <w:r w:rsidR="00CA5CDD">
        <w:t xml:space="preserve"> et al.</w:t>
      </w:r>
      <w:r w:rsidR="0056578C">
        <w:t xml:space="preserve"> </w:t>
      </w:r>
      <w:r w:rsidR="00CA5CDD">
        <w:t>(2010)</w:t>
      </w:r>
      <w:r w:rsidR="0056578C">
        <w:fldChar w:fldCharType="begin"/>
      </w:r>
      <w:r w:rsidR="00CA5CDD">
        <w:instrText xml:space="preserve"> ADDIN EN.CITE &lt;EndNote&gt;&lt;Cite ExcludeAuth="1" ExcludeYear="1"&gt;&lt;Author&gt;Rebain&lt;/Author&gt;&lt;Year&gt;comp. 2010&lt;/Year&gt;&lt;RecNum&gt;237&lt;/RecNum&gt;&lt;record&gt;&lt;rec-number&gt;237&lt;/rec-number&gt;&lt;foreign-keys&gt;&lt;key app="EN" db-id="a90s5zadewrawxeer07v2f90xr5vxv022sat"&gt;237&lt;/key&gt;&lt;/foreign-keys&gt;&lt;ref-type name="Report"&gt;27&lt;/ref-type&gt;&lt;contributors&gt;&lt;authors&gt;&lt;author&gt;Rebain, Stephanie A. &lt;/author&gt;&lt;/authors&gt;&lt;/contributors&gt;&lt;titles&gt;&lt;title&gt;(revised January 20, 2011). The Fire and Fuels Extension to the Forest Vegetation Simulator: Updated Model Documentation. Internal Rep. Fort Collins, CO: U. S. Department of Agriculture, Forest Service, Forest Management Service Center. 379p&lt;/title&gt;&lt;/titles&gt;&lt;dates&gt;&lt;year&gt;comp. 2010 &lt;/year&gt;&lt;/dates&gt;&lt;urls&gt;&lt;related-urls&gt;&lt;url&gt;http://www.fs.fed.us/fmsc/ftp/fvs/docs/gtr/FFEguide.pdf&lt;/url&gt;&lt;/related-urls&gt;&lt;/urls&gt;&lt;/record&gt;&lt;/Cite&gt;&lt;/EndNote&gt;</w:instrText>
      </w:r>
      <w:r w:rsidR="0056578C">
        <w:fldChar w:fldCharType="end"/>
      </w:r>
      <w:r w:rsidR="0056578C">
        <w:t>.</w:t>
      </w:r>
      <w:r w:rsidR="008C792A">
        <w:t xml:space="preserve"> </w:t>
      </w:r>
      <w:r w:rsidR="008C792A" w:rsidRPr="008C792A">
        <w:t xml:space="preserve"> </w:t>
      </w:r>
      <w:r w:rsidR="008C792A">
        <w:t xml:space="preserve">AGL biomass stocks are calculated from CAR-approved biomass equations coupled with the component-ratio method developed by the USFS </w:t>
      </w:r>
      <w:r w:rsidR="008C792A">
        <w:fldChar w:fldCharType="begin"/>
      </w:r>
      <w:r w:rsidR="008C792A">
        <w:instrText xml:space="preserve"> ADDIN EN.CITE &lt;EndNote&gt;&lt;Cite&gt;&lt;Author&gt;Heath&lt;/Author&gt;&lt;Year&gt;2009&lt;/Year&gt;&lt;RecNum&gt;297&lt;/RecNum&gt;&lt;DisplayText&gt;(Heath et al. 2009)&lt;/DisplayText&gt;&lt;record&gt;&lt;rec-number&gt;297&lt;/rec-number&gt;&lt;foreign-keys&gt;&lt;key app="EN" db-id="a90s5zadewrawxeer07v2f90xr5vxv022sat"&gt;297&lt;/key&gt;&lt;/foreign-keys&gt;&lt;ref-type name="Report"&gt;27&lt;/ref-type&gt;&lt;contributors&gt;&lt;authors&gt;&lt;author&gt;Heath, Linda S.&lt;/author&gt;&lt;author&gt;Hansen, Mark&lt;/author&gt;&lt;author&gt;Smith, James E.&lt;/author&gt;&lt;author&gt;Miles, Patrick D.&lt;/author&gt;&lt;author&gt;Smith, Brad W.&lt;/author&gt;&lt;/authors&gt;&lt;/contributors&gt;&lt;titles&gt;&lt;title&gt;Investigation into calculating tree biomass and carbon in the FIADB using a biomass expansion factor approach. In: McWilliams, Will; Moisen, Gretchen; Czaplewski, Ray, comps. Forest Inventory and Analysis (FIA) Symposium 2008; October 21-23, 2008; Park City, UT. Proc. RMRS-P-56CD. Fort Collins, CO: U.S. Department of Agriculture, Forest Service, Rocky Mountain Research Station. 26 p&lt;/title&gt;&lt;/titles&gt;&lt;dates&gt;&lt;year&gt;2009&lt;/year&gt;&lt;/dates&gt;&lt;urls&gt;&lt;related-urls&gt;&lt;url&gt;http://www.treesearch.fs.fed.us/pubs/33351&lt;/url&gt;&lt;/related-urls&gt;&lt;/urls&gt;&lt;/record&gt;&lt;/Cite&gt;&lt;/EndNote&gt;</w:instrText>
      </w:r>
      <w:r w:rsidR="008C792A">
        <w:fldChar w:fldCharType="separate"/>
      </w:r>
      <w:r w:rsidR="008C792A">
        <w:rPr>
          <w:noProof/>
        </w:rPr>
        <w:t>(</w:t>
      </w:r>
      <w:hyperlink w:anchor="_ENREF_69" w:tooltip="Heath, 2009 #297" w:history="1">
        <w:r w:rsidR="001E4C88">
          <w:rPr>
            <w:noProof/>
          </w:rPr>
          <w:t>Heath et al. 2009</w:t>
        </w:r>
      </w:hyperlink>
      <w:r w:rsidR="008C792A">
        <w:rPr>
          <w:noProof/>
        </w:rPr>
        <w:t>)</w:t>
      </w:r>
      <w:r w:rsidR="008C792A">
        <w:fldChar w:fldCharType="end"/>
      </w:r>
      <w:r w:rsidR="008C792A">
        <w:t xml:space="preserve">, which </w:t>
      </w:r>
      <w:r w:rsidR="00773529">
        <w:t>involved utilizing the</w:t>
      </w:r>
      <w:r w:rsidR="008C792A">
        <w:t xml:space="preserve"> database of wood density factors in Miles and Smith </w:t>
      </w:r>
      <w:r w:rsidR="008C792A">
        <w:fldChar w:fldCharType="begin"/>
      </w:r>
      <w:r w:rsidR="008C792A">
        <w:instrText xml:space="preserve"> ADDIN EN.CITE &lt;EndNote&gt;&lt;Cite ExcludeAuth="1"&gt;&lt;Author&gt;Miles&lt;/Author&gt;&lt;Year&gt;2009&lt;/Year&gt;&lt;RecNum&gt;302&lt;/RecNum&gt;&lt;DisplayText&gt;(2009)&lt;/DisplayText&gt;&lt;record&gt;&lt;rec-number&gt;302&lt;/rec-number&gt;&lt;foreign-keys&gt;&lt;key app="EN" db-id="a90s5zadewrawxeer07v2f90xr5vxv022sat"&gt;302&lt;/key&gt;&lt;/foreign-keys&gt;&lt;ref-type name="Journal Article"&gt;17&lt;/ref-type&gt;&lt;contributors&gt;&lt;authors&gt;&lt;author&gt;Patrick W. Miles&lt;/author&gt;&lt;author&gt;W. Brad Smith&lt;/author&gt;&lt;/authors&gt;&lt;/contributors&gt;&lt;titles&gt;&lt;title&gt;Specific gravity and other properties of wood and bark for 156 tree species found in North America. Res. Note NRS-38. Newtown Square, PA: U.S. Department of Agriculture, Forest Service, Northern Research Station. 35 p&lt;/title&gt;&lt;/titles&gt;&lt;dates&gt;&lt;year&gt;2009&lt;/year&gt;&lt;/dates&gt;&lt;urls&gt;&lt;related-urls&gt;&lt;url&gt;http://nrs.fs.fed.us/pubs/34185&lt;/url&gt;&lt;/related-urls&gt;&lt;/urls&gt;&lt;/record&gt;&lt;/Cite&gt;&lt;/EndNote&gt;</w:instrText>
      </w:r>
      <w:r w:rsidR="008C792A">
        <w:fldChar w:fldCharType="separate"/>
      </w:r>
      <w:r w:rsidR="008C792A">
        <w:rPr>
          <w:noProof/>
        </w:rPr>
        <w:t>(</w:t>
      </w:r>
      <w:hyperlink w:anchor="_ENREF_93" w:tooltip="Miles, 2009 #302" w:history="1">
        <w:r w:rsidR="001E4C88">
          <w:rPr>
            <w:noProof/>
          </w:rPr>
          <w:t>2009</w:t>
        </w:r>
      </w:hyperlink>
      <w:r w:rsidR="008C792A">
        <w:rPr>
          <w:noProof/>
        </w:rPr>
        <w:t>)</w:t>
      </w:r>
      <w:r w:rsidR="008C792A">
        <w:fldChar w:fldCharType="end"/>
      </w:r>
      <w:r w:rsidR="008C792A">
        <w:t>.</w:t>
      </w:r>
    </w:p>
    <w:p w:rsidR="006A1A98" w:rsidRPr="00016203" w:rsidRDefault="00EE32C3" w:rsidP="00591524">
      <w:pPr>
        <w:spacing w:line="480" w:lineRule="auto"/>
        <w:ind w:firstLine="720"/>
        <w:rPr>
          <w:b/>
        </w:rPr>
      </w:pPr>
      <w:r w:rsidRPr="005324CC">
        <w:t xml:space="preserve">According to </w:t>
      </w:r>
      <w:r w:rsidR="005D07C8">
        <w:t xml:space="preserve">the </w:t>
      </w:r>
      <w:r w:rsidR="00C26DCF">
        <w:t xml:space="preserve">former version of the </w:t>
      </w:r>
      <w:r w:rsidR="005D07C8">
        <w:t>protocol</w:t>
      </w:r>
      <w:r w:rsidRPr="005324CC">
        <w:t xml:space="preserve">, forest areas </w:t>
      </w:r>
      <w:r w:rsidR="0016018D">
        <w:t>we</w:t>
      </w:r>
      <w:r w:rsidR="0016018D" w:rsidRPr="005324CC">
        <w:t>re deemed</w:t>
      </w:r>
      <w:r w:rsidR="008C792A">
        <w:t xml:space="preserve"> ineligible as a single project </w:t>
      </w:r>
      <w:r w:rsidR="0016018D">
        <w:t>if</w:t>
      </w:r>
      <w:r w:rsidRPr="005324CC">
        <w:t xml:space="preserve"> a seco</w:t>
      </w:r>
      <w:r w:rsidR="00BE14DA">
        <w:t xml:space="preserve">ndary forest community type </w:t>
      </w:r>
      <w:r w:rsidRPr="005324CC">
        <w:t>exist</w:t>
      </w:r>
      <w:r w:rsidR="0016018D">
        <w:t>ing</w:t>
      </w:r>
      <w:r w:rsidRPr="005324CC">
        <w:t xml:space="preserve"> in patches of at least 20 contiguous acres constitute</w:t>
      </w:r>
      <w:r w:rsidR="0016018D">
        <w:t>d</w:t>
      </w:r>
      <w:r w:rsidRPr="005324CC">
        <w:t xml:space="preserve"> over </w:t>
      </w:r>
      <w:r>
        <w:t>ten</w:t>
      </w:r>
      <w:r w:rsidRPr="005324CC">
        <w:t xml:space="preserve"> percent of </w:t>
      </w:r>
      <w:r w:rsidR="00BE14DA">
        <w:t>the</w:t>
      </w:r>
      <w:r w:rsidRPr="005324CC">
        <w:t xml:space="preserve"> proposed </w:t>
      </w:r>
      <w:r w:rsidR="00BE14DA">
        <w:t xml:space="preserve">project </w:t>
      </w:r>
      <w:r w:rsidRPr="005324CC">
        <w:t xml:space="preserve">area.  </w:t>
      </w:r>
      <w:r w:rsidR="005D1C48">
        <w:t xml:space="preserve">In other words, CAR projects </w:t>
      </w:r>
      <w:r w:rsidR="00C26DCF">
        <w:t>had to be comprised</w:t>
      </w:r>
      <w:r w:rsidR="000E62D9">
        <w:t xml:space="preserve"> of</w:t>
      </w:r>
      <w:r w:rsidR="005D1C48">
        <w:t xml:space="preserve"> </w:t>
      </w:r>
      <w:r w:rsidR="000E62D9">
        <w:t xml:space="preserve">forestland in which at least </w:t>
      </w:r>
      <w:r w:rsidR="00394C47">
        <w:t>90 percent</w:t>
      </w:r>
      <w:r w:rsidR="000E62D9">
        <w:t xml:space="preserve"> </w:t>
      </w:r>
      <w:r w:rsidR="00394C47">
        <w:t xml:space="preserve">of all </w:t>
      </w:r>
      <w:r w:rsidR="000E62D9">
        <w:t xml:space="preserve">20ac patches </w:t>
      </w:r>
      <w:r w:rsidR="00394C47">
        <w:t xml:space="preserve">within the area </w:t>
      </w:r>
      <w:r w:rsidR="00CA5CDD">
        <w:t>we</w:t>
      </w:r>
      <w:r w:rsidR="000E62D9">
        <w:t xml:space="preserve">re classified </w:t>
      </w:r>
      <w:r w:rsidR="00CA5CDD">
        <w:t>under</w:t>
      </w:r>
      <w:r w:rsidR="000E62D9">
        <w:t xml:space="preserve"> the same community type</w:t>
      </w:r>
      <w:r w:rsidR="0016018D">
        <w:t xml:space="preserve"> (or assessment area)</w:t>
      </w:r>
      <w:r w:rsidR="005D1C48">
        <w:t xml:space="preserve">.  </w:t>
      </w:r>
      <w:r w:rsidR="0016018D">
        <w:t>Although</w:t>
      </w:r>
      <w:r w:rsidRPr="005324CC">
        <w:t xml:space="preserve"> the CAR northern hardwoods </w:t>
      </w:r>
      <w:r w:rsidR="0016018D">
        <w:t>assessment area</w:t>
      </w:r>
      <w:r w:rsidRPr="005324CC">
        <w:t xml:space="preserve"> is still a minority </w:t>
      </w:r>
      <w:r w:rsidR="0016018D">
        <w:t xml:space="preserve">forest cover type </w:t>
      </w:r>
      <w:r w:rsidRPr="005324CC">
        <w:t>in the Southern Cumberland Mountains</w:t>
      </w:r>
      <w:r w:rsidR="005461B1">
        <w:t xml:space="preserve"> </w:t>
      </w:r>
      <w:r w:rsidR="005461B1">
        <w:fldChar w:fldCharType="begin"/>
      </w:r>
      <w:r w:rsidR="00E11FF6">
        <w:instrText xml:space="preserve"> ADDIN EN.CITE &lt;EndNote&gt;&lt;Cite ExcludeAuth="1"&gt;&lt;Year&gt;USDA Forest Service 2010a&lt;/Year&gt;&lt;RecNum&gt;292&lt;/RecNum&gt;&lt;DisplayText&gt;(USDA Forest Service 2010a)&lt;/DisplayText&gt;&lt;record&gt;&lt;rec-number&gt;292&lt;/rec-number&gt;&lt;foreign-keys&gt;&lt;key app="EN" db-id="a90s5zadewrawxeer07v2f90xr5vxv022sat"&gt;292&lt;/key&gt;&lt;/foreign-keys&gt;&lt;ref-type name="Online Database"&gt;45&lt;/ref-type&gt;&lt;contributors&gt;&lt;/contributors&gt;&lt;titles&gt;&lt;title&gt;National Forest Inventory and Analysis, FIA Database version 4.0. Washington, DC: U.S. Department of Agriculture, Forest Service. Available at http://199.128.173.17/fiadb4-downloads/datamart.html Retrieved January 4, 2010&lt;/title&gt;&lt;/titles&gt;&lt;dates&gt;&lt;year&gt;USDA Forest Service 2010a&lt;/year&gt;&lt;/dates&gt;&lt;urls&gt;&lt;/urls&gt;&lt;/record&gt;&lt;/Cite&gt;&lt;/EndNote&gt;</w:instrText>
      </w:r>
      <w:r w:rsidR="005461B1">
        <w:fldChar w:fldCharType="separate"/>
      </w:r>
      <w:r w:rsidR="00E11FF6">
        <w:rPr>
          <w:noProof/>
        </w:rPr>
        <w:t>(</w:t>
      </w:r>
      <w:hyperlink w:anchor="_ENREF_15" w:tooltip=", USDA Forest Service 2010a #292" w:history="1">
        <w:r w:rsidR="001E4C88">
          <w:rPr>
            <w:noProof/>
          </w:rPr>
          <w:t>USDA Forest Service 2010a</w:t>
        </w:r>
      </w:hyperlink>
      <w:r w:rsidR="00E11FF6">
        <w:rPr>
          <w:noProof/>
        </w:rPr>
        <w:t>)</w:t>
      </w:r>
      <w:r w:rsidR="005461B1">
        <w:fldChar w:fldCharType="end"/>
      </w:r>
      <w:r w:rsidR="0016018D">
        <w:t>, it</w:t>
      </w:r>
      <w:r w:rsidRPr="005324CC">
        <w:t xml:space="preserve"> </w:t>
      </w:r>
      <w:r w:rsidR="00C26DCF">
        <w:t xml:space="preserve">could </w:t>
      </w:r>
      <w:r w:rsidRPr="005324CC">
        <w:t xml:space="preserve">characterize </w:t>
      </w:r>
      <w:r w:rsidR="0016018D">
        <w:t xml:space="preserve">up to </w:t>
      </w:r>
      <w:r w:rsidRPr="005324CC">
        <w:t xml:space="preserve">three of the four </w:t>
      </w:r>
      <w:r w:rsidR="0016018D">
        <w:t xml:space="preserve">non-oak stands in this analysis.  </w:t>
      </w:r>
      <w:r w:rsidR="00773529">
        <w:t>As a consequence</w:t>
      </w:r>
      <w:r w:rsidR="0016018D">
        <w:t>, t</w:t>
      </w:r>
      <w:r w:rsidRPr="005324CC">
        <w:t xml:space="preserve">hese stands </w:t>
      </w:r>
      <w:r w:rsidR="006D4BE0">
        <w:t>(ER</w:t>
      </w:r>
      <w:r w:rsidR="00924090">
        <w:t>24</w:t>
      </w:r>
      <w:proofErr w:type="gramStart"/>
      <w:r w:rsidR="00924090">
        <w:t>,35</w:t>
      </w:r>
      <w:proofErr w:type="gramEnd"/>
      <w:r w:rsidR="00924090">
        <w:t>,&amp; 152</w:t>
      </w:r>
      <w:r w:rsidR="006D4BE0">
        <w:t xml:space="preserve">) </w:t>
      </w:r>
      <w:r w:rsidR="00A96CCC">
        <w:t>we</w:t>
      </w:r>
      <w:r w:rsidRPr="005324CC">
        <w:t xml:space="preserve">re </w:t>
      </w:r>
      <w:r w:rsidR="00773529">
        <w:t xml:space="preserve">originally </w:t>
      </w:r>
      <w:r w:rsidRPr="005324CC">
        <w:t>assumed to be interspersed (in patches smaller than 20 contiguous acres) among upland oak stands</w:t>
      </w:r>
      <w:r w:rsidR="0016018D">
        <w:t xml:space="preserve">, and in turn, were included in the oak-hickory assessment area </w:t>
      </w:r>
      <w:r w:rsidR="00B37C2C">
        <w:t>for the estimation of the common practice benchmark</w:t>
      </w:r>
      <w:r w:rsidRPr="005324CC">
        <w:t>.  The remaining</w:t>
      </w:r>
      <w:r w:rsidR="00534DEE">
        <w:t xml:space="preserve"> </w:t>
      </w:r>
      <w:r w:rsidR="00534DEE">
        <w:lastRenderedPageBreak/>
        <w:t>yellow poplar</w:t>
      </w:r>
      <w:r w:rsidRPr="005324CC">
        <w:t xml:space="preserve"> stand </w:t>
      </w:r>
      <w:r w:rsidR="006D4BE0">
        <w:t>(ER3)</w:t>
      </w:r>
      <w:r w:rsidR="00202BB2">
        <w:t>,</w:t>
      </w:r>
      <w:r w:rsidR="006D4BE0">
        <w:t xml:space="preserve"> </w:t>
      </w:r>
      <w:r w:rsidR="00534DEE">
        <w:t xml:space="preserve">representative of </w:t>
      </w:r>
      <w:r w:rsidR="00202BB2">
        <w:t>CAR’s cove hardwoods assessment</w:t>
      </w:r>
      <w:r w:rsidR="00B37C2C">
        <w:t xml:space="preserve"> </w:t>
      </w:r>
      <w:r w:rsidRPr="005324CC">
        <w:t>area</w:t>
      </w:r>
      <w:r w:rsidR="00202BB2">
        <w:t>,</w:t>
      </w:r>
      <w:r w:rsidRPr="005324CC">
        <w:t xml:space="preserve"> </w:t>
      </w:r>
      <w:r w:rsidR="00CA5CDD">
        <w:t>wa</w:t>
      </w:r>
      <w:r w:rsidRPr="005324CC">
        <w:t xml:space="preserve">s assumed to be contiguous and comprise </w:t>
      </w:r>
      <w:r>
        <w:t>ten</w:t>
      </w:r>
      <w:r w:rsidRPr="005324CC">
        <w:t xml:space="preserve"> percent of project area (i.e. 90% in oak-hickory and 10% in cove forest).  </w:t>
      </w:r>
      <w:r w:rsidR="008106A7">
        <w:t xml:space="preserve">Other configurations were tested but </w:t>
      </w:r>
      <w:r w:rsidR="00320FEE">
        <w:t>all</w:t>
      </w:r>
      <w:r w:rsidR="008106A7">
        <w:t xml:space="preserve"> yielded </w:t>
      </w:r>
      <w:r w:rsidR="00320FEE">
        <w:t>initial carbon stocks less than the common practice (CP) values computed</w:t>
      </w:r>
      <w:r w:rsidR="008106A7">
        <w:t xml:space="preserve">. </w:t>
      </w:r>
      <w:r w:rsidR="00320FEE" w:rsidRPr="00EE32C3">
        <w:rPr>
          <w:rFonts w:cs="Calibri"/>
        </w:rPr>
        <w:t>O</w:t>
      </w:r>
      <w:r w:rsidR="00320FEE" w:rsidRPr="00EE32C3">
        <w:t xml:space="preserve">nly </w:t>
      </w:r>
      <w:r w:rsidR="00320FEE">
        <w:t xml:space="preserve">CP </w:t>
      </w:r>
      <w:r w:rsidR="00320FEE" w:rsidRPr="00EE32C3">
        <w:t xml:space="preserve">values </w:t>
      </w:r>
      <w:r w:rsidR="00320FEE">
        <w:t>from</w:t>
      </w:r>
      <w:r w:rsidR="00320FEE" w:rsidRPr="00EE32C3">
        <w:t xml:space="preserve"> the CAR low productivity class were used since FIA data indicated that areas </w:t>
      </w:r>
      <w:r w:rsidR="00320FEE">
        <w:t xml:space="preserve">in a </w:t>
      </w:r>
      <w:r w:rsidR="00320FEE" w:rsidRPr="00EE32C3">
        <w:t>high site productivity class</w:t>
      </w:r>
      <w:r w:rsidR="00320FEE">
        <w:t xml:space="preserve"> are extremely rare</w:t>
      </w:r>
      <w:r w:rsidR="00320FEE" w:rsidRPr="00EE32C3">
        <w:t xml:space="preserve"> in the Cumberlands</w:t>
      </w:r>
      <w:r w:rsidR="00320FEE">
        <w:t xml:space="preserve"> </w:t>
      </w:r>
      <w:r w:rsidR="00320FEE">
        <w:fldChar w:fldCharType="begin"/>
      </w:r>
      <w:r w:rsidR="00320FEE">
        <w:instrText xml:space="preserve"> ADDIN EN.CITE &lt;EndNote&gt;&lt;Cite ExcludeAuth="1"&gt;&lt;Year&gt;USDA Forest Service 2010a&lt;/Year&gt;&lt;RecNum&gt;292&lt;/RecNum&gt;&lt;DisplayText&gt;(USDA Forest Service 2010a)&lt;/DisplayText&gt;&lt;record&gt;&lt;rec-number&gt;292&lt;/rec-number&gt;&lt;foreign-keys&gt;&lt;key app="EN" db-id="a90s5zadewrawxeer07v2f90xr5vxv022sat"&gt;292&lt;/key&gt;&lt;/foreign-keys&gt;&lt;ref-type name="Online Database"&gt;45&lt;/ref-type&gt;&lt;contributors&gt;&lt;/contributors&gt;&lt;titles&gt;&lt;title&gt;National Forest Inventory and Analysis, FIA Database version 4.0. Washington, DC: U.S. Department of Agriculture, Forest Service. Available at http://199.128.173.17/fiadb4-downloads/datamart.html Retrieved January 4, 2010&lt;/title&gt;&lt;/titles&gt;&lt;dates&gt;&lt;year&gt;USDA Forest Service 2010a&lt;/year&gt;&lt;/dates&gt;&lt;urls&gt;&lt;/urls&gt;&lt;/record&gt;&lt;/Cite&gt;&lt;/EndNote&gt;</w:instrText>
      </w:r>
      <w:r w:rsidR="00320FEE">
        <w:fldChar w:fldCharType="separate"/>
      </w:r>
      <w:r w:rsidR="00320FEE">
        <w:rPr>
          <w:noProof/>
        </w:rPr>
        <w:t>(</w:t>
      </w:r>
      <w:hyperlink w:anchor="_ENREF_15" w:tooltip=", USDA Forest Service 2010a #292" w:history="1">
        <w:r w:rsidR="001E4C88">
          <w:rPr>
            <w:noProof/>
          </w:rPr>
          <w:t>USDA Forest Service 2010a</w:t>
        </w:r>
      </w:hyperlink>
      <w:r w:rsidR="00320FEE">
        <w:rPr>
          <w:noProof/>
        </w:rPr>
        <w:t>)</w:t>
      </w:r>
      <w:r w:rsidR="00320FEE">
        <w:fldChar w:fldCharType="end"/>
      </w:r>
      <w:r w:rsidR="00320FEE" w:rsidRPr="00EE32C3">
        <w:t>.</w:t>
      </w:r>
    </w:p>
    <w:p w:rsidR="0001192B" w:rsidRDefault="0001192B" w:rsidP="0001192B">
      <w:pPr>
        <w:spacing w:line="480" w:lineRule="auto"/>
      </w:pPr>
      <w:r>
        <w:rPr>
          <w:noProof/>
        </w:rPr>
        <w:drawing>
          <wp:inline distT="0" distB="0" distL="0" distR="0" wp14:anchorId="3469AFAA" wp14:editId="5584E10D">
            <wp:extent cx="6355080" cy="4015740"/>
            <wp:effectExtent l="0" t="0" r="26670" b="228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C47" w:rsidRDefault="00394C47" w:rsidP="00394C47">
      <w:pPr>
        <w:pStyle w:val="Caption"/>
      </w:pPr>
      <w:proofErr w:type="gramStart"/>
      <w:r>
        <w:t xml:space="preserve">Figure </w:t>
      </w:r>
      <w:r w:rsidR="00BA1712">
        <w:t>3</w:t>
      </w:r>
      <w:r>
        <w:t>.</w:t>
      </w:r>
      <w:proofErr w:type="gramEnd"/>
      <w:r>
        <w:t xml:space="preserve"> </w:t>
      </w:r>
      <w:r w:rsidRPr="00B966AE">
        <w:t xml:space="preserve"> Above-ground live</w:t>
      </w:r>
      <w:r>
        <w:t>-tree carbon for</w:t>
      </w:r>
      <w:r w:rsidRPr="00B966AE">
        <w:t xml:space="preserve"> project </w:t>
      </w:r>
      <w:r w:rsidR="00073E93">
        <w:t xml:space="preserve">management regime </w:t>
      </w:r>
      <w:r w:rsidRPr="00B966AE">
        <w:t>and BAU</w:t>
      </w:r>
      <w:r w:rsidR="00073E93">
        <w:t xml:space="preserve"> regime</w:t>
      </w:r>
      <w:r>
        <w:t xml:space="preserve"> </w:t>
      </w:r>
      <w:r w:rsidR="00073E93">
        <w:t>(actual and annualized)</w:t>
      </w:r>
    </w:p>
    <w:p w:rsidR="00073E93" w:rsidRDefault="00073E93" w:rsidP="00073E93">
      <w:pPr>
        <w:spacing w:line="480" w:lineRule="auto"/>
        <w:ind w:firstLine="720"/>
      </w:pPr>
      <w:r w:rsidRPr="00EE32C3">
        <w:rPr>
          <w:rFonts w:cs="Calibri"/>
        </w:rPr>
        <w:t xml:space="preserve">The procedure to determine the project’s baseline carbon stock was simplified </w:t>
      </w:r>
      <w:r>
        <w:rPr>
          <w:rFonts w:cs="Calibri"/>
        </w:rPr>
        <w:t xml:space="preserve">further </w:t>
      </w:r>
      <w:r w:rsidRPr="00EE32C3">
        <w:rPr>
          <w:rFonts w:cs="Calibri"/>
        </w:rPr>
        <w:t xml:space="preserve">by assuming </w:t>
      </w:r>
      <w:r>
        <w:rPr>
          <w:rFonts w:cs="Calibri"/>
        </w:rPr>
        <w:t>that</w:t>
      </w:r>
      <w:r w:rsidRPr="00EE32C3">
        <w:t xml:space="preserve"> either all of the forestland on the hypothetical tract was included in the project or that</w:t>
      </w:r>
      <w:r>
        <w:t xml:space="preserve"> the AGL stocks of any excluded </w:t>
      </w:r>
      <w:r w:rsidRPr="00EE32C3">
        <w:t xml:space="preserve">forestland in the relevant CAR-defined </w:t>
      </w:r>
      <w:r>
        <w:t>“</w:t>
      </w:r>
      <w:r w:rsidRPr="00EE32C3">
        <w:t>logical management units</w:t>
      </w:r>
      <w:r>
        <w:t>”</w:t>
      </w:r>
      <w:r w:rsidRPr="00EE32C3">
        <w:t xml:space="preserve"> were within 20 percent of those in the project.  </w:t>
      </w:r>
      <w:r>
        <w:t xml:space="preserve">While shorter DL cutting intervals are commonly assumed in hardwood silviculture studies, a conservative 40 year interval was used to elevate the averaged BAU scenario’s AGL carbon stock.  Residual </w:t>
      </w:r>
      <w:r>
        <w:lastRenderedPageBreak/>
        <w:t>poletimber (PT) and d</w:t>
      </w:r>
      <w:r w:rsidRPr="00E84C15">
        <w:t xml:space="preserve">efective sawtimber </w:t>
      </w:r>
      <w:r>
        <w:t xml:space="preserve">(ST) </w:t>
      </w:r>
      <w:r w:rsidRPr="00E84C15">
        <w:t xml:space="preserve">trees </w:t>
      </w:r>
      <w:r>
        <w:t>catalyzed</w:t>
      </w:r>
      <w:r w:rsidRPr="00E84C15">
        <w:t xml:space="preserve"> </w:t>
      </w:r>
      <w:r>
        <w:t>a</w:t>
      </w:r>
      <w:r w:rsidRPr="00E84C15">
        <w:t xml:space="preserve"> rapid rebound in AGL stocks </w:t>
      </w:r>
      <w:r>
        <w:t>(shown in orange in figure 3) within these</w:t>
      </w:r>
      <w:r w:rsidRPr="00E84C15">
        <w:t xml:space="preserve"> </w:t>
      </w:r>
      <w:r>
        <w:t xml:space="preserve">long </w:t>
      </w:r>
      <w:r w:rsidRPr="00E84C15">
        <w:t>cut</w:t>
      </w:r>
      <w:r>
        <w:t>ting intervals, but they did not encompass enough merchantable volume to finance stand entry for three stands in 2053 (ER3, 24, &amp; 34</w:t>
      </w:r>
      <w:r w:rsidR="00A90D39">
        <w:t>-SMZ</w:t>
      </w:r>
      <w:r>
        <w:t>)</w:t>
      </w:r>
      <w:r w:rsidR="00A90D39">
        <w:t xml:space="preserve"> </w:t>
      </w:r>
      <w:r>
        <w:t>and 1.5 stands in 2093 (ER25 &amp; 34</w:t>
      </w:r>
      <w:r w:rsidR="00A90D39">
        <w:t>-SMZ</w:t>
      </w:r>
      <w:r>
        <w:t xml:space="preserve">).  </w:t>
      </w:r>
      <w:r w:rsidRPr="00EE32C3">
        <w:t>In effect</w:t>
      </w:r>
      <w:r>
        <w:t>, the average of BAU scenario stocks, depicted by the red line in figure 3, became higher than the initial AGL stocks (by 0.7 Mt), which is a requirement of the modeled baseline</w:t>
      </w:r>
      <w:r w:rsidRPr="00EE32C3">
        <w:t>.</w:t>
      </w:r>
      <w:r>
        <w:rPr>
          <w:b/>
        </w:rPr>
        <w:t xml:space="preserve"> </w:t>
      </w:r>
    </w:p>
    <w:p w:rsidR="00530166" w:rsidRDefault="00A12F53" w:rsidP="006C0105">
      <w:pPr>
        <w:spacing w:line="480" w:lineRule="auto"/>
        <w:ind w:firstLine="720"/>
        <w:rPr>
          <w:rFonts w:asciiTheme="minorHAnsi" w:hAnsiTheme="minorHAnsi" w:cstheme="minorHAnsi"/>
        </w:rPr>
      </w:pPr>
      <w:r>
        <w:t xml:space="preserve">Baseline HWP carbon is accounted for separately in CAR projects.  The default method for HWP forecasts is to sum the carbon in all harvested tree boles (excluding tops), </w:t>
      </w:r>
      <w:r w:rsidRPr="002F2121">
        <w:rPr>
          <w:rFonts w:asciiTheme="minorHAnsi" w:hAnsiTheme="minorHAnsi" w:cstheme="minorHAnsi"/>
        </w:rPr>
        <w:t xml:space="preserve">multiply the total carbon weight by the relevant mill efficiency factor, </w:t>
      </w:r>
      <w:r>
        <w:rPr>
          <w:rFonts w:asciiTheme="minorHAnsi" w:hAnsiTheme="minorHAnsi" w:cstheme="minorHAnsi"/>
        </w:rPr>
        <w:t xml:space="preserve">partition </w:t>
      </w:r>
      <w:r w:rsidRPr="002F2121">
        <w:rPr>
          <w:rFonts w:asciiTheme="minorHAnsi" w:hAnsiTheme="minorHAnsi" w:cstheme="minorHAnsi"/>
        </w:rPr>
        <w:t xml:space="preserve">the result into HWP </w:t>
      </w:r>
      <w:r>
        <w:rPr>
          <w:rFonts w:asciiTheme="minorHAnsi" w:hAnsiTheme="minorHAnsi" w:cstheme="minorHAnsi"/>
        </w:rPr>
        <w:t>classes</w:t>
      </w:r>
      <w:r w:rsidRPr="002F2121">
        <w:rPr>
          <w:rFonts w:asciiTheme="minorHAnsi" w:hAnsiTheme="minorHAnsi" w:cstheme="minorHAnsi"/>
        </w:rPr>
        <w:t xml:space="preserve"> based on</w:t>
      </w:r>
      <w:r>
        <w:t xml:space="preserve"> each class’s relative share of the region’s wood production (regardless of each tree’s species and</w:t>
      </w:r>
      <w:r w:rsidRPr="00E75D2B">
        <w:t xml:space="preserve"> </w:t>
      </w:r>
      <w:r>
        <w:t xml:space="preserve">commercial value), and multiply the value of each by its respective 100 year average storage factor </w:t>
      </w:r>
      <w:r>
        <w:fldChar w:fldCharType="begin"/>
      </w:r>
      <w:r w:rsidR="007722C4">
        <w:instrText xml:space="preserve"> ADDIN EN.CITE &lt;EndNote&gt;&lt;Cite ExcludeAuth="1"&gt;&lt;Year&gt;CAR 2010&lt;/Year&gt;&lt;RecNum&gt;293&lt;/RecNum&gt;&lt;Prefix&gt;see &lt;/Prefix&gt;&lt;Suffix&gt;`, Appendix C&lt;/Suffix&gt;&lt;DisplayText&gt;(see CAR 2010, Appendix C)&lt;/DisplayText&gt;&lt;record&gt;&lt;rec-number&gt;293&lt;/rec-number&gt;&lt;foreign-keys&gt;&lt;key app="EN" db-id="a90s5zadewrawxeer07v2f90xr5vxv022sat"&gt;293&lt;/key&gt;&lt;/foreign-keys&gt;&lt;ref-type name="Standard"&gt;58&lt;/ref-type&gt;&lt;contributors&gt;&lt;/contributors&gt;&lt;titles&gt;&lt;title&gt;Forest Project Protocol Version 3.2. Climate Action Reserve. Los Angelas, CA&lt;/title&gt;&lt;/titles&gt;&lt;pages&gt;134&lt;/pages&gt;&lt;dates&gt;&lt;year&gt;CAR 2010&lt;/year&gt;&lt;/dates&gt;&lt;urls&gt;&lt;/urls&gt;&lt;/record&gt;&lt;/Cite&gt;&lt;/EndNote&gt;</w:instrText>
      </w:r>
      <w:r>
        <w:fldChar w:fldCharType="separate"/>
      </w:r>
      <w:r w:rsidR="005461B1">
        <w:rPr>
          <w:noProof/>
        </w:rPr>
        <w:t>(</w:t>
      </w:r>
      <w:hyperlink w:anchor="_ENREF_2" w:tooltip=", CAR 2010 #293" w:history="1">
        <w:r w:rsidR="001E4C88">
          <w:rPr>
            <w:noProof/>
          </w:rPr>
          <w:t>see CAR 2010, Appendix C</w:t>
        </w:r>
      </w:hyperlink>
      <w:r w:rsidR="005461B1">
        <w:rPr>
          <w:noProof/>
        </w:rPr>
        <w:t>)</w:t>
      </w:r>
      <w:r>
        <w:fldChar w:fldCharType="end"/>
      </w:r>
      <w:r>
        <w:t xml:space="preserve">.  For actual harvests, HWP carbon can be calculated directly from mill receipts.  As the intention of this analysis was to build a simulation model reflecting actual IFM implementation, this latter approach was taken by making merchantability </w:t>
      </w:r>
      <w:r w:rsidR="00394C47">
        <w:t>a</w:t>
      </w:r>
      <w:r w:rsidR="0080253E">
        <w:t xml:space="preserve">ssumptions (as </w:t>
      </w:r>
      <w:r w:rsidR="00B870C3">
        <w:t>seen</w:t>
      </w:r>
      <w:r w:rsidR="0080253E">
        <w:t xml:space="preserve"> in Table </w:t>
      </w:r>
      <w:r w:rsidR="00B45B60">
        <w:t>3</w:t>
      </w:r>
      <w:r w:rsidR="0080253E">
        <w:t xml:space="preserve">) </w:t>
      </w:r>
      <w:r w:rsidR="00E75D2B" w:rsidRPr="00E75D2B">
        <w:t>based on advice from professionals</w:t>
      </w:r>
      <w:r w:rsidR="00E75D2B" w:rsidRPr="00E75D2B">
        <w:rPr>
          <w:rStyle w:val="FootnoteReference"/>
          <w:rFonts w:asciiTheme="minorHAnsi" w:hAnsiTheme="minorHAnsi" w:cstheme="minorHAnsi"/>
        </w:rPr>
        <w:footnoteReference w:id="26"/>
      </w:r>
      <w:r w:rsidR="00B870C3">
        <w:t xml:space="preserve"> and</w:t>
      </w:r>
      <w:r w:rsidR="00E75D2B" w:rsidRPr="00E75D2B">
        <w:t xml:space="preserve"> consi</w:t>
      </w:r>
      <w:r w:rsidR="0080253E">
        <w:t xml:space="preserve">stent </w:t>
      </w:r>
      <w:r w:rsidR="00E75D2B" w:rsidRPr="00E75D2B">
        <w:t xml:space="preserve">with </w:t>
      </w:r>
      <w:r w:rsidR="00D00031" w:rsidRPr="00D00031">
        <w:t>BF</w:t>
      </w:r>
      <w:r w:rsidR="00E75D2B" w:rsidRPr="00E75D2B">
        <w:t xml:space="preserve"> timber </w:t>
      </w:r>
      <w:r w:rsidR="00A1056E" w:rsidRPr="00E75D2B">
        <w:rPr>
          <w:rFonts w:asciiTheme="minorHAnsi" w:hAnsiTheme="minorHAnsi" w:cstheme="minorHAnsi"/>
        </w:rPr>
        <w:t>c</w:t>
      </w:r>
      <w:r w:rsidR="00A1056E">
        <w:rPr>
          <w:rFonts w:asciiTheme="minorHAnsi" w:hAnsiTheme="minorHAnsi" w:cstheme="minorHAnsi"/>
        </w:rPr>
        <w:t xml:space="preserve">alculations described earlier.  </w:t>
      </w:r>
    </w:p>
    <w:p w:rsidR="00073E93" w:rsidRPr="00073E93" w:rsidRDefault="00073E93" w:rsidP="00073E93">
      <w:pPr>
        <w:spacing w:line="240" w:lineRule="auto"/>
        <w:ind w:firstLine="720"/>
        <w:rPr>
          <w:rFonts w:asciiTheme="minorHAnsi" w:hAnsiTheme="minorHAnsi" w:cstheme="minorHAnsi"/>
          <w:sz w:val="12"/>
          <w:szCs w:val="12"/>
        </w:rPr>
      </w:pPr>
    </w:p>
    <w:p w:rsidR="004C7F2A" w:rsidRDefault="00073E93" w:rsidP="00073E93">
      <w:pPr>
        <w:spacing w:line="480" w:lineRule="auto"/>
        <w:ind w:firstLine="720"/>
        <w:rPr>
          <w:rFonts w:eastAsia="Times New Roman" w:cs="Calibri"/>
          <w:color w:val="000000"/>
        </w:rPr>
      </w:pPr>
      <w:r>
        <w:rPr>
          <w:rFonts w:asciiTheme="minorHAnsi" w:hAnsiTheme="minorHAnsi" w:cstheme="minorHAnsi"/>
        </w:rPr>
        <w:t>Harvested ST up</w:t>
      </w:r>
      <w:r>
        <w:rPr>
          <w:rFonts w:eastAsia="Times New Roman" w:cs="Calibri"/>
          <w:color w:val="000000"/>
        </w:rPr>
        <w:t xml:space="preserve"> </w:t>
      </w:r>
      <w:r>
        <w:rPr>
          <w:rFonts w:asciiTheme="minorHAnsi" w:hAnsiTheme="minorHAnsi" w:cstheme="minorHAnsi"/>
        </w:rPr>
        <w:t xml:space="preserve">to a </w:t>
      </w:r>
      <w:r>
        <w:rPr>
          <w:rFonts w:eastAsia="Times New Roman" w:cs="Calibri"/>
          <w:color w:val="000000"/>
        </w:rPr>
        <w:t xml:space="preserve">12″DIB </w:t>
      </w:r>
      <w:r>
        <w:rPr>
          <w:rFonts w:asciiTheme="minorHAnsi" w:hAnsiTheme="minorHAnsi" w:cstheme="minorHAnsi"/>
        </w:rPr>
        <w:t>contributed to the hardwood (</w:t>
      </w:r>
      <w:proofErr w:type="spellStart"/>
      <w:r>
        <w:rPr>
          <w:rFonts w:asciiTheme="minorHAnsi" w:hAnsiTheme="minorHAnsi" w:cstheme="minorHAnsi"/>
        </w:rPr>
        <w:t>hwd</w:t>
      </w:r>
      <w:proofErr w:type="spellEnd"/>
      <w:r>
        <w:rPr>
          <w:rFonts w:asciiTheme="minorHAnsi" w:hAnsiTheme="minorHAnsi" w:cstheme="minorHAnsi"/>
        </w:rPr>
        <w:t>) and softwood (</w:t>
      </w:r>
      <w:proofErr w:type="spellStart"/>
      <w:r>
        <w:rPr>
          <w:rFonts w:asciiTheme="minorHAnsi" w:hAnsiTheme="minorHAnsi" w:cstheme="minorHAnsi"/>
        </w:rPr>
        <w:t>swd</w:t>
      </w:r>
      <w:proofErr w:type="spellEnd"/>
      <w:r>
        <w:rPr>
          <w:rFonts w:asciiTheme="minorHAnsi" w:hAnsiTheme="minorHAnsi" w:cstheme="minorHAnsi"/>
        </w:rPr>
        <w:t xml:space="preserve">) lumber categories </w:t>
      </w:r>
      <w:r>
        <w:rPr>
          <w:rFonts w:eastAsia="Times New Roman" w:cs="Calibri"/>
          <w:color w:val="000000"/>
        </w:rPr>
        <w:t>for</w:t>
      </w:r>
      <w:r>
        <w:rPr>
          <w:rFonts w:asciiTheme="minorHAnsi" w:hAnsiTheme="minorHAnsi" w:cstheme="minorHAnsi"/>
        </w:rPr>
        <w:t xml:space="preserve"> </w:t>
      </w:r>
      <w:r>
        <w:rPr>
          <w:rFonts w:eastAsia="Times New Roman" w:cs="Calibri"/>
          <w:color w:val="000000"/>
        </w:rPr>
        <w:t>trees with grades of one and two</w:t>
      </w:r>
      <w:r w:rsidRPr="00610A0C">
        <w:rPr>
          <w:rFonts w:eastAsia="Times New Roman" w:cs="Calibri"/>
          <w:color w:val="000000"/>
        </w:rPr>
        <w:t xml:space="preserve"> </w:t>
      </w:r>
      <w:r>
        <w:rPr>
          <w:rFonts w:eastAsia="Times New Roman" w:cs="Calibri"/>
          <w:color w:val="000000"/>
        </w:rPr>
        <w:t xml:space="preserve">only.  The </w:t>
      </w:r>
      <w:proofErr w:type="spellStart"/>
      <w:r>
        <w:rPr>
          <w:rFonts w:eastAsia="Times New Roman" w:cs="Calibri"/>
          <w:color w:val="000000"/>
        </w:rPr>
        <w:t>hwd</w:t>
      </w:r>
      <w:proofErr w:type="spellEnd"/>
      <w:r>
        <w:rPr>
          <w:rFonts w:eastAsia="Times New Roman" w:cs="Calibri"/>
          <w:color w:val="000000"/>
        </w:rPr>
        <w:t xml:space="preserve"> lumber percentage of the </w:t>
      </w:r>
      <w:r w:rsidR="00B870C3">
        <w:rPr>
          <w:rFonts w:eastAsia="Times New Roman" w:cs="Calibri"/>
          <w:color w:val="000000"/>
        </w:rPr>
        <w:t>actual</w:t>
      </w:r>
      <w:r>
        <w:rPr>
          <w:rFonts w:eastAsia="Times New Roman" w:cs="Calibri"/>
          <w:color w:val="000000"/>
        </w:rPr>
        <w:t xml:space="preserve"> HWP distribution was less than half that of the default HWP distribution, whereas the a</w:t>
      </w:r>
      <w:r w:rsidR="00B870C3">
        <w:rPr>
          <w:rFonts w:eastAsia="Times New Roman" w:cs="Calibri"/>
          <w:color w:val="000000"/>
        </w:rPr>
        <w:t>ctual</w:t>
      </w:r>
      <w:r>
        <w:rPr>
          <w:rFonts w:eastAsia="Times New Roman" w:cs="Calibri"/>
          <w:color w:val="000000"/>
        </w:rPr>
        <w:t xml:space="preserve"> </w:t>
      </w:r>
      <w:proofErr w:type="spellStart"/>
      <w:r>
        <w:rPr>
          <w:rFonts w:eastAsia="Times New Roman" w:cs="Calibri"/>
          <w:color w:val="000000"/>
        </w:rPr>
        <w:t>swd</w:t>
      </w:r>
      <w:proofErr w:type="spellEnd"/>
      <w:r>
        <w:rPr>
          <w:rFonts w:eastAsia="Times New Roman" w:cs="Calibri"/>
          <w:color w:val="000000"/>
        </w:rPr>
        <w:t xml:space="preserve"> lumber percentage was less than one-eighth of its default percentage, as shown in table 3.  Each respective HWP class in the table was populated by the residual parts of tree boles remaining after accounting for contributions to preceding classes.  For </w:t>
      </w:r>
      <w:r w:rsidR="00D47C88">
        <w:rPr>
          <w:rFonts w:eastAsia="Times New Roman" w:cs="Calibri"/>
          <w:color w:val="000000"/>
        </w:rPr>
        <w:t>Y</w:t>
      </w:r>
      <w:r>
        <w:rPr>
          <w:rFonts w:eastAsia="Times New Roman" w:cs="Calibri"/>
          <w:color w:val="000000"/>
        </w:rPr>
        <w:t xml:space="preserve">ellow </w:t>
      </w:r>
      <w:r>
        <w:rPr>
          <w:rFonts w:eastAsia="Times New Roman" w:cs="Calibri"/>
          <w:color w:val="000000"/>
        </w:rPr>
        <w:lastRenderedPageBreak/>
        <w:t xml:space="preserve">poplar, </w:t>
      </w:r>
      <w:r w:rsidR="00D47C88">
        <w:rPr>
          <w:rFonts w:eastAsia="Times New Roman" w:cs="Calibri"/>
          <w:color w:val="000000"/>
        </w:rPr>
        <w:t>C</w:t>
      </w:r>
      <w:r>
        <w:rPr>
          <w:rFonts w:eastAsia="Times New Roman" w:cs="Calibri"/>
          <w:color w:val="000000"/>
        </w:rPr>
        <w:t>ucumber (</w:t>
      </w:r>
      <w:r w:rsidRPr="00A5167E">
        <w:rPr>
          <w:rStyle w:val="apple-style-span"/>
          <w:rFonts w:asciiTheme="minorHAnsi" w:hAnsiTheme="minorHAnsi" w:cstheme="minorHAnsi"/>
          <w:i/>
          <w:color w:val="000000"/>
        </w:rPr>
        <w:t xml:space="preserve">Magnolia </w:t>
      </w:r>
      <w:proofErr w:type="spellStart"/>
      <w:r w:rsidRPr="00A5167E">
        <w:rPr>
          <w:rStyle w:val="apple-style-span"/>
          <w:rFonts w:asciiTheme="minorHAnsi" w:hAnsiTheme="minorHAnsi" w:cstheme="minorHAnsi"/>
          <w:i/>
          <w:color w:val="000000"/>
        </w:rPr>
        <w:t>acuminata</w:t>
      </w:r>
      <w:proofErr w:type="spellEnd"/>
      <w:r>
        <w:rPr>
          <w:rStyle w:val="apple-style-span"/>
          <w:rFonts w:ascii="Arial" w:hAnsi="Arial" w:cs="Arial"/>
          <w:color w:val="000000"/>
        </w:rPr>
        <w:t>)</w:t>
      </w:r>
      <w:r>
        <w:rPr>
          <w:rFonts w:eastAsia="Times New Roman" w:cs="Calibri"/>
          <w:color w:val="000000"/>
        </w:rPr>
        <w:t xml:space="preserve">, </w:t>
      </w:r>
      <w:r w:rsidR="00D47C88">
        <w:rPr>
          <w:rFonts w:eastAsia="Times New Roman" w:cs="Calibri"/>
          <w:color w:val="000000"/>
        </w:rPr>
        <w:t>B</w:t>
      </w:r>
      <w:r>
        <w:rPr>
          <w:rFonts w:eastAsia="Times New Roman" w:cs="Calibri"/>
          <w:color w:val="000000"/>
        </w:rPr>
        <w:t>asswood (</w:t>
      </w:r>
      <w:proofErr w:type="spellStart"/>
      <w:r w:rsidRPr="008E74D2">
        <w:rPr>
          <w:rFonts w:eastAsia="Times New Roman" w:cs="Calibri"/>
          <w:i/>
          <w:color w:val="000000"/>
        </w:rPr>
        <w:t>Tilia</w:t>
      </w:r>
      <w:proofErr w:type="spellEnd"/>
      <w:r w:rsidRPr="008E74D2">
        <w:rPr>
          <w:rFonts w:eastAsia="Times New Roman" w:cs="Calibri"/>
          <w:i/>
          <w:color w:val="000000"/>
        </w:rPr>
        <w:t xml:space="preserve"> </w:t>
      </w:r>
      <w:r>
        <w:rPr>
          <w:rFonts w:eastAsia="Times New Roman" w:cs="Calibri"/>
          <w:color w:val="000000"/>
        </w:rPr>
        <w:t xml:space="preserve">sp.), and </w:t>
      </w:r>
      <w:r w:rsidR="00D47C88">
        <w:rPr>
          <w:rFonts w:eastAsia="Times New Roman" w:cs="Calibri"/>
          <w:color w:val="000000"/>
        </w:rPr>
        <w:t>R</w:t>
      </w:r>
      <w:r>
        <w:rPr>
          <w:rFonts w:eastAsia="Times New Roman" w:cs="Calibri"/>
          <w:color w:val="000000"/>
        </w:rPr>
        <w:t>ed maple trees, the remainders of tree boles above ST-tops, or entire</w:t>
      </w:r>
      <w:r w:rsidRPr="00530166">
        <w:rPr>
          <w:rFonts w:eastAsia="Times New Roman" w:cs="Calibri"/>
          <w:color w:val="000000"/>
        </w:rPr>
        <w:t xml:space="preserve"> </w:t>
      </w:r>
      <w:r>
        <w:rPr>
          <w:rFonts w:eastAsia="Times New Roman" w:cs="Calibri"/>
          <w:color w:val="000000"/>
        </w:rPr>
        <w:t xml:space="preserve">tree boles </w:t>
      </w:r>
      <w:r w:rsidRPr="00EA52EB">
        <w:rPr>
          <w:rFonts w:asciiTheme="minorHAnsi" w:hAnsiTheme="minorHAnsi" w:cstheme="minorHAnsi"/>
          <w:color w:val="000000"/>
        </w:rPr>
        <w:t>(if no grade 1 or 2 butt log)</w:t>
      </w:r>
      <w:r>
        <w:rPr>
          <w:rFonts w:asciiTheme="minorHAnsi" w:hAnsiTheme="minorHAnsi" w:cstheme="minorHAnsi"/>
          <w:color w:val="000000"/>
        </w:rPr>
        <w:t xml:space="preserve">, up to </w:t>
      </w:r>
      <w:r>
        <w:rPr>
          <w:rFonts w:eastAsia="Times New Roman" w:cs="Calibri"/>
          <w:color w:val="000000"/>
        </w:rPr>
        <w:t>8″DIBs</w:t>
      </w:r>
      <w:r w:rsidRPr="00EA52EB">
        <w:rPr>
          <w:rFonts w:eastAsia="Times New Roman" w:cs="Calibri"/>
          <w:color w:val="000000"/>
        </w:rPr>
        <w:t xml:space="preserve"> </w:t>
      </w:r>
      <w:r>
        <w:rPr>
          <w:rFonts w:eastAsia="Times New Roman" w:cs="Calibri"/>
          <w:color w:val="000000"/>
        </w:rPr>
        <w:t>were accounted for in the non-</w:t>
      </w:r>
      <w:r w:rsidR="004C7F2A" w:rsidRPr="004C7F2A">
        <w:rPr>
          <w:rFonts w:eastAsia="Times New Roman" w:cs="Calibri"/>
          <w:color w:val="000000"/>
        </w:rPr>
        <w:t xml:space="preserve"> </w:t>
      </w:r>
      <w:r w:rsidR="004C7F2A">
        <w:rPr>
          <w:rFonts w:eastAsia="Times New Roman" w:cs="Calibri"/>
          <w:color w:val="000000"/>
        </w:rPr>
        <w:t xml:space="preserve">structural panel category. </w:t>
      </w:r>
    </w:p>
    <w:tbl>
      <w:tblPr>
        <w:tblpPr w:leftFromText="180" w:rightFromText="180" w:vertAnchor="page" w:horzAnchor="margin" w:tblpY="3468"/>
        <w:tblW w:w="10170" w:type="dxa"/>
        <w:tblLook w:val="04A0" w:firstRow="1" w:lastRow="0" w:firstColumn="1" w:lastColumn="0" w:noHBand="0" w:noVBand="1"/>
      </w:tblPr>
      <w:tblGrid>
        <w:gridCol w:w="1998"/>
        <w:gridCol w:w="2501"/>
        <w:gridCol w:w="1441"/>
        <w:gridCol w:w="4230"/>
      </w:tblGrid>
      <w:tr w:rsidR="004C7F2A" w:rsidRPr="00EC539A" w:rsidTr="004C7F2A">
        <w:trPr>
          <w:trHeight w:val="20"/>
        </w:trPr>
        <w:tc>
          <w:tcPr>
            <w:tcW w:w="10170" w:type="dxa"/>
            <w:gridSpan w:val="4"/>
            <w:tcBorders>
              <w:top w:val="nil"/>
              <w:left w:val="nil"/>
              <w:bottom w:val="nil"/>
              <w:right w:val="nil"/>
            </w:tcBorders>
            <w:shd w:val="clear" w:color="000000" w:fill="4F81BD"/>
            <w:noWrap/>
            <w:vAlign w:val="bottom"/>
            <w:hideMark/>
          </w:tcPr>
          <w:p w:rsidR="004C7F2A" w:rsidRPr="00B11ECC" w:rsidRDefault="004C7F2A" w:rsidP="004C7F2A">
            <w:pPr>
              <w:spacing w:after="0" w:line="240" w:lineRule="auto"/>
              <w:rPr>
                <w:rFonts w:eastAsia="Times New Roman" w:cs="Calibri"/>
                <w:b/>
                <w:bCs/>
                <w:color w:val="FFFFFF"/>
                <w:u w:val="single"/>
              </w:rPr>
            </w:pPr>
            <w:r w:rsidRPr="00EC539A">
              <w:rPr>
                <w:rFonts w:eastAsia="Times New Roman" w:cs="Calibri"/>
                <w:b/>
                <w:bCs/>
                <w:color w:val="FFFFFF"/>
                <w:u w:val="single"/>
              </w:rPr>
              <w:t xml:space="preserve">Table </w:t>
            </w:r>
            <w:r>
              <w:rPr>
                <w:rFonts w:eastAsia="Times New Roman" w:cs="Calibri"/>
                <w:b/>
                <w:bCs/>
                <w:color w:val="FFFFFF"/>
                <w:u w:val="single"/>
              </w:rPr>
              <w:t>3</w:t>
            </w:r>
            <w:r w:rsidRPr="00EC539A">
              <w:rPr>
                <w:rFonts w:eastAsia="Times New Roman" w:cs="Calibri"/>
                <w:b/>
                <w:bCs/>
                <w:color w:val="FFFFFF"/>
                <w:u w:val="single"/>
              </w:rPr>
              <w:t xml:space="preserve">. HWP </w:t>
            </w:r>
            <w:r>
              <w:rPr>
                <w:rFonts w:eastAsia="Times New Roman" w:cs="Calibri"/>
                <w:b/>
                <w:bCs/>
                <w:color w:val="FFFFFF"/>
                <w:u w:val="single"/>
              </w:rPr>
              <w:t>Estimation</w:t>
            </w:r>
            <w:r w:rsidRPr="00EC539A">
              <w:rPr>
                <w:rFonts w:eastAsia="Times New Roman" w:cs="Calibri"/>
                <w:b/>
                <w:bCs/>
                <w:color w:val="FFFFFF"/>
                <w:u w:val="single"/>
              </w:rPr>
              <w:t xml:space="preserve"> </w:t>
            </w:r>
            <w:r>
              <w:rPr>
                <w:rFonts w:eastAsia="Times New Roman" w:cs="Calibri"/>
                <w:b/>
                <w:bCs/>
                <w:color w:val="FFFFFF"/>
                <w:u w:val="single"/>
              </w:rPr>
              <w:t>using CAR default method and applied method based on assumed merchantability</w:t>
            </w:r>
          </w:p>
        </w:tc>
      </w:tr>
      <w:tr w:rsidR="004C7F2A" w:rsidRPr="00EC539A" w:rsidTr="004C7F2A">
        <w:trPr>
          <w:trHeight w:val="289"/>
        </w:trPr>
        <w:tc>
          <w:tcPr>
            <w:tcW w:w="1998" w:type="dxa"/>
            <w:tcBorders>
              <w:top w:val="single" w:sz="4" w:space="0" w:color="4F81BD"/>
              <w:left w:val="single" w:sz="4" w:space="0" w:color="4F81BD"/>
              <w:bottom w:val="nil"/>
              <w:right w:val="nil"/>
            </w:tcBorders>
            <w:shd w:val="clear" w:color="4F81BD" w:fill="4F81BD"/>
            <w:noWrap/>
            <w:vAlign w:val="bottom"/>
            <w:hideMark/>
          </w:tcPr>
          <w:p w:rsidR="004C7F2A" w:rsidRPr="00D57196" w:rsidRDefault="004C7F2A" w:rsidP="004C7F2A">
            <w:pPr>
              <w:spacing w:after="0" w:line="240" w:lineRule="auto"/>
              <w:jc w:val="center"/>
              <w:rPr>
                <w:rFonts w:eastAsia="Times New Roman" w:cs="Calibri"/>
                <w:b/>
                <w:bCs/>
                <w:color w:val="FFFFFF"/>
                <w:sz w:val="20"/>
                <w:szCs w:val="20"/>
              </w:rPr>
            </w:pPr>
            <w:r w:rsidRPr="00D57196">
              <w:rPr>
                <w:rFonts w:eastAsia="Times New Roman" w:cs="Calibri"/>
                <w:b/>
                <w:bCs/>
                <w:color w:val="FFFFFF"/>
                <w:sz w:val="20"/>
                <w:szCs w:val="20"/>
              </w:rPr>
              <w:t>HWP class</w:t>
            </w:r>
          </w:p>
        </w:tc>
        <w:tc>
          <w:tcPr>
            <w:tcW w:w="2501" w:type="dxa"/>
            <w:tcBorders>
              <w:top w:val="single" w:sz="4" w:space="0" w:color="4F81BD"/>
              <w:left w:val="nil"/>
              <w:right w:val="nil"/>
            </w:tcBorders>
            <w:shd w:val="clear" w:color="4F81BD" w:fill="4F81BD"/>
            <w:noWrap/>
            <w:vAlign w:val="bottom"/>
            <w:hideMark/>
          </w:tcPr>
          <w:p w:rsidR="004C7F2A" w:rsidRPr="00D57196" w:rsidRDefault="004C7F2A" w:rsidP="004C7F2A">
            <w:pPr>
              <w:spacing w:after="0" w:line="240" w:lineRule="auto"/>
              <w:jc w:val="center"/>
              <w:rPr>
                <w:rFonts w:eastAsia="Times New Roman" w:cs="Calibri"/>
                <w:b/>
                <w:bCs/>
                <w:color w:val="FFFFFF"/>
                <w:sz w:val="20"/>
                <w:szCs w:val="20"/>
              </w:rPr>
            </w:pPr>
            <w:r w:rsidRPr="00D57196">
              <w:rPr>
                <w:rFonts w:eastAsia="Times New Roman" w:cs="Calibri"/>
                <w:b/>
                <w:bCs/>
                <w:color w:val="FFFFFF"/>
                <w:sz w:val="20"/>
                <w:szCs w:val="20"/>
              </w:rPr>
              <w:t>100yr Average Storage Factor</w:t>
            </w:r>
          </w:p>
        </w:tc>
        <w:tc>
          <w:tcPr>
            <w:tcW w:w="1441" w:type="dxa"/>
            <w:tcBorders>
              <w:top w:val="single" w:sz="4" w:space="0" w:color="4F81BD"/>
              <w:left w:val="nil"/>
              <w:right w:val="nil"/>
            </w:tcBorders>
            <w:shd w:val="clear" w:color="4F81BD" w:fill="4F81BD"/>
            <w:noWrap/>
            <w:vAlign w:val="bottom"/>
            <w:hideMark/>
          </w:tcPr>
          <w:p w:rsidR="004C7F2A" w:rsidRPr="00D57196" w:rsidRDefault="004C7F2A" w:rsidP="004C7F2A">
            <w:pPr>
              <w:spacing w:after="0" w:line="240" w:lineRule="auto"/>
              <w:jc w:val="center"/>
              <w:rPr>
                <w:rFonts w:eastAsia="Times New Roman" w:cs="Calibri"/>
                <w:b/>
                <w:bCs/>
                <w:color w:val="FFFFFF"/>
                <w:sz w:val="20"/>
                <w:szCs w:val="20"/>
              </w:rPr>
            </w:pPr>
            <w:r w:rsidRPr="00D57196">
              <w:rPr>
                <w:rFonts w:eastAsia="Times New Roman" w:cs="Calibri"/>
                <w:b/>
                <w:bCs/>
                <w:color w:val="FFFFFF"/>
                <w:sz w:val="20"/>
                <w:szCs w:val="20"/>
              </w:rPr>
              <w:t>Default HWP distribution</w:t>
            </w:r>
          </w:p>
        </w:tc>
        <w:tc>
          <w:tcPr>
            <w:tcW w:w="4230" w:type="dxa"/>
            <w:tcBorders>
              <w:top w:val="single" w:sz="4" w:space="0" w:color="4F81BD"/>
              <w:left w:val="nil"/>
              <w:bottom w:val="nil"/>
              <w:right w:val="single" w:sz="4" w:space="0" w:color="4F81BD"/>
            </w:tcBorders>
            <w:shd w:val="clear" w:color="4F81BD" w:fill="4F81BD"/>
            <w:noWrap/>
            <w:vAlign w:val="bottom"/>
            <w:hideMark/>
          </w:tcPr>
          <w:p w:rsidR="004C7F2A" w:rsidRPr="00D57196" w:rsidRDefault="004C7F2A" w:rsidP="004C7F2A">
            <w:pPr>
              <w:spacing w:after="0" w:line="240" w:lineRule="auto"/>
              <w:jc w:val="center"/>
              <w:rPr>
                <w:rFonts w:eastAsia="Times New Roman" w:cs="Calibri"/>
                <w:b/>
                <w:bCs/>
                <w:color w:val="FFFFFF"/>
                <w:sz w:val="20"/>
                <w:szCs w:val="20"/>
              </w:rPr>
            </w:pPr>
            <w:r w:rsidRPr="00D57196">
              <w:rPr>
                <w:rFonts w:eastAsia="Times New Roman" w:cs="Calibri"/>
                <w:b/>
                <w:bCs/>
                <w:color w:val="FFFFFF"/>
                <w:sz w:val="20"/>
                <w:szCs w:val="20"/>
              </w:rPr>
              <w:t>Merchantability-based HWP Distribution</w:t>
            </w:r>
          </w:p>
        </w:tc>
      </w:tr>
      <w:tr w:rsidR="004C7F2A" w:rsidRPr="00EC539A" w:rsidTr="004C7F2A">
        <w:trPr>
          <w:trHeight w:val="289"/>
        </w:trPr>
        <w:tc>
          <w:tcPr>
            <w:tcW w:w="1998" w:type="dxa"/>
            <w:tcBorders>
              <w:top w:val="single" w:sz="4" w:space="0" w:color="4F81BD"/>
              <w:left w:val="single" w:sz="4" w:space="0" w:color="4F81BD"/>
              <w:bottom w:val="nil"/>
              <w:right w:val="nil"/>
            </w:tcBorders>
            <w:shd w:val="clear" w:color="auto" w:fill="auto"/>
            <w:noWrap/>
            <w:vAlign w:val="bottom"/>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Hardwood Lumber</w:t>
            </w:r>
          </w:p>
        </w:tc>
        <w:tc>
          <w:tcPr>
            <w:tcW w:w="2501" w:type="dxa"/>
            <w:tcBorders>
              <w:left w:val="nil"/>
              <w:bottom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25.0%</w:t>
            </w:r>
          </w:p>
        </w:tc>
        <w:tc>
          <w:tcPr>
            <w:tcW w:w="1441" w:type="dxa"/>
            <w:tcBorders>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69%</w:t>
            </w:r>
          </w:p>
        </w:tc>
        <w:tc>
          <w:tcPr>
            <w:tcW w:w="4230" w:type="dxa"/>
            <w:tcBorders>
              <w:top w:val="single" w:sz="4" w:space="0" w:color="4F81BD"/>
              <w:left w:val="nil"/>
              <w:bottom w:val="nil"/>
              <w:right w:val="single" w:sz="4" w:space="0" w:color="4F81BD"/>
            </w:tcBorders>
            <w:shd w:val="clear" w:color="auto" w:fill="auto"/>
            <w:noWrap/>
            <w:vAlign w:val="center"/>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28.2</w:t>
            </w:r>
            <w:r w:rsidRPr="0047215F">
              <w:rPr>
                <w:rFonts w:asciiTheme="minorHAnsi" w:eastAsia="Times New Roman" w:hAnsiTheme="minorHAnsi" w:cstheme="minorHAnsi"/>
                <w:color w:val="000000"/>
                <w:sz w:val="20"/>
                <w:szCs w:val="20"/>
              </w:rPr>
              <w:t>% -Grade 1 &amp; 2 ST</w:t>
            </w:r>
            <w:r>
              <w:rPr>
                <w:rFonts w:asciiTheme="minorHAnsi" w:eastAsia="Times New Roman" w:hAnsiTheme="minorHAnsi" w:cstheme="minorHAnsi"/>
                <w:color w:val="000000"/>
                <w:sz w:val="20"/>
                <w:szCs w:val="20"/>
              </w:rPr>
              <w:t xml:space="preserve">-stump </w:t>
            </w:r>
            <w:r w:rsidRPr="0047215F">
              <w:rPr>
                <w:rFonts w:ascii="Arial" w:eastAsia="Times New Roman" w:hAnsi="Arial" w:cs="Arial"/>
                <w:color w:val="000000"/>
                <w:sz w:val="20"/>
                <w:szCs w:val="20"/>
              </w:rPr>
              <w:t>→</w:t>
            </w:r>
            <w:r w:rsidRPr="0047215F">
              <w:rPr>
                <w:rFonts w:asciiTheme="minorHAnsi" w:eastAsia="Times New Roman" w:hAnsiTheme="minorHAnsi" w:cstheme="minorHAnsi"/>
                <w:color w:val="000000"/>
                <w:sz w:val="20"/>
                <w:szCs w:val="20"/>
              </w:rPr>
              <w:t>ST-top or 12″DIB</w:t>
            </w:r>
          </w:p>
        </w:tc>
      </w:tr>
      <w:tr w:rsidR="004C7F2A" w:rsidRPr="00EC539A" w:rsidTr="004C7F2A">
        <w:trPr>
          <w:trHeight w:val="289"/>
        </w:trPr>
        <w:tc>
          <w:tcPr>
            <w:tcW w:w="1998" w:type="dxa"/>
            <w:tcBorders>
              <w:top w:val="single" w:sz="4" w:space="0" w:color="4F81BD"/>
              <w:left w:val="single" w:sz="4" w:space="0" w:color="4F81BD"/>
              <w:bottom w:val="nil"/>
              <w:right w:val="nil"/>
            </w:tcBorders>
            <w:shd w:val="clear" w:color="auto" w:fill="auto"/>
            <w:noWrap/>
            <w:vAlign w:val="bottom"/>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Non-Structural</w:t>
            </w:r>
          </w:p>
        </w:tc>
        <w:tc>
          <w:tcPr>
            <w:tcW w:w="250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38.0%</w:t>
            </w:r>
          </w:p>
        </w:tc>
        <w:tc>
          <w:tcPr>
            <w:tcW w:w="144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5%</w:t>
            </w:r>
          </w:p>
        </w:tc>
        <w:tc>
          <w:tcPr>
            <w:tcW w:w="4230" w:type="dxa"/>
            <w:tcBorders>
              <w:top w:val="single" w:sz="4" w:space="0" w:color="4F81BD"/>
              <w:left w:val="nil"/>
              <w:bottom w:val="nil"/>
              <w:right w:val="single" w:sz="4" w:space="0" w:color="4F81BD"/>
            </w:tcBorders>
            <w:shd w:val="clear" w:color="auto" w:fill="auto"/>
            <w:noWrap/>
            <w:vAlign w:val="center"/>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4.2</w:t>
            </w:r>
            <w:r w:rsidRPr="0047215F">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 xml:space="preserve">   </w:t>
            </w:r>
            <w:r w:rsidRPr="0047215F">
              <w:rPr>
                <w:rFonts w:asciiTheme="minorHAnsi" w:eastAsia="Times New Roman" w:hAnsiTheme="minorHAnsi" w:cstheme="minorHAnsi"/>
                <w:color w:val="000000"/>
                <w:sz w:val="20"/>
                <w:szCs w:val="20"/>
              </w:rPr>
              <w:t>-YP,CT,BW,RM residual bole</w:t>
            </w:r>
            <w:r w:rsidRPr="0047215F">
              <w:rPr>
                <w:rFonts w:ascii="Arial" w:eastAsia="Times New Roman" w:hAnsi="Arial" w:cs="Arial"/>
                <w:color w:val="000000"/>
                <w:sz w:val="20"/>
                <w:szCs w:val="20"/>
              </w:rPr>
              <w:t>→</w:t>
            </w:r>
            <w:r w:rsidRPr="0047215F">
              <w:rPr>
                <w:rFonts w:asciiTheme="minorHAnsi" w:eastAsia="Times New Roman" w:hAnsiTheme="minorHAnsi" w:cstheme="minorHAnsi"/>
                <w:color w:val="000000"/>
                <w:sz w:val="20"/>
                <w:szCs w:val="20"/>
              </w:rPr>
              <w:t>8″DIB</w:t>
            </w:r>
          </w:p>
        </w:tc>
      </w:tr>
      <w:tr w:rsidR="004C7F2A" w:rsidRPr="00EC539A" w:rsidTr="004C7F2A">
        <w:trPr>
          <w:trHeight w:val="289"/>
        </w:trPr>
        <w:tc>
          <w:tcPr>
            <w:tcW w:w="1998" w:type="dxa"/>
            <w:tcBorders>
              <w:top w:val="single" w:sz="4" w:space="0" w:color="4F81BD"/>
              <w:left w:val="single" w:sz="4" w:space="0" w:color="4F81BD"/>
              <w:bottom w:val="nil"/>
              <w:right w:val="nil"/>
            </w:tcBorders>
            <w:shd w:val="clear" w:color="auto" w:fill="auto"/>
            <w:noWrap/>
            <w:vAlign w:val="bottom"/>
            <w:hideMark/>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Miscellaneous</w:t>
            </w:r>
          </w:p>
        </w:tc>
        <w:tc>
          <w:tcPr>
            <w:tcW w:w="2501" w:type="dxa"/>
            <w:tcBorders>
              <w:top w:val="single" w:sz="4" w:space="0" w:color="4F81BD"/>
              <w:left w:val="nil"/>
              <w:bottom w:val="nil"/>
              <w:right w:val="nil"/>
            </w:tcBorders>
            <w:shd w:val="clear" w:color="auto" w:fill="auto"/>
            <w:noWrap/>
            <w:vAlign w:val="center"/>
            <w:hideMark/>
          </w:tcPr>
          <w:p w:rsidR="004C7F2A" w:rsidRPr="0047215F" w:rsidRDefault="004C7F2A" w:rsidP="004C7F2A">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17.6%</w:t>
            </w:r>
          </w:p>
        </w:tc>
        <w:tc>
          <w:tcPr>
            <w:tcW w:w="1441" w:type="dxa"/>
            <w:tcBorders>
              <w:top w:val="single" w:sz="4" w:space="0" w:color="4F81BD"/>
              <w:left w:val="nil"/>
              <w:bottom w:val="nil"/>
              <w:right w:val="nil"/>
            </w:tcBorders>
            <w:shd w:val="clear" w:color="auto" w:fill="auto"/>
            <w:noWrap/>
            <w:vAlign w:val="center"/>
            <w:hideMark/>
          </w:tcPr>
          <w:p w:rsidR="004C7F2A" w:rsidRPr="0047215F" w:rsidRDefault="004C7F2A" w:rsidP="004C7F2A">
            <w:pPr>
              <w:spacing w:after="0" w:line="240" w:lineRule="auto"/>
              <w:jc w:val="center"/>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3%</w:t>
            </w:r>
          </w:p>
        </w:tc>
        <w:tc>
          <w:tcPr>
            <w:tcW w:w="4230" w:type="dxa"/>
            <w:tcBorders>
              <w:top w:val="single" w:sz="4" w:space="0" w:color="4F81BD"/>
              <w:left w:val="nil"/>
              <w:bottom w:val="nil"/>
              <w:right w:val="single" w:sz="4" w:space="0" w:color="4F81BD"/>
            </w:tcBorders>
            <w:shd w:val="clear" w:color="auto" w:fill="auto"/>
            <w:noWrap/>
            <w:vAlign w:val="center"/>
            <w:hideMark/>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10.9</w:t>
            </w:r>
            <w:r w:rsidRPr="0047215F">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 xml:space="preserve"> </w:t>
            </w:r>
            <w:r w:rsidRPr="0047215F">
              <w:rPr>
                <w:rFonts w:asciiTheme="minorHAnsi" w:eastAsia="Times New Roman" w:hAnsiTheme="minorHAnsi" w:cstheme="minorHAnsi"/>
                <w:color w:val="000000"/>
                <w:sz w:val="20"/>
                <w:szCs w:val="20"/>
              </w:rPr>
              <w:t xml:space="preserve">-Residual </w:t>
            </w:r>
            <w:proofErr w:type="spellStart"/>
            <w:r w:rsidRPr="0047215F">
              <w:rPr>
                <w:rFonts w:asciiTheme="minorHAnsi" w:eastAsia="Times New Roman" w:hAnsiTheme="minorHAnsi" w:cstheme="minorHAnsi"/>
                <w:color w:val="000000"/>
                <w:sz w:val="20"/>
                <w:szCs w:val="20"/>
              </w:rPr>
              <w:t>bole</w:t>
            </w:r>
            <w:r w:rsidRPr="0047215F">
              <w:rPr>
                <w:rFonts w:ascii="Arial" w:eastAsia="Times New Roman" w:hAnsi="Arial" w:cs="Arial"/>
                <w:color w:val="000000"/>
                <w:sz w:val="20"/>
                <w:szCs w:val="20"/>
              </w:rPr>
              <w:t>→</w:t>
            </w:r>
            <w:r w:rsidRPr="0047215F">
              <w:rPr>
                <w:rFonts w:asciiTheme="minorHAnsi" w:eastAsia="Times New Roman" w:hAnsiTheme="minorHAnsi" w:cstheme="minorHAnsi"/>
                <w:color w:val="000000"/>
                <w:sz w:val="20"/>
                <w:szCs w:val="20"/>
              </w:rPr>
              <w:t>ST-top</w:t>
            </w:r>
            <w:proofErr w:type="spellEnd"/>
            <w:r w:rsidRPr="0047215F">
              <w:rPr>
                <w:rFonts w:asciiTheme="minorHAnsi" w:eastAsia="Times New Roman" w:hAnsiTheme="minorHAnsi" w:cstheme="minorHAnsi"/>
                <w:color w:val="000000"/>
                <w:sz w:val="20"/>
                <w:szCs w:val="20"/>
              </w:rPr>
              <w:t xml:space="preserve"> (if any)</w:t>
            </w:r>
          </w:p>
        </w:tc>
      </w:tr>
      <w:tr w:rsidR="004C7F2A" w:rsidRPr="00EC539A" w:rsidTr="004C7F2A">
        <w:trPr>
          <w:trHeight w:val="289"/>
        </w:trPr>
        <w:tc>
          <w:tcPr>
            <w:tcW w:w="1998" w:type="dxa"/>
            <w:tcBorders>
              <w:top w:val="single" w:sz="4" w:space="0" w:color="4F81BD"/>
              <w:left w:val="single" w:sz="4" w:space="0" w:color="4F81BD"/>
              <w:bottom w:val="nil"/>
              <w:right w:val="nil"/>
            </w:tcBorders>
            <w:shd w:val="clear" w:color="auto" w:fill="auto"/>
            <w:noWrap/>
            <w:vAlign w:val="bottom"/>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Softwood Lumber</w:t>
            </w:r>
          </w:p>
        </w:tc>
        <w:tc>
          <w:tcPr>
            <w:tcW w:w="250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46.3%</w:t>
            </w:r>
          </w:p>
        </w:tc>
        <w:tc>
          <w:tcPr>
            <w:tcW w:w="144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4%</w:t>
            </w:r>
          </w:p>
        </w:tc>
        <w:tc>
          <w:tcPr>
            <w:tcW w:w="4230" w:type="dxa"/>
            <w:tcBorders>
              <w:top w:val="single" w:sz="4" w:space="0" w:color="4F81BD"/>
              <w:left w:val="nil"/>
              <w:bottom w:val="nil"/>
              <w:right w:val="single" w:sz="4" w:space="0" w:color="4F81BD"/>
            </w:tcBorders>
            <w:shd w:val="clear" w:color="auto" w:fill="auto"/>
            <w:noWrap/>
            <w:vAlign w:val="center"/>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0.5%  </w:t>
            </w:r>
            <w:r w:rsidRPr="0047215F">
              <w:rPr>
                <w:rFonts w:asciiTheme="minorHAnsi" w:eastAsia="Times New Roman" w:hAnsiTheme="minorHAnsi" w:cstheme="minorHAnsi"/>
                <w:color w:val="000000"/>
                <w:sz w:val="20"/>
                <w:szCs w:val="20"/>
              </w:rPr>
              <w:t>-Grade 1 &amp; 2  ST</w:t>
            </w:r>
            <w:r>
              <w:rPr>
                <w:rFonts w:asciiTheme="minorHAnsi" w:eastAsia="Times New Roman" w:hAnsiTheme="minorHAnsi" w:cstheme="minorHAnsi"/>
                <w:color w:val="000000"/>
                <w:sz w:val="20"/>
                <w:szCs w:val="20"/>
              </w:rPr>
              <w:t xml:space="preserve">-stump </w:t>
            </w:r>
            <w:r w:rsidRPr="0047215F">
              <w:rPr>
                <w:rFonts w:ascii="Arial" w:eastAsia="Times New Roman" w:hAnsi="Arial" w:cs="Arial"/>
                <w:color w:val="000000"/>
                <w:sz w:val="20"/>
                <w:szCs w:val="20"/>
              </w:rPr>
              <w:t>→</w:t>
            </w:r>
            <w:r w:rsidRPr="0047215F">
              <w:rPr>
                <w:rFonts w:asciiTheme="minorHAnsi" w:eastAsia="Times New Roman" w:hAnsiTheme="minorHAnsi" w:cstheme="minorHAnsi"/>
                <w:color w:val="000000"/>
                <w:sz w:val="20"/>
                <w:szCs w:val="20"/>
              </w:rPr>
              <w:t>ST-top or 12″DIB</w:t>
            </w:r>
          </w:p>
        </w:tc>
      </w:tr>
      <w:tr w:rsidR="004C7F2A" w:rsidRPr="00EC539A" w:rsidTr="004C7F2A">
        <w:trPr>
          <w:trHeight w:val="289"/>
        </w:trPr>
        <w:tc>
          <w:tcPr>
            <w:tcW w:w="1998" w:type="dxa"/>
            <w:tcBorders>
              <w:top w:val="single" w:sz="4" w:space="0" w:color="4F81BD"/>
              <w:left w:val="single" w:sz="4" w:space="0" w:color="4F81BD"/>
              <w:bottom w:val="nil"/>
              <w:right w:val="nil"/>
            </w:tcBorders>
            <w:shd w:val="clear" w:color="auto" w:fill="auto"/>
            <w:noWrap/>
            <w:vAlign w:val="bottom"/>
          </w:tcPr>
          <w:p w:rsidR="004C7F2A" w:rsidRPr="0047215F" w:rsidRDefault="004C7F2A" w:rsidP="004C7F2A">
            <w:pPr>
              <w:spacing w:after="0" w:line="240" w:lineRule="auto"/>
              <w:rPr>
                <w:rFonts w:asciiTheme="minorHAnsi" w:eastAsia="Times New Roman" w:hAnsiTheme="minorHAnsi" w:cstheme="minorHAnsi"/>
                <w:sz w:val="20"/>
                <w:szCs w:val="20"/>
              </w:rPr>
            </w:pPr>
            <w:r w:rsidRPr="0047215F">
              <w:rPr>
                <w:rFonts w:asciiTheme="minorHAnsi" w:eastAsia="Times New Roman" w:hAnsiTheme="minorHAnsi" w:cstheme="minorHAnsi"/>
                <w:color w:val="000000"/>
                <w:sz w:val="20"/>
                <w:szCs w:val="20"/>
              </w:rPr>
              <w:t>Softwood</w:t>
            </w:r>
            <w:r w:rsidRPr="0047215F">
              <w:rPr>
                <w:rFonts w:asciiTheme="minorHAnsi" w:eastAsia="Times New Roman" w:hAnsiTheme="minorHAnsi" w:cstheme="minorHAnsi"/>
                <w:sz w:val="20"/>
                <w:szCs w:val="20"/>
              </w:rPr>
              <w:t xml:space="preserve"> Plywood</w:t>
            </w:r>
          </w:p>
        </w:tc>
        <w:tc>
          <w:tcPr>
            <w:tcW w:w="250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48.4%</w:t>
            </w:r>
          </w:p>
        </w:tc>
        <w:tc>
          <w:tcPr>
            <w:tcW w:w="144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4%</w:t>
            </w:r>
          </w:p>
        </w:tc>
        <w:tc>
          <w:tcPr>
            <w:tcW w:w="4230" w:type="dxa"/>
            <w:tcBorders>
              <w:top w:val="single" w:sz="4" w:space="0" w:color="4F81BD"/>
              <w:left w:val="nil"/>
              <w:bottom w:val="nil"/>
              <w:right w:val="single" w:sz="4" w:space="0" w:color="4F81BD"/>
            </w:tcBorders>
            <w:shd w:val="clear" w:color="auto" w:fill="auto"/>
            <w:noWrap/>
            <w:vAlign w:val="center"/>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0.</w:t>
            </w:r>
            <w:r>
              <w:rPr>
                <w:rFonts w:asciiTheme="minorHAnsi" w:eastAsia="Times New Roman" w:hAnsiTheme="minorHAnsi" w:cstheme="minorHAnsi"/>
                <w:color w:val="000000"/>
                <w:sz w:val="20"/>
                <w:szCs w:val="20"/>
              </w:rPr>
              <w:t>9</w:t>
            </w:r>
            <w:r w:rsidRPr="0047215F">
              <w:rPr>
                <w:rFonts w:asciiTheme="minorHAnsi" w:eastAsia="Times New Roman" w:hAnsiTheme="minorHAnsi" w:cstheme="minorHAnsi"/>
                <w:color w:val="000000"/>
                <w:sz w:val="20"/>
                <w:szCs w:val="20"/>
              </w:rPr>
              <w:t>%   -Residual bole to 8″DIB</w:t>
            </w:r>
          </w:p>
        </w:tc>
      </w:tr>
      <w:tr w:rsidR="004C7F2A" w:rsidRPr="00EC539A" w:rsidTr="004C7F2A">
        <w:trPr>
          <w:trHeight w:val="289"/>
        </w:trPr>
        <w:tc>
          <w:tcPr>
            <w:tcW w:w="1998" w:type="dxa"/>
            <w:tcBorders>
              <w:top w:val="single" w:sz="4" w:space="0" w:color="4F81BD"/>
              <w:left w:val="single" w:sz="4" w:space="0" w:color="4F81BD"/>
              <w:bottom w:val="nil"/>
              <w:right w:val="nil"/>
            </w:tcBorders>
            <w:shd w:val="clear" w:color="auto" w:fill="auto"/>
            <w:noWrap/>
            <w:vAlign w:val="bottom"/>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OSB</w:t>
            </w:r>
          </w:p>
        </w:tc>
        <w:tc>
          <w:tcPr>
            <w:tcW w:w="250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58.2%</w:t>
            </w:r>
          </w:p>
        </w:tc>
        <w:tc>
          <w:tcPr>
            <w:tcW w:w="1441" w:type="dxa"/>
            <w:tcBorders>
              <w:top w:val="single" w:sz="4" w:space="0" w:color="4F81BD"/>
              <w:left w:val="nil"/>
              <w:bottom w:val="nil"/>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12%</w:t>
            </w:r>
          </w:p>
        </w:tc>
        <w:tc>
          <w:tcPr>
            <w:tcW w:w="4230" w:type="dxa"/>
            <w:tcBorders>
              <w:top w:val="single" w:sz="4" w:space="0" w:color="4F81BD"/>
              <w:left w:val="nil"/>
              <w:bottom w:val="nil"/>
              <w:right w:val="single" w:sz="4" w:space="0" w:color="4F81BD"/>
            </w:tcBorders>
            <w:shd w:val="clear" w:color="auto" w:fill="auto"/>
            <w:noWrap/>
            <w:vAlign w:val="center"/>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26.1</w:t>
            </w:r>
            <w:r w:rsidRPr="0047215F">
              <w:rPr>
                <w:rFonts w:asciiTheme="minorHAnsi" w:eastAsia="Times New Roman" w:hAnsiTheme="minorHAnsi" w:cstheme="minorHAnsi"/>
                <w:color w:val="000000"/>
                <w:sz w:val="20"/>
                <w:szCs w:val="20"/>
              </w:rPr>
              <w:t xml:space="preserve">% -Residual bole </w:t>
            </w:r>
            <w:r w:rsidRPr="0047215F">
              <w:rPr>
                <w:rFonts w:ascii="Arial" w:eastAsia="Times New Roman" w:hAnsi="Arial" w:cs="Arial"/>
                <w:color w:val="000000"/>
                <w:sz w:val="20"/>
                <w:szCs w:val="20"/>
              </w:rPr>
              <w:t>→</w:t>
            </w:r>
            <w:r w:rsidRPr="0047215F">
              <w:rPr>
                <w:rFonts w:asciiTheme="minorHAnsi" w:eastAsia="Times New Roman" w:hAnsiTheme="minorHAnsi" w:cstheme="minorHAnsi"/>
                <w:color w:val="000000"/>
                <w:sz w:val="20"/>
                <w:szCs w:val="20"/>
              </w:rPr>
              <w:t>5″DIB x 0.5</w:t>
            </w:r>
          </w:p>
        </w:tc>
      </w:tr>
      <w:tr w:rsidR="004C7F2A" w:rsidRPr="00EC539A" w:rsidTr="004C7F2A">
        <w:trPr>
          <w:trHeight w:val="289"/>
        </w:trPr>
        <w:tc>
          <w:tcPr>
            <w:tcW w:w="1998" w:type="dxa"/>
            <w:tcBorders>
              <w:top w:val="single" w:sz="4" w:space="0" w:color="4F81BD"/>
              <w:left w:val="single" w:sz="4" w:space="0" w:color="4F81BD"/>
              <w:bottom w:val="single" w:sz="4" w:space="0" w:color="4F81BD"/>
              <w:right w:val="nil"/>
            </w:tcBorders>
            <w:shd w:val="clear" w:color="auto" w:fill="auto"/>
            <w:noWrap/>
            <w:vAlign w:val="bottom"/>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Paper</w:t>
            </w:r>
          </w:p>
        </w:tc>
        <w:tc>
          <w:tcPr>
            <w:tcW w:w="2501" w:type="dxa"/>
            <w:tcBorders>
              <w:top w:val="single" w:sz="4" w:space="0" w:color="4F81BD"/>
              <w:left w:val="nil"/>
              <w:bottom w:val="single" w:sz="4" w:space="0" w:color="4F81BD"/>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5.8%</w:t>
            </w:r>
          </w:p>
        </w:tc>
        <w:tc>
          <w:tcPr>
            <w:tcW w:w="1441" w:type="dxa"/>
            <w:tcBorders>
              <w:top w:val="single" w:sz="4" w:space="0" w:color="4F81BD"/>
              <w:left w:val="nil"/>
              <w:bottom w:val="single" w:sz="4" w:space="0" w:color="4F81BD"/>
              <w:right w:val="nil"/>
            </w:tcBorders>
            <w:shd w:val="clear" w:color="auto" w:fill="auto"/>
            <w:noWrap/>
            <w:vAlign w:val="center"/>
          </w:tcPr>
          <w:p w:rsidR="004C7F2A" w:rsidRPr="0047215F" w:rsidRDefault="004C7F2A" w:rsidP="004C7F2A">
            <w:pPr>
              <w:spacing w:after="0" w:line="240" w:lineRule="auto"/>
              <w:jc w:val="center"/>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7%</w:t>
            </w:r>
          </w:p>
        </w:tc>
        <w:tc>
          <w:tcPr>
            <w:tcW w:w="4230" w:type="dxa"/>
            <w:tcBorders>
              <w:top w:val="single" w:sz="4" w:space="0" w:color="4F81BD"/>
              <w:left w:val="nil"/>
              <w:bottom w:val="single" w:sz="4" w:space="0" w:color="4F81BD"/>
              <w:right w:val="single" w:sz="4" w:space="0" w:color="4F81BD"/>
            </w:tcBorders>
            <w:shd w:val="clear" w:color="auto" w:fill="auto"/>
            <w:noWrap/>
            <w:vAlign w:val="center"/>
          </w:tcPr>
          <w:p w:rsidR="004C7F2A" w:rsidRPr="0047215F" w:rsidRDefault="004C7F2A" w:rsidP="004C7F2A">
            <w:pPr>
              <w:spacing w:after="0" w:line="240" w:lineRule="auto"/>
              <w:rPr>
                <w:rFonts w:asciiTheme="minorHAnsi" w:eastAsia="Times New Roman" w:hAnsiTheme="minorHAnsi" w:cstheme="minorHAnsi"/>
                <w:color w:val="000000"/>
                <w:sz w:val="20"/>
                <w:szCs w:val="20"/>
              </w:rPr>
            </w:pPr>
            <w:r w:rsidRPr="0047215F">
              <w:rPr>
                <w:rFonts w:asciiTheme="minorHAnsi" w:eastAsia="Times New Roman" w:hAnsiTheme="minorHAnsi" w:cstheme="minorHAnsi"/>
                <w:color w:val="000000"/>
                <w:sz w:val="20"/>
                <w:szCs w:val="20"/>
              </w:rPr>
              <w:t>29.</w:t>
            </w:r>
            <w:r>
              <w:rPr>
                <w:rFonts w:asciiTheme="minorHAnsi" w:eastAsia="Times New Roman" w:hAnsiTheme="minorHAnsi" w:cstheme="minorHAnsi"/>
                <w:color w:val="000000"/>
                <w:sz w:val="20"/>
                <w:szCs w:val="20"/>
              </w:rPr>
              <w:t>2</w:t>
            </w:r>
            <w:r w:rsidRPr="0047215F">
              <w:rPr>
                <w:rFonts w:asciiTheme="minorHAnsi" w:eastAsia="Times New Roman" w:hAnsiTheme="minorHAnsi" w:cstheme="minorHAnsi"/>
                <w:color w:val="000000"/>
                <w:sz w:val="20"/>
                <w:szCs w:val="20"/>
              </w:rPr>
              <w:t xml:space="preserve">% -Residual bole </w:t>
            </w:r>
            <w:r w:rsidRPr="0047215F">
              <w:rPr>
                <w:rFonts w:ascii="Arial" w:eastAsia="Times New Roman" w:hAnsi="Arial" w:cs="Arial"/>
                <w:color w:val="000000"/>
                <w:sz w:val="20"/>
                <w:szCs w:val="20"/>
              </w:rPr>
              <w:t>→</w:t>
            </w:r>
            <w:r w:rsidRPr="0047215F">
              <w:rPr>
                <w:rFonts w:asciiTheme="minorHAnsi" w:eastAsia="Times New Roman" w:hAnsiTheme="minorHAnsi" w:cstheme="minorHAnsi"/>
                <w:color w:val="000000"/>
                <w:sz w:val="20"/>
                <w:szCs w:val="20"/>
              </w:rPr>
              <w:t>4″DIB top</w:t>
            </w:r>
          </w:p>
        </w:tc>
      </w:tr>
    </w:tbl>
    <w:p w:rsidR="004A2DC4" w:rsidRPr="004A2DC4" w:rsidRDefault="004A2DC4" w:rsidP="004A2DC4">
      <w:pPr>
        <w:spacing w:line="240" w:lineRule="auto"/>
        <w:ind w:firstLine="720"/>
        <w:rPr>
          <w:rFonts w:eastAsia="Times New Roman" w:cs="Calibri"/>
          <w:color w:val="000000"/>
          <w:sz w:val="12"/>
          <w:szCs w:val="12"/>
        </w:rPr>
      </w:pPr>
    </w:p>
    <w:p w:rsidR="009D24E5" w:rsidRPr="00C712F6" w:rsidRDefault="00B84100" w:rsidP="00C712F6">
      <w:pPr>
        <w:spacing w:line="480" w:lineRule="auto"/>
        <w:ind w:firstLine="720"/>
      </w:pPr>
      <w:r>
        <w:rPr>
          <w:rFonts w:eastAsia="Times New Roman" w:cs="Calibri"/>
          <w:color w:val="000000"/>
        </w:rPr>
        <w:t>F</w:t>
      </w:r>
      <w:r w:rsidR="009D24E5">
        <w:rPr>
          <w:rFonts w:eastAsia="Times New Roman" w:cs="Calibri"/>
          <w:color w:val="000000"/>
        </w:rPr>
        <w:t xml:space="preserve">or </w:t>
      </w:r>
      <w:r w:rsidR="00967726">
        <w:rPr>
          <w:rFonts w:eastAsia="Times New Roman" w:cs="Calibri"/>
          <w:color w:val="000000"/>
        </w:rPr>
        <w:t>all other low</w:t>
      </w:r>
      <w:r>
        <w:rPr>
          <w:rFonts w:eastAsia="Times New Roman" w:cs="Calibri"/>
          <w:color w:val="000000"/>
        </w:rPr>
        <w:t xml:space="preserve"> grade </w:t>
      </w:r>
      <w:proofErr w:type="spellStart"/>
      <w:r>
        <w:rPr>
          <w:rFonts w:eastAsia="Times New Roman" w:cs="Calibri"/>
          <w:color w:val="000000"/>
        </w:rPr>
        <w:t>hwd</w:t>
      </w:r>
      <w:proofErr w:type="spellEnd"/>
      <w:r>
        <w:rPr>
          <w:rFonts w:eastAsia="Times New Roman" w:cs="Calibri"/>
          <w:color w:val="000000"/>
        </w:rPr>
        <w:t xml:space="preserve"> ST-trees,</w:t>
      </w:r>
      <w:r w:rsidR="009D24E5">
        <w:rPr>
          <w:rFonts w:eastAsia="Times New Roman" w:cs="Calibri"/>
          <w:color w:val="000000"/>
        </w:rPr>
        <w:t xml:space="preserve"> </w:t>
      </w:r>
      <w:r w:rsidR="00967726">
        <w:rPr>
          <w:rFonts w:eastAsia="Times New Roman" w:cs="Calibri"/>
          <w:color w:val="000000"/>
        </w:rPr>
        <w:t>merchantable portions up to ST-tops</w:t>
      </w:r>
      <w:r w:rsidR="009D24E5">
        <w:rPr>
          <w:rFonts w:eastAsia="Times New Roman" w:cs="Calibri"/>
          <w:color w:val="000000"/>
        </w:rPr>
        <w:t xml:space="preserve"> were lumped into the </w:t>
      </w:r>
      <w:r w:rsidR="00073E93">
        <w:rPr>
          <w:rFonts w:eastAsia="Times New Roman" w:cs="Calibri"/>
          <w:color w:val="000000"/>
        </w:rPr>
        <w:t>m</w:t>
      </w:r>
      <w:r w:rsidR="009D24E5">
        <w:rPr>
          <w:rFonts w:eastAsia="Times New Roman" w:cs="Calibri"/>
          <w:color w:val="000000"/>
        </w:rPr>
        <w:t xml:space="preserve">iscellaneous category.  Residual portions of harvested tree boles up to 5″DIBs were split evenly between the OSB and paper classes, and any residual portions over 8′ long were allocated to the paper class.  </w:t>
      </w:r>
      <w:r w:rsidR="00AE2027">
        <w:rPr>
          <w:rFonts w:eastAsia="Times New Roman" w:cs="Calibri"/>
          <w:color w:val="000000"/>
        </w:rPr>
        <w:t xml:space="preserve">As seen in Table 3, these classes’ shares of the HWP distribution were </w:t>
      </w:r>
      <w:r w:rsidR="0071022B">
        <w:rPr>
          <w:rFonts w:eastAsia="Times New Roman" w:cs="Calibri"/>
          <w:color w:val="000000"/>
        </w:rPr>
        <w:t>multiples of</w:t>
      </w:r>
      <w:r w:rsidR="00AE2027">
        <w:rPr>
          <w:rFonts w:eastAsia="Times New Roman" w:cs="Calibri"/>
          <w:color w:val="000000"/>
        </w:rPr>
        <w:t xml:space="preserve"> their default percentages. </w:t>
      </w:r>
      <w:r w:rsidR="00AE2027">
        <w:t xml:space="preserve"> </w:t>
      </w:r>
      <w:r w:rsidR="009D24E5">
        <w:t>Paper and OSB were accounted for</w:t>
      </w:r>
      <w:r w:rsidR="009D24E5" w:rsidRPr="00E84C15">
        <w:t xml:space="preserve"> under the project management regime because, unlike the BAU case, </w:t>
      </w:r>
      <w:r w:rsidR="009D24E5">
        <w:t>project management</w:t>
      </w:r>
      <w:r w:rsidR="009D24E5" w:rsidRPr="00E84C15">
        <w:t xml:space="preserve"> called for the </w:t>
      </w:r>
      <w:r w:rsidR="00C92A10">
        <w:t xml:space="preserve">occasional </w:t>
      </w:r>
      <w:r w:rsidR="009D24E5" w:rsidRPr="00E84C15">
        <w:t xml:space="preserve">removal of low value stems. </w:t>
      </w:r>
      <w:r w:rsidR="00C712F6">
        <w:t xml:space="preserve"> HWP carbon</w:t>
      </w:r>
      <w:r w:rsidR="009D24E5">
        <w:t xml:space="preserve"> </w:t>
      </w:r>
      <w:r w:rsidR="009D24E5" w:rsidRPr="004E6B21">
        <w:t xml:space="preserve">in-use was the only eligible source of </w:t>
      </w:r>
      <w:r w:rsidR="00C712F6">
        <w:t xml:space="preserve">HWP </w:t>
      </w:r>
      <w:r w:rsidR="009D24E5" w:rsidRPr="004E6B21">
        <w:t>carbon in the project scenario</w:t>
      </w:r>
      <w:r w:rsidR="00AA1B01">
        <w:t>, owing to CAR rules requiring the project’s harvest</w:t>
      </w:r>
      <w:r w:rsidR="00C712F6">
        <w:t>ed</w:t>
      </w:r>
      <w:r w:rsidR="00AA1B01">
        <w:t xml:space="preserve"> </w:t>
      </w:r>
      <w:r w:rsidR="00C712F6">
        <w:t>carbon</w:t>
      </w:r>
      <w:r w:rsidR="009D24E5" w:rsidRPr="004E6B21">
        <w:t xml:space="preserve"> </w:t>
      </w:r>
      <w:r w:rsidR="00C712F6">
        <w:t>in a given year to be lower than that in the baseline in order to qualify for the accounting of HWP carbon in-landfills</w:t>
      </w:r>
      <w:r w:rsidR="00F30DE4">
        <w:t xml:space="preserve"> (for both the project’s and baseline’s HWP stocks)</w:t>
      </w:r>
      <w:r w:rsidR="00C712F6">
        <w:t xml:space="preserve">.  </w:t>
      </w:r>
      <w:r w:rsidR="00F30DE4">
        <w:t xml:space="preserve">Conversely, </w:t>
      </w:r>
      <w:r w:rsidR="005F106D">
        <w:t>the</w:t>
      </w:r>
      <w:r w:rsidR="00F30DE4">
        <w:t xml:space="preserve"> HWP carbon stock of the baseline accounted for both HWP carbon sources in each non-harvest year </w:t>
      </w:r>
      <w:r w:rsidR="005F106D">
        <w:t xml:space="preserve">in </w:t>
      </w:r>
      <w:r w:rsidR="00FF062F">
        <w:t>adherence to</w:t>
      </w:r>
      <w:r w:rsidR="005F106D">
        <w:t xml:space="preserve"> CAR rules, which marginally reduced</w:t>
      </w:r>
      <w:r w:rsidR="009D24E5">
        <w:t xml:space="preserve"> the carbon r</w:t>
      </w:r>
      <w:r w:rsidR="005F106D">
        <w:t>emovals credited to the project.</w:t>
      </w:r>
    </w:p>
    <w:p w:rsidR="00D0607D" w:rsidRDefault="005F106D" w:rsidP="00761BBB">
      <w:pPr>
        <w:spacing w:line="480" w:lineRule="auto"/>
        <w:ind w:firstLine="720"/>
        <w:rPr>
          <w:rFonts w:asciiTheme="minorHAnsi" w:eastAsiaTheme="minorHAnsi" w:hAnsiTheme="minorHAnsi" w:cstheme="minorBidi"/>
        </w:rPr>
      </w:pPr>
      <w:r>
        <w:rPr>
          <w:rFonts w:asciiTheme="minorHAnsi" w:hAnsiTheme="minorHAnsi" w:cstheme="minorHAnsi"/>
        </w:rPr>
        <w:t xml:space="preserve">The </w:t>
      </w:r>
      <w:r w:rsidR="00573A55" w:rsidRPr="00761BBB">
        <w:rPr>
          <w:rFonts w:asciiTheme="minorHAnsi" w:hAnsiTheme="minorHAnsi" w:cstheme="minorHAnsi"/>
        </w:rPr>
        <w:t xml:space="preserve">HWP estimation procedure relied on National Volume Equation Library (NVEL) Microsoft-Excel functions </w:t>
      </w:r>
      <w:r w:rsidR="00573A55" w:rsidRPr="00761BBB">
        <w:rPr>
          <w:rFonts w:asciiTheme="minorHAnsi" w:hAnsiTheme="minorHAnsi" w:cstheme="minorHAnsi"/>
        </w:rPr>
        <w:fldChar w:fldCharType="begin"/>
      </w:r>
      <w:r w:rsidR="00E11FF6">
        <w:rPr>
          <w:rFonts w:asciiTheme="minorHAnsi" w:hAnsiTheme="minorHAnsi" w:cstheme="minorHAnsi"/>
        </w:rPr>
        <w:instrText xml:space="preserve"> ADDIN EN.CITE &lt;EndNote&gt;&lt;Cite&gt;&lt;Year&gt;USDA Forest Service 2010b&lt;/Year&gt;&lt;RecNum&gt;304&lt;/RecNum&gt;&lt;DisplayText&gt;(USDA Forest Service 2010b)&lt;/DisplayText&gt;&lt;record&gt;&lt;rec-number&gt;304&lt;/rec-number&gt;&lt;foreign-keys&gt;&lt;key app="EN" db-id="a90s5zadewrawxeer07v2f90xr5vxv022sat"&gt;304&lt;/key&gt;&lt;/foreign-keys&gt;&lt;ref-type name="Equation"&gt;39&lt;/ref-type&gt;&lt;contributors&gt;&lt;/contributors&gt;&lt;titles&gt;&lt;title&gt;National Volume Estimator Library.  In: Excel volume functions&lt;/title&gt;&lt;/titles&gt;&lt;edition&gt;11-30-2010&lt;/edition&gt;&lt;dates&gt;&lt;year&gt;USDA Forest Service 2010b&lt;/year&gt;&lt;/dates&gt;&lt;pub-location&gt;Fort Collins, CO&lt;/pub-location&gt;&lt;publisher&gt;Forest Management Service Center, USDA Forest Service&lt;/publisher&gt;&lt;urls&gt;&lt;/urls&gt;&lt;/record&gt;&lt;/Cite&gt;&lt;/EndNote&gt;</w:instrText>
      </w:r>
      <w:r w:rsidR="00573A55" w:rsidRPr="00761BBB">
        <w:rPr>
          <w:rFonts w:asciiTheme="minorHAnsi" w:hAnsiTheme="minorHAnsi" w:cstheme="minorHAnsi"/>
        </w:rPr>
        <w:fldChar w:fldCharType="separate"/>
      </w:r>
      <w:r w:rsidR="00E11FF6">
        <w:rPr>
          <w:rFonts w:asciiTheme="minorHAnsi" w:hAnsiTheme="minorHAnsi" w:cstheme="minorHAnsi"/>
          <w:noProof/>
        </w:rPr>
        <w:t>(</w:t>
      </w:r>
      <w:hyperlink w:anchor="_ENREF_16" w:tooltip=", USDA Forest Service 2010b #304" w:history="1">
        <w:r w:rsidR="001E4C88">
          <w:rPr>
            <w:rFonts w:asciiTheme="minorHAnsi" w:hAnsiTheme="minorHAnsi" w:cstheme="minorHAnsi"/>
            <w:noProof/>
          </w:rPr>
          <w:t>USDA Forest Service 2010b</w:t>
        </w:r>
      </w:hyperlink>
      <w:r w:rsidR="00E11FF6">
        <w:rPr>
          <w:rFonts w:asciiTheme="minorHAnsi" w:hAnsiTheme="minorHAnsi" w:cstheme="minorHAnsi"/>
          <w:noProof/>
        </w:rPr>
        <w:t>)</w:t>
      </w:r>
      <w:r w:rsidR="00573A55" w:rsidRPr="00761BBB">
        <w:rPr>
          <w:rFonts w:asciiTheme="minorHAnsi" w:hAnsiTheme="minorHAnsi" w:cstheme="minorHAnsi"/>
        </w:rPr>
        <w:fldChar w:fldCharType="end"/>
      </w:r>
      <w:r w:rsidR="00573A55" w:rsidRPr="00761BBB">
        <w:rPr>
          <w:rFonts w:asciiTheme="minorHAnsi" w:hAnsiTheme="minorHAnsi" w:cstheme="minorHAnsi"/>
        </w:rPr>
        <w:t xml:space="preserve">, merchantable </w:t>
      </w:r>
      <w:r w:rsidR="000C7A95" w:rsidRPr="00761BBB">
        <w:rPr>
          <w:rFonts w:asciiTheme="minorHAnsi" w:hAnsiTheme="minorHAnsi" w:cstheme="minorHAnsi"/>
        </w:rPr>
        <w:t xml:space="preserve">stem </w:t>
      </w:r>
      <w:r w:rsidR="00573A55" w:rsidRPr="00761BBB">
        <w:rPr>
          <w:rFonts w:asciiTheme="minorHAnsi" w:hAnsiTheme="minorHAnsi" w:cstheme="minorHAnsi"/>
        </w:rPr>
        <w:t xml:space="preserve">heights (including a 1′ stump), predicted inside </w:t>
      </w:r>
      <w:r w:rsidR="00573A55" w:rsidRPr="00761BBB">
        <w:rPr>
          <w:rFonts w:asciiTheme="minorHAnsi" w:hAnsiTheme="minorHAnsi" w:cstheme="minorHAnsi"/>
        </w:rPr>
        <w:lastRenderedPageBreak/>
        <w:t>diameter at breast height (</w:t>
      </w:r>
      <w:proofErr w:type="spellStart"/>
      <w:r w:rsidR="00573A55" w:rsidRPr="00761BBB">
        <w:rPr>
          <w:rFonts w:asciiTheme="minorHAnsi" w:hAnsiTheme="minorHAnsi" w:cstheme="minorHAnsi"/>
        </w:rPr>
        <w:t>DiBH</w:t>
      </w:r>
      <w:proofErr w:type="spellEnd"/>
      <w:r w:rsidR="00573A55" w:rsidRPr="00761BBB">
        <w:rPr>
          <w:rFonts w:asciiTheme="minorHAnsi" w:hAnsiTheme="minorHAnsi" w:cstheme="minorHAnsi"/>
        </w:rPr>
        <w:t xml:space="preserve">) </w:t>
      </w:r>
      <w:r w:rsidR="004A2DC4">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&lt;EndNote&gt;&lt;Cite&gt;&lt;Author&gt;Clark III&lt;/Author&gt;&lt;Year&gt;1991 &lt;/Year&gt;&lt;RecNum&gt;246&lt;/RecNum&gt;&lt;DisplayText&gt;(Clark Iii et al. 1991 )&lt;/DisplayText&gt;&lt;record&gt;&lt;rec-number&gt;246&lt;/rec-number&gt;&lt;foreign-keys&gt;&lt;key app="EN" db-id="a90s5zadewrawxeer07v2f90xr5vxv022sat"&gt;246&lt;/key&gt;&lt;/foreign-keys&gt;&lt;ref-type name="Report"&gt;27&lt;/ref-type&gt;&lt;contributors&gt;&lt;authors&gt;&lt;author&gt;Clark III, A.&lt;/author&gt;&lt;author&gt;R. A. Souter &lt;/author&gt;&lt;author&gt;B. E. Schlaegel &lt;/author&gt;&lt;/authors&gt;&lt;/contributors&gt;&lt;titles&gt;&lt;title&gt;Stem profile equations for southern tree species. Res. Pap. SE-282. Asheville, NC: U.S. Department of Agriculture, Forest Service, Southeastern Forest Experiment Station. 113p&lt;/title&gt;&lt;/titles&gt;&lt;dates&gt;&lt;year&gt;1991 &lt;/year&gt;&lt;/dates&gt;&lt;urls&gt;&lt;/urls&gt;&lt;/record&gt;&lt;/Cite&gt;&lt;/EndNote&gt;</w:instrText>
      </w:r>
      <w:r w:rsidR="004A2DC4">
        <w:rPr>
          <w:rFonts w:asciiTheme="minorHAnsi" w:hAnsiTheme="minorHAnsi" w:cstheme="minorHAnsi"/>
        </w:rPr>
        <w:fldChar w:fldCharType="separate"/>
      </w:r>
      <w:r w:rsidR="00CE2DF2">
        <w:rPr>
          <w:rFonts w:asciiTheme="minorHAnsi" w:hAnsiTheme="minorHAnsi" w:cstheme="minorHAnsi"/>
          <w:noProof/>
        </w:rPr>
        <w:t>(</w:t>
      </w:r>
      <w:hyperlink w:anchor="_ENREF_38" w:tooltip="Clark III, 1991  #246" w:history="1">
        <w:r w:rsidR="00E9664B">
          <w:rPr>
            <w:rFonts w:asciiTheme="minorHAnsi" w:hAnsiTheme="minorHAnsi" w:cstheme="minorHAnsi"/>
            <w:noProof/>
          </w:rPr>
          <w:t>Clark III</w:t>
        </w:r>
        <w:r w:rsidR="001E4C88">
          <w:rPr>
            <w:rFonts w:asciiTheme="minorHAnsi" w:hAnsiTheme="minorHAnsi" w:cstheme="minorHAnsi"/>
            <w:noProof/>
          </w:rPr>
          <w:t xml:space="preserve"> et al. 1991 </w:t>
        </w:r>
      </w:hyperlink>
      <w:r w:rsidR="00CE2DF2">
        <w:rPr>
          <w:rFonts w:asciiTheme="minorHAnsi" w:hAnsiTheme="minorHAnsi" w:cstheme="minorHAnsi"/>
          <w:noProof/>
        </w:rPr>
        <w:t>)</w:t>
      </w:r>
      <w:r w:rsidR="004A2DC4">
        <w:rPr>
          <w:rFonts w:asciiTheme="minorHAnsi" w:hAnsiTheme="minorHAnsi" w:cstheme="minorHAnsi"/>
        </w:rPr>
        <w:fldChar w:fldCharType="end"/>
      </w:r>
      <w:r w:rsidR="00573A55" w:rsidRPr="00761BBB">
        <w:rPr>
          <w:rFonts w:asciiTheme="minorHAnsi" w:hAnsiTheme="minorHAnsi" w:cstheme="minorHAnsi"/>
        </w:rPr>
        <w:t xml:space="preserve">, average DIB top diameters for standard </w:t>
      </w:r>
      <w:r w:rsidR="00D57196">
        <w:rPr>
          <w:rFonts w:asciiTheme="minorHAnsi" w:hAnsiTheme="minorHAnsi" w:cstheme="minorHAnsi"/>
        </w:rPr>
        <w:t>ST</w:t>
      </w:r>
      <w:r w:rsidR="00573A55" w:rsidRPr="00761BBB">
        <w:rPr>
          <w:rFonts w:asciiTheme="minorHAnsi" w:hAnsiTheme="minorHAnsi" w:cstheme="minorHAnsi"/>
        </w:rPr>
        <w:t xml:space="preserve"> and </w:t>
      </w:r>
      <w:r w:rsidR="00D57196">
        <w:rPr>
          <w:rFonts w:asciiTheme="minorHAnsi" w:hAnsiTheme="minorHAnsi" w:cstheme="minorHAnsi"/>
        </w:rPr>
        <w:t>PT</w:t>
      </w:r>
      <w:r w:rsidR="00573A55" w:rsidRPr="00761BBB">
        <w:rPr>
          <w:rFonts w:asciiTheme="minorHAnsi" w:hAnsiTheme="minorHAnsi" w:cstheme="minorHAnsi"/>
        </w:rPr>
        <w:t xml:space="preserve"> top</w:t>
      </w:r>
      <w:r w:rsidR="00D57196">
        <w:rPr>
          <w:rFonts w:asciiTheme="minorHAnsi" w:hAnsiTheme="minorHAnsi" w:cstheme="minorHAnsi"/>
        </w:rPr>
        <w:t xml:space="preserve"> diameters</w:t>
      </w:r>
      <w:r w:rsidR="00573A55" w:rsidRPr="00761BBB">
        <w:rPr>
          <w:rFonts w:asciiTheme="minorHAnsi" w:hAnsiTheme="minorHAnsi" w:cstheme="minorHAnsi"/>
        </w:rPr>
        <w:t xml:space="preserve"> (by species) </w:t>
      </w:r>
      <w:r w:rsidR="00573A55" w:rsidRPr="00761BBB">
        <w:rPr>
          <w:rFonts w:asciiTheme="minorHAnsi" w:hAnsiTheme="minorHAnsi" w:cstheme="minorHAnsi"/>
        </w:rPr>
        <w:fldChar w:fldCharType="begin"/>
      </w:r>
      <w:r w:rsidR="00CE2DF2">
        <w:rPr>
          <w:rFonts w:asciiTheme="minorHAnsi" w:hAnsiTheme="minorHAnsi" w:cstheme="minorHAnsi"/>
        </w:rPr>
        <w:instrText xml:space="preserve"> ADDIN EN.CITE &lt;EndNote&gt;&lt;Cite&gt;&lt;Author&gt;Clark&lt;/Author&gt;&lt;Year&gt;1991&lt;/Year&gt;&lt;RecNum&gt;303&lt;/RecNum&gt;&lt;DisplayText&gt;(Clark Iii et al. 1991)&lt;/DisplayText&gt;&lt;record&gt;&lt;rec-number&gt;303&lt;/rec-number&gt;&lt;foreign-keys&gt;&lt;key app="EN" db-id="a90s5zadewrawxeer07v2f90xr5vxv022sat"&gt;303&lt;/key&gt;&lt;/foreign-keys&gt;&lt;ref-type name="Report"&gt;27&lt;/ref-type&gt;&lt;contributors&gt;&lt;authors&gt;&lt;author&gt;Clark III, A. &lt;/author&gt;&lt;author&gt;Souter, Ray A.&lt;/author&gt;&lt;author&gt;Schlaegel, Bryce E.&lt;/author&gt;&lt;/authors&gt;&lt;/contributors&gt;&lt;titles&gt;&lt;title&gt;Stem profile equations for southern tree species. Res. Pap. SE-282. Asheville, NC: U.S. Department of Agriculture, Forest Service, Southeastern Forest Experiment Station. 113p&lt;/title&gt;&lt;/titles&gt;&lt;dates&gt;&lt;year&gt;1991&lt;/year&gt;&lt;/dates&gt;&lt;urls&gt;&lt;/urls&gt;&lt;/record&gt;&lt;/Cite&gt;&lt;/EndNote&gt;</w:instrText>
      </w:r>
      <w:r w:rsidR="00573A55" w:rsidRPr="00761BBB">
        <w:rPr>
          <w:rFonts w:asciiTheme="minorHAnsi" w:hAnsiTheme="minorHAnsi" w:cstheme="minorHAnsi"/>
        </w:rPr>
        <w:fldChar w:fldCharType="separate"/>
      </w:r>
      <w:r w:rsidR="00CE2DF2">
        <w:rPr>
          <w:rFonts w:asciiTheme="minorHAnsi" w:hAnsiTheme="minorHAnsi" w:cstheme="minorHAnsi"/>
          <w:noProof/>
        </w:rPr>
        <w:t>(</w:t>
      </w:r>
      <w:hyperlink w:anchor="_ENREF_37" w:tooltip="Clark III, 1991 #303" w:history="1">
        <w:r w:rsidR="001E4C88">
          <w:rPr>
            <w:rFonts w:asciiTheme="minorHAnsi" w:hAnsiTheme="minorHAnsi" w:cstheme="minorHAnsi"/>
            <w:noProof/>
          </w:rPr>
          <w:t>Clark I</w:t>
        </w:r>
        <w:r w:rsidR="00E9664B">
          <w:rPr>
            <w:rFonts w:asciiTheme="minorHAnsi" w:hAnsiTheme="minorHAnsi" w:cstheme="minorHAnsi"/>
            <w:noProof/>
          </w:rPr>
          <w:t>II</w:t>
        </w:r>
        <w:r w:rsidR="001E4C88">
          <w:rPr>
            <w:rFonts w:asciiTheme="minorHAnsi" w:hAnsiTheme="minorHAnsi" w:cstheme="minorHAnsi"/>
            <w:noProof/>
          </w:rPr>
          <w:t xml:space="preserve"> et al. 1991</w:t>
        </w:r>
      </w:hyperlink>
      <w:r w:rsidR="00CE2DF2">
        <w:rPr>
          <w:rFonts w:asciiTheme="minorHAnsi" w:hAnsiTheme="minorHAnsi" w:cstheme="minorHAnsi"/>
          <w:noProof/>
        </w:rPr>
        <w:t>)</w:t>
      </w:r>
      <w:r w:rsidR="00573A55" w:rsidRPr="00761BBB">
        <w:rPr>
          <w:rFonts w:asciiTheme="minorHAnsi" w:hAnsiTheme="minorHAnsi" w:cstheme="minorHAnsi"/>
        </w:rPr>
        <w:fldChar w:fldCharType="end"/>
      </w:r>
      <w:r w:rsidR="00573A55" w:rsidRPr="00761BBB">
        <w:t xml:space="preserve">, and wood density parameters in Miles and Smith </w:t>
      </w:r>
      <w:r w:rsidR="00573A55" w:rsidRPr="00761BBB">
        <w:fldChar w:fldCharType="begin"/>
      </w:r>
      <w:r w:rsidR="00A87D07">
        <w:instrText xml:space="preserve"> ADDIN EN.CITE &lt;EndNote&gt;&lt;Cite ExcludeAuth="1"&gt;&lt;Author&gt;Miles&lt;/Author&gt;&lt;Year&gt;2009&lt;/Year&gt;&lt;RecNum&gt;302&lt;/RecNum&gt;&lt;DisplayText&gt;(2009)&lt;/DisplayText&gt;&lt;record&gt;&lt;rec-number&gt;302&lt;/rec-number&gt;&lt;foreign-keys&gt;&lt;key app="EN" db-id="a90s5zadewrawxeer07v2f90xr5vxv022sat"&gt;302&lt;/key&gt;&lt;/foreign-keys&gt;&lt;ref-type name="Journal Article"&gt;17&lt;/ref-type&gt;&lt;contributors&gt;&lt;authors&gt;&lt;author&gt;Patrick W. Miles&lt;/author&gt;&lt;author&gt;W. Brad Smith&lt;/author&gt;&lt;/authors&gt;&lt;/contributors&gt;&lt;titles&gt;&lt;title&gt;Specific gravity and other properties of wood and bark for 156 tree species found in North America. Res. Note NRS-38. Newtown Square, PA: U.S. Department of Agriculture, Forest Service, Northern Research Station. 35 p&lt;/title&gt;&lt;/titles&gt;&lt;dates&gt;&lt;year&gt;2009&lt;/year&gt;&lt;/dates&gt;&lt;urls&gt;&lt;related-urls&gt;&lt;url&gt;http://nrs.fs.fed.us/pubs/34185&lt;/url&gt;&lt;/related-urls&gt;&lt;/urls&gt;&lt;/record&gt;&lt;/Cite&gt;&lt;/EndNote&gt;</w:instrText>
      </w:r>
      <w:r w:rsidR="00573A55" w:rsidRPr="00761BBB">
        <w:fldChar w:fldCharType="separate"/>
      </w:r>
      <w:r w:rsidR="00A87D07">
        <w:rPr>
          <w:noProof/>
        </w:rPr>
        <w:t>(</w:t>
      </w:r>
      <w:hyperlink w:anchor="_ENREF_93" w:tooltip="Miles, 2009 #302" w:history="1">
        <w:r w:rsidR="001E4C88">
          <w:rPr>
            <w:noProof/>
          </w:rPr>
          <w:t>2009</w:t>
        </w:r>
      </w:hyperlink>
      <w:r w:rsidR="00A87D07">
        <w:rPr>
          <w:noProof/>
        </w:rPr>
        <w:t>)</w:t>
      </w:r>
      <w:r w:rsidR="00573A55" w:rsidRPr="00761BBB">
        <w:fldChar w:fldCharType="end"/>
      </w:r>
      <w:r w:rsidR="00573A55" w:rsidRPr="00761BBB">
        <w:t xml:space="preserve"> as follows</w:t>
      </w:r>
      <w:r w:rsidR="00573A55" w:rsidRPr="00761BBB">
        <w:rPr>
          <w:rFonts w:asciiTheme="minorHAnsi" w:hAnsiTheme="minorHAnsi" w:cstheme="minorHAnsi"/>
        </w:rPr>
        <w:t xml:space="preserve">.  </w:t>
      </w:r>
      <w:r w:rsidR="00573A55" w:rsidRPr="00761BBB">
        <w:rPr>
          <w:rFonts w:asciiTheme="minorHAnsi" w:eastAsiaTheme="minorHAnsi" w:hAnsiTheme="minorHAnsi" w:cstheme="minorBidi"/>
        </w:rPr>
        <w:t>While the NVEL functions allow for the use of ST heights to compute ST volume</w:t>
      </w:r>
      <w:r w:rsidR="00F33292" w:rsidRPr="00F33292">
        <w:rPr>
          <w:rFonts w:asciiTheme="minorHAnsi" w:eastAsiaTheme="minorHAnsi" w:hAnsiTheme="minorHAnsi" w:cstheme="minorBidi"/>
        </w:rPr>
        <w:t xml:space="preserve"> </w:t>
      </w:r>
      <w:r w:rsidR="00F33292">
        <w:rPr>
          <w:rFonts w:asciiTheme="minorHAnsi" w:eastAsiaTheme="minorHAnsi" w:hAnsiTheme="minorHAnsi" w:cstheme="minorBidi"/>
        </w:rPr>
        <w:t>inside bark</w:t>
      </w:r>
      <w:r w:rsidR="00573A55" w:rsidRPr="00761BBB">
        <w:rPr>
          <w:rFonts w:asciiTheme="minorHAnsi" w:eastAsiaTheme="minorHAnsi" w:hAnsiTheme="minorHAnsi" w:cstheme="minorBidi"/>
        </w:rPr>
        <w:t xml:space="preserve">, they require </w:t>
      </w:r>
      <w:r w:rsidR="00F33292">
        <w:rPr>
          <w:rFonts w:asciiTheme="minorHAnsi" w:eastAsiaTheme="minorHAnsi" w:hAnsiTheme="minorHAnsi" w:cstheme="minorBidi"/>
        </w:rPr>
        <w:t xml:space="preserve">standard </w:t>
      </w:r>
      <w:proofErr w:type="spellStart"/>
      <w:r w:rsidR="00573A55" w:rsidRPr="00761BBB">
        <w:rPr>
          <w:rFonts w:asciiTheme="minorHAnsi" w:eastAsiaTheme="minorHAnsi" w:hAnsiTheme="minorHAnsi" w:cstheme="minorBidi"/>
        </w:rPr>
        <w:t>hwd</w:t>
      </w:r>
      <w:proofErr w:type="spellEnd"/>
      <w:r w:rsidR="00573A55" w:rsidRPr="00761BBB">
        <w:rPr>
          <w:rFonts w:asciiTheme="minorHAnsi" w:eastAsiaTheme="minorHAnsi" w:hAnsiTheme="minorHAnsi" w:cstheme="minorBidi"/>
        </w:rPr>
        <w:t xml:space="preserve"> and </w:t>
      </w:r>
      <w:proofErr w:type="spellStart"/>
      <w:r w:rsidR="00573A55" w:rsidRPr="00761BBB">
        <w:rPr>
          <w:rFonts w:asciiTheme="minorHAnsi" w:eastAsiaTheme="minorHAnsi" w:hAnsiTheme="minorHAnsi" w:cstheme="minorBidi"/>
        </w:rPr>
        <w:t>swd</w:t>
      </w:r>
      <w:proofErr w:type="spellEnd"/>
      <w:r w:rsidR="00D57196">
        <w:rPr>
          <w:rFonts w:asciiTheme="minorHAnsi" w:eastAsiaTheme="minorHAnsi" w:hAnsiTheme="minorHAnsi" w:cstheme="minorBidi"/>
        </w:rPr>
        <w:t xml:space="preserve"> </w:t>
      </w:r>
      <w:r w:rsidR="00D57196" w:rsidRPr="00D57196">
        <w:rPr>
          <w:rFonts w:asciiTheme="minorHAnsi" w:eastAsiaTheme="minorHAnsi" w:hAnsiTheme="minorHAnsi" w:cstheme="minorBidi"/>
        </w:rPr>
        <w:t>ST</w:t>
      </w:r>
      <w:r w:rsidR="00573A55" w:rsidRPr="00761BBB">
        <w:rPr>
          <w:rFonts w:asciiTheme="minorHAnsi" w:eastAsiaTheme="minorHAnsi" w:hAnsiTheme="minorHAnsi" w:cstheme="minorBidi"/>
        </w:rPr>
        <w:t xml:space="preserve"> heights measured at 9</w:t>
      </w:r>
      <w:r w:rsidR="00573A55" w:rsidRPr="00761BBB">
        <w:rPr>
          <w:rFonts w:asciiTheme="minorHAnsi" w:eastAsiaTheme="minorHAnsi" w:hAnsiTheme="minorHAnsi" w:cstheme="minorHAnsi"/>
        </w:rPr>
        <w:t>″</w:t>
      </w:r>
      <w:r w:rsidR="00573A55" w:rsidRPr="00761BBB">
        <w:rPr>
          <w:rFonts w:asciiTheme="minorHAnsi" w:eastAsiaTheme="minorHAnsi" w:hAnsiTheme="minorHAnsi" w:cstheme="minorBidi"/>
        </w:rPr>
        <w:t xml:space="preserve"> and 7</w:t>
      </w:r>
      <w:r w:rsidR="00573A55" w:rsidRPr="00761BBB">
        <w:rPr>
          <w:rFonts w:asciiTheme="minorHAnsi" w:eastAsiaTheme="minorHAnsi" w:hAnsiTheme="minorHAnsi" w:cstheme="minorHAnsi"/>
        </w:rPr>
        <w:t xml:space="preserve">″ </w:t>
      </w:r>
      <w:r w:rsidR="00573A55" w:rsidRPr="00761BBB">
        <w:rPr>
          <w:rFonts w:asciiTheme="minorHAnsi" w:eastAsiaTheme="minorHAnsi" w:hAnsiTheme="minorHAnsi" w:cstheme="minorBidi"/>
        </w:rPr>
        <w:t>DIBs respectively</w:t>
      </w:r>
      <w:r w:rsidR="00F33292">
        <w:rPr>
          <w:rFonts w:asciiTheme="minorHAnsi" w:eastAsiaTheme="minorHAnsi" w:hAnsiTheme="minorHAnsi" w:cstheme="minorBidi"/>
        </w:rPr>
        <w:t xml:space="preserve"> in addition to the ST height of interest</w:t>
      </w:r>
      <w:r w:rsidR="00573A55" w:rsidRPr="00761BBB">
        <w:rPr>
          <w:rFonts w:asciiTheme="minorHAnsi" w:eastAsiaTheme="minorHAnsi" w:hAnsiTheme="minorHAnsi" w:cstheme="minorBidi"/>
        </w:rPr>
        <w:t>.</w:t>
      </w:r>
      <w:r w:rsidR="00761BBB" w:rsidRPr="00761BBB">
        <w:rPr>
          <w:rFonts w:asciiTheme="minorHAnsi" w:eastAsiaTheme="minorHAnsi" w:hAnsiTheme="minorHAnsi" w:cstheme="minorBidi"/>
        </w:rPr>
        <w:t xml:space="preserve"> </w:t>
      </w:r>
      <w:r w:rsidR="00573A55" w:rsidRPr="00761BBB">
        <w:rPr>
          <w:rFonts w:asciiTheme="minorHAnsi" w:eastAsiaTheme="minorHAnsi" w:hAnsiTheme="minorHAnsi" w:cstheme="minorBidi"/>
        </w:rPr>
        <w:t xml:space="preserve"> </w:t>
      </w:r>
      <w:r w:rsidR="00F33292">
        <w:rPr>
          <w:rFonts w:asciiTheme="minorHAnsi" w:eastAsiaTheme="minorHAnsi" w:hAnsiTheme="minorHAnsi" w:cstheme="minorBidi"/>
        </w:rPr>
        <w:t>Because t</w:t>
      </w:r>
      <w:r w:rsidR="00573A55" w:rsidRPr="00761BBB">
        <w:rPr>
          <w:rFonts w:asciiTheme="minorHAnsi" w:eastAsiaTheme="minorHAnsi" w:hAnsiTheme="minorHAnsi" w:cstheme="minorBidi"/>
        </w:rPr>
        <w:t xml:space="preserve">he </w:t>
      </w:r>
      <w:proofErr w:type="spellStart"/>
      <w:r w:rsidR="00573A55" w:rsidRPr="00761BBB">
        <w:rPr>
          <w:rFonts w:asciiTheme="minorHAnsi" w:eastAsiaTheme="minorHAnsi" w:hAnsiTheme="minorHAnsi" w:cstheme="minorBidi"/>
        </w:rPr>
        <w:t>Sn</w:t>
      </w:r>
      <w:proofErr w:type="spellEnd"/>
      <w:r w:rsidR="00573A55" w:rsidRPr="00761BBB">
        <w:rPr>
          <w:rFonts w:asciiTheme="minorHAnsi" w:eastAsiaTheme="minorHAnsi" w:hAnsiTheme="minorHAnsi" w:cstheme="minorBidi"/>
        </w:rPr>
        <w:t xml:space="preserve">-variant </w:t>
      </w:r>
      <w:r w:rsidR="00B870C3" w:rsidRPr="00761BBB">
        <w:rPr>
          <w:rFonts w:asciiTheme="minorHAnsi" w:eastAsiaTheme="minorHAnsi" w:hAnsiTheme="minorHAnsi" w:cstheme="minorBidi"/>
        </w:rPr>
        <w:t xml:space="preserve">instead </w:t>
      </w:r>
      <w:r w:rsidR="00573A55" w:rsidRPr="00761BBB">
        <w:rPr>
          <w:rFonts w:asciiTheme="minorHAnsi" w:eastAsiaTheme="minorHAnsi" w:hAnsiTheme="minorHAnsi" w:cstheme="minorBidi"/>
        </w:rPr>
        <w:t xml:space="preserve">computes merchantable heights to </w:t>
      </w:r>
      <w:r w:rsidR="00F33292">
        <w:rPr>
          <w:rFonts w:asciiTheme="minorHAnsi" w:eastAsiaTheme="minorHAnsi" w:hAnsiTheme="minorHAnsi" w:cstheme="minorBidi"/>
        </w:rPr>
        <w:t xml:space="preserve">standard </w:t>
      </w:r>
      <w:r w:rsidR="00573A55" w:rsidRPr="00761BBB">
        <w:rPr>
          <w:rFonts w:asciiTheme="minorHAnsi" w:eastAsiaTheme="minorHAnsi" w:hAnsiTheme="minorHAnsi" w:cstheme="minorBidi"/>
        </w:rPr>
        <w:t>DOB tops</w:t>
      </w:r>
      <w:r w:rsidR="00F33292">
        <w:rPr>
          <w:rFonts w:asciiTheme="minorHAnsi" w:eastAsiaTheme="minorHAnsi" w:hAnsiTheme="minorHAnsi" w:cstheme="minorBidi"/>
        </w:rPr>
        <w:t xml:space="preserve"> and since </w:t>
      </w:r>
      <w:r w:rsidR="00F33292">
        <w:rPr>
          <w:rFonts w:asciiTheme="minorHAnsi" w:hAnsiTheme="minorHAnsi" w:cstheme="minorHAnsi"/>
        </w:rPr>
        <w:t>t</w:t>
      </w:r>
      <w:r w:rsidR="00F33292" w:rsidRPr="00761BBB">
        <w:rPr>
          <w:rFonts w:asciiTheme="minorHAnsi" w:hAnsiTheme="minorHAnsi" w:cstheme="minorHAnsi"/>
        </w:rPr>
        <w:t xml:space="preserve">he </w:t>
      </w:r>
      <w:r w:rsidR="00F33292">
        <w:rPr>
          <w:rFonts w:asciiTheme="minorHAnsi" w:hAnsiTheme="minorHAnsi" w:cstheme="minorHAnsi"/>
        </w:rPr>
        <w:t>ST</w:t>
      </w:r>
      <w:r w:rsidR="00F33292" w:rsidRPr="00761BBB">
        <w:rPr>
          <w:rFonts w:asciiTheme="minorHAnsi" w:hAnsiTheme="minorHAnsi" w:cstheme="minorHAnsi"/>
        </w:rPr>
        <w:t xml:space="preserve"> heights </w:t>
      </w:r>
      <w:r w:rsidR="00F33292">
        <w:rPr>
          <w:rFonts w:asciiTheme="minorHAnsi" w:hAnsiTheme="minorHAnsi" w:cstheme="minorHAnsi"/>
        </w:rPr>
        <w:t xml:space="preserve">used to estimate harvested BF volume </w:t>
      </w:r>
      <w:r w:rsidR="00F33292" w:rsidRPr="00761BBB">
        <w:rPr>
          <w:rFonts w:asciiTheme="minorHAnsi" w:hAnsiTheme="minorHAnsi" w:cstheme="minorHAnsi"/>
        </w:rPr>
        <w:t>had unknown diameters</w:t>
      </w:r>
      <w:r w:rsidR="00F33292">
        <w:rPr>
          <w:rFonts w:asciiTheme="minorHAnsi" w:eastAsiaTheme="minorHAnsi" w:hAnsiTheme="minorHAnsi" w:cstheme="minorBidi"/>
        </w:rPr>
        <w:t xml:space="preserve">, there was no easy way to estimate biomass volume in </w:t>
      </w:r>
      <w:r w:rsidR="007651BB">
        <w:rPr>
          <w:rFonts w:asciiTheme="minorHAnsi" w:eastAsiaTheme="minorHAnsi" w:hAnsiTheme="minorHAnsi" w:cstheme="minorBidi"/>
        </w:rPr>
        <w:t xml:space="preserve">different portions of a </w:t>
      </w:r>
      <w:proofErr w:type="spellStart"/>
      <w:r w:rsidR="007651BB">
        <w:rPr>
          <w:rFonts w:asciiTheme="minorHAnsi" w:eastAsiaTheme="minorHAnsi" w:hAnsiTheme="minorHAnsi" w:cstheme="minorBidi"/>
        </w:rPr>
        <w:t>bole</w:t>
      </w:r>
      <w:proofErr w:type="spellEnd"/>
      <w:r w:rsidR="00573A55" w:rsidRPr="00761BBB">
        <w:rPr>
          <w:rFonts w:asciiTheme="minorHAnsi" w:eastAsiaTheme="minorHAnsi" w:hAnsiTheme="minorHAnsi" w:cstheme="minorBidi"/>
        </w:rPr>
        <w:t>.  A solution to this dilemma was found</w:t>
      </w:r>
      <w:r w:rsidR="00573A55" w:rsidRPr="00761BBB">
        <w:rPr>
          <w:rStyle w:val="FootnoteReference"/>
          <w:rFonts w:asciiTheme="minorHAnsi" w:eastAsiaTheme="minorHAnsi" w:hAnsiTheme="minorHAnsi"/>
        </w:rPr>
        <w:footnoteReference w:id="27"/>
      </w:r>
      <w:r w:rsidR="00573A55" w:rsidRPr="00761BBB">
        <w:rPr>
          <w:rFonts w:asciiTheme="minorHAnsi" w:eastAsiaTheme="minorHAnsi" w:hAnsiTheme="minorHAnsi" w:cstheme="minorBidi"/>
        </w:rPr>
        <w:t xml:space="preserve"> in exploiting </w:t>
      </w:r>
      <w:proofErr w:type="spellStart"/>
      <w:r w:rsidR="00573A55" w:rsidRPr="00761BBB">
        <w:rPr>
          <w:rFonts w:asciiTheme="minorHAnsi" w:eastAsiaTheme="minorHAnsi" w:hAnsiTheme="minorHAnsi" w:cstheme="minorBidi"/>
        </w:rPr>
        <w:t>Smailian’s</w:t>
      </w:r>
      <w:proofErr w:type="spellEnd"/>
      <w:r w:rsidR="00573A55" w:rsidRPr="00761BBB">
        <w:rPr>
          <w:rFonts w:asciiTheme="minorHAnsi" w:eastAsiaTheme="minorHAnsi" w:hAnsiTheme="minorHAnsi" w:cstheme="minorBidi"/>
        </w:rPr>
        <w:t xml:space="preserve"> log volume formula to interpolate between stem heights in order to find the stem height at a given mid-section diameter as shown in equation 3 and figure </w:t>
      </w:r>
      <w:r w:rsidR="00BA1712">
        <w:rPr>
          <w:rFonts w:asciiTheme="minorHAnsi" w:eastAsiaTheme="minorHAnsi" w:hAnsiTheme="minorHAnsi" w:cstheme="minorBidi"/>
        </w:rPr>
        <w:t>4</w:t>
      </w:r>
      <w:r w:rsidR="00573A55" w:rsidRPr="00327C95">
        <w:rPr>
          <w:rFonts w:asciiTheme="minorHAnsi" w:eastAsiaTheme="minorHAnsi" w:hAnsiTheme="minorHAnsi" w:cstheme="minorBidi"/>
        </w:rPr>
        <w:t>.</w:t>
      </w:r>
      <w:r w:rsidR="00573A55">
        <w:rPr>
          <w:rFonts w:asciiTheme="minorHAnsi" w:eastAsiaTheme="minorHAnsi" w:hAnsiTheme="minorHAnsi" w:cstheme="minorBidi"/>
        </w:rPr>
        <w:t xml:space="preserve">  </w:t>
      </w:r>
    </w:p>
    <w:p w:rsidR="00DB2278" w:rsidRPr="00EA32B8" w:rsidRDefault="00EA32B8" w:rsidP="00EA32B8">
      <w:pPr>
        <w:spacing w:line="480" w:lineRule="auto"/>
        <w:rPr>
          <w:rFonts w:asciiTheme="minorHAnsi" w:eastAsiaTheme="minorHAnsi" w:hAnsiTheme="minorHAnsi" w:cstheme="minorBidi"/>
        </w:rPr>
      </w:pPr>
      <w:r>
        <w:rPr>
          <w:noProof/>
        </w:rPr>
        <w:drawing>
          <wp:anchor distT="0" distB="0" distL="114300" distR="114300" simplePos="0" relativeHeight="251660288" behindDoc="1" locked="0" layoutInCell="1" allowOverlap="1" wp14:anchorId="1F63618C" wp14:editId="42A1F587">
            <wp:simplePos x="0" y="0"/>
            <wp:positionH relativeFrom="column">
              <wp:posOffset>5092065</wp:posOffset>
            </wp:positionH>
            <wp:positionV relativeFrom="paragraph">
              <wp:posOffset>556895</wp:posOffset>
            </wp:positionV>
            <wp:extent cx="1337310" cy="1337310"/>
            <wp:effectExtent l="0" t="0" r="0" b="0"/>
            <wp:wrapTight wrapText="bothSides">
              <wp:wrapPolygon edited="0">
                <wp:start x="0" y="0"/>
                <wp:lineTo x="0" y="21231"/>
                <wp:lineTo x="21231" y="21231"/>
                <wp:lineTo x="212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9884" t="52621" r="17587" b="9874"/>
                    <a:stretch/>
                  </pic:blipFill>
                  <pic:spPr bwMode="auto">
                    <a:xfrm>
                      <a:off x="0" y="0"/>
                      <a:ext cx="1337310" cy="133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eastAsiaTheme="minorHAnsi" w:hAnsi="Cambria Math" w:cstheme="minorBidi"/>
            <w:sz w:val="24"/>
            <w:szCs w:val="24"/>
          </w:rPr>
          <m:t>Equation 3:        D1=</m:t>
        </m:r>
        <m:rad>
          <m:radPr>
            <m:degHide m:val="1"/>
            <m:ctrlPr>
              <w:rPr>
                <w:rFonts w:ascii="Cambria Math" w:eastAsiaTheme="minorHAnsi" w:hAnsi="Cambria Math" w:cstheme="minorBidi"/>
                <w:i/>
                <w:sz w:val="24"/>
                <w:szCs w:val="24"/>
              </w:rPr>
            </m:ctrlPr>
          </m:radPr>
          <m:deg/>
          <m:e>
            <m:sSup>
              <m:sSupPr>
                <m:ctrlPr>
                  <w:rPr>
                    <w:rFonts w:ascii="Cambria Math" w:eastAsiaTheme="minorHAnsi" w:hAnsi="Cambria Math" w:cstheme="minorBidi"/>
                    <w:i/>
                    <w:sz w:val="24"/>
                    <w:szCs w:val="24"/>
                  </w:rPr>
                </m:ctrlPr>
              </m:sSupPr>
              <m:e>
                <m:r>
                  <w:rPr>
                    <w:rFonts w:ascii="Cambria Math" w:eastAsiaTheme="minorHAnsi" w:hAnsi="Cambria Math" w:cstheme="minorBidi"/>
                    <w:sz w:val="24"/>
                    <w:szCs w:val="24"/>
                  </w:rPr>
                  <m:t>D</m:t>
                </m:r>
              </m:e>
              <m:sup>
                <m:r>
                  <w:rPr>
                    <w:rFonts w:ascii="Cambria Math" w:eastAsiaTheme="minorHAnsi" w:hAnsi="Cambria Math" w:cstheme="minorBidi"/>
                    <w:sz w:val="24"/>
                    <w:szCs w:val="24"/>
                  </w:rPr>
                  <m:t>2</m:t>
                </m:r>
              </m:sup>
            </m:sSup>
            <m:r>
              <w:rPr>
                <w:rFonts w:ascii="Cambria Math" w:eastAsiaTheme="minorHAnsi" w:hAnsi="Cambria Math" w:cstheme="minorBidi"/>
                <w:sz w:val="24"/>
                <w:szCs w:val="24"/>
              </w:rPr>
              <m:t>-</m:t>
            </m:r>
            <m:d>
              <m:dPr>
                <m:ctrlPr>
                  <w:rPr>
                    <w:rFonts w:ascii="Cambria Math" w:eastAsiaTheme="minorHAnsi" w:hAnsi="Cambria Math" w:cstheme="minorBidi"/>
                    <w:i/>
                    <w:sz w:val="24"/>
                    <w:szCs w:val="24"/>
                  </w:rPr>
                </m:ctrlPr>
              </m:dPr>
              <m:e>
                <m:sSup>
                  <m:sSupPr>
                    <m:ctrlPr>
                      <w:rPr>
                        <w:rFonts w:ascii="Cambria Math" w:eastAsiaTheme="minorHAnsi" w:hAnsi="Cambria Math" w:cstheme="minorBidi"/>
                        <w:i/>
                        <w:sz w:val="24"/>
                        <w:szCs w:val="24"/>
                      </w:rPr>
                    </m:ctrlPr>
                  </m:sSupPr>
                  <m:e>
                    <m:r>
                      <w:rPr>
                        <w:rFonts w:ascii="Cambria Math" w:eastAsiaTheme="minorHAnsi" w:hAnsi="Cambria Math" w:cstheme="minorBidi"/>
                        <w:sz w:val="24"/>
                        <w:szCs w:val="24"/>
                      </w:rPr>
                      <m:t>D</m:t>
                    </m:r>
                  </m:e>
                  <m:sup>
                    <m:r>
                      <w:rPr>
                        <w:rFonts w:ascii="Cambria Math" w:eastAsiaTheme="minorHAnsi" w:hAnsi="Cambria Math" w:cstheme="minorBidi"/>
                        <w:sz w:val="24"/>
                        <w:szCs w:val="24"/>
                      </w:rPr>
                      <m:t>2</m:t>
                    </m:r>
                  </m:sup>
                </m:sSup>
                <m:r>
                  <w:rPr>
                    <w:rFonts w:ascii="Cambria Math" w:eastAsiaTheme="minorHAnsi" w:hAnsi="Cambria Math" w:cstheme="minorBidi"/>
                    <w:sz w:val="24"/>
                    <w:szCs w:val="24"/>
                  </w:rPr>
                  <m:t>-</m:t>
                </m:r>
                <m:sSup>
                  <m:sSupPr>
                    <m:ctrlPr>
                      <w:rPr>
                        <w:rFonts w:ascii="Cambria Math" w:eastAsiaTheme="minorHAnsi" w:hAnsi="Cambria Math" w:cstheme="minorBidi"/>
                        <w:i/>
                        <w:sz w:val="24"/>
                        <w:szCs w:val="24"/>
                      </w:rPr>
                    </m:ctrlPr>
                  </m:sSupPr>
                  <m:e>
                    <m:r>
                      <w:rPr>
                        <w:rFonts w:ascii="Cambria Math" w:eastAsiaTheme="minorHAnsi" w:hAnsi="Cambria Math" w:cstheme="minorBidi"/>
                        <w:sz w:val="24"/>
                        <w:szCs w:val="24"/>
                      </w:rPr>
                      <m:t>d</m:t>
                    </m:r>
                  </m:e>
                  <m:sup>
                    <m:r>
                      <w:rPr>
                        <w:rFonts w:ascii="Cambria Math" w:eastAsiaTheme="minorHAnsi" w:hAnsi="Cambria Math" w:cstheme="minorBidi"/>
                        <w:sz w:val="24"/>
                        <w:szCs w:val="24"/>
                      </w:rPr>
                      <m:t>2</m:t>
                    </m:r>
                  </m:sup>
                </m:sSup>
              </m:e>
            </m:d>
            <m:r>
              <w:rPr>
                <w:rFonts w:ascii="Cambria Math" w:eastAsiaTheme="minorHAnsi" w:hAnsi="Cambria Math" w:cstheme="minorBidi"/>
                <w:sz w:val="24"/>
                <w:szCs w:val="24"/>
              </w:rPr>
              <m:t>∙</m:t>
            </m:r>
            <m:f>
              <m:fPr>
                <m:ctrlPr>
                  <w:rPr>
                    <w:rFonts w:ascii="Cambria Math" w:eastAsiaTheme="minorHAnsi" w:hAnsi="Cambria Math" w:cstheme="minorBidi"/>
                    <w:i/>
                    <w:sz w:val="24"/>
                    <w:szCs w:val="24"/>
                  </w:rPr>
                </m:ctrlPr>
              </m:fPr>
              <m:num>
                <m:r>
                  <w:rPr>
                    <w:rFonts w:ascii="Cambria Math" w:eastAsiaTheme="minorHAnsi" w:hAnsi="Cambria Math" w:cstheme="minorBidi"/>
                    <w:sz w:val="24"/>
                    <w:szCs w:val="24"/>
                  </w:rPr>
                  <m:t>L1</m:t>
                </m:r>
              </m:num>
              <m:den>
                <m:r>
                  <w:rPr>
                    <w:rFonts w:ascii="Cambria Math" w:eastAsiaTheme="minorHAnsi" w:hAnsi="Cambria Math" w:cstheme="minorBidi"/>
                    <w:sz w:val="24"/>
                    <w:szCs w:val="24"/>
                  </w:rPr>
                  <m:t>L</m:t>
                </m:r>
              </m:den>
            </m:f>
          </m:e>
        </m:rad>
        <m:r>
          <w:rPr>
            <w:rFonts w:ascii="Cambria Math" w:eastAsiaTheme="minorHAnsi" w:hAnsi="Cambria Math" w:cstheme="minorBidi"/>
            <w:sz w:val="24"/>
            <w:szCs w:val="24"/>
          </w:rPr>
          <m:t xml:space="preserve">       </m:t>
        </m:r>
        <m:r>
          <m:rPr>
            <m:sty m:val="bi"/>
          </m:rPr>
          <w:rPr>
            <w:rFonts w:ascii="Cambria Math" w:eastAsiaTheme="minorHAnsi" w:hAnsi="Cambria Math" w:cstheme="minorBidi"/>
            <w:sz w:val="24"/>
            <w:szCs w:val="24"/>
          </w:rPr>
          <m:t>→</m:t>
        </m:r>
        <m:r>
          <w:rPr>
            <w:rFonts w:ascii="Cambria Math" w:eastAsiaTheme="minorHAnsi" w:hAnsi="Cambria Math" w:cstheme="minorBidi"/>
            <w:sz w:val="24"/>
            <w:szCs w:val="24"/>
          </w:rPr>
          <m:t xml:space="preserve">     L=</m:t>
        </m:r>
        <m:f>
          <m:fPr>
            <m:ctrlPr>
              <w:rPr>
                <w:rFonts w:ascii="Cambria Math" w:eastAsiaTheme="minorHAnsi" w:hAnsi="Cambria Math" w:cstheme="minorBidi"/>
                <w:i/>
                <w:sz w:val="24"/>
                <w:szCs w:val="24"/>
              </w:rPr>
            </m:ctrlPr>
          </m:fPr>
          <m:num>
            <m:sSup>
              <m:sSupPr>
                <m:ctrlPr>
                  <w:rPr>
                    <w:rFonts w:ascii="Cambria Math" w:eastAsiaTheme="minorHAnsi" w:hAnsi="Cambria Math" w:cstheme="minorBidi"/>
                    <w:i/>
                    <w:sz w:val="24"/>
                    <w:szCs w:val="24"/>
                  </w:rPr>
                </m:ctrlPr>
              </m:sSupPr>
              <m:e>
                <m:r>
                  <w:rPr>
                    <w:rFonts w:ascii="Cambria Math" w:eastAsiaTheme="minorHAnsi" w:hAnsi="Cambria Math" w:cstheme="minorBidi"/>
                    <w:sz w:val="24"/>
                    <w:szCs w:val="24"/>
                  </w:rPr>
                  <m:t>D</m:t>
                </m:r>
              </m:e>
              <m:sup>
                <m:r>
                  <w:rPr>
                    <w:rFonts w:ascii="Cambria Math" w:eastAsiaTheme="minorHAnsi" w:hAnsi="Cambria Math" w:cstheme="minorBidi"/>
                    <w:sz w:val="24"/>
                    <w:szCs w:val="24"/>
                  </w:rPr>
                  <m:t>2</m:t>
                </m:r>
              </m:sup>
            </m:sSup>
            <m:r>
              <w:rPr>
                <w:rFonts w:ascii="Cambria Math" w:eastAsiaTheme="minorHAnsi" w:hAnsi="Cambria Math" w:cstheme="minorBidi"/>
                <w:sz w:val="24"/>
                <w:szCs w:val="24"/>
              </w:rPr>
              <m:t>-</m:t>
            </m:r>
            <m:sSup>
              <m:sSupPr>
                <m:ctrlPr>
                  <w:rPr>
                    <w:rFonts w:ascii="Cambria Math" w:eastAsiaTheme="minorHAnsi" w:hAnsi="Cambria Math" w:cstheme="minorBidi"/>
                    <w:i/>
                    <w:sz w:val="24"/>
                    <w:szCs w:val="24"/>
                  </w:rPr>
                </m:ctrlPr>
              </m:sSupPr>
              <m:e>
                <m:r>
                  <w:rPr>
                    <w:rFonts w:ascii="Cambria Math" w:eastAsiaTheme="minorHAnsi" w:hAnsi="Cambria Math" w:cstheme="minorBidi"/>
                    <w:sz w:val="24"/>
                    <w:szCs w:val="24"/>
                  </w:rPr>
                  <m:t>D1</m:t>
                </m:r>
              </m:e>
              <m:sup>
                <m:r>
                  <w:rPr>
                    <w:rFonts w:ascii="Cambria Math" w:eastAsiaTheme="minorHAnsi" w:hAnsi="Cambria Math" w:cstheme="minorBidi"/>
                    <w:sz w:val="24"/>
                    <w:szCs w:val="24"/>
                  </w:rPr>
                  <m:t>2</m:t>
                </m:r>
              </m:sup>
            </m:sSup>
          </m:num>
          <m:den>
            <m:sSup>
              <m:sSupPr>
                <m:ctrlPr>
                  <w:rPr>
                    <w:rFonts w:ascii="Cambria Math" w:eastAsiaTheme="minorHAnsi" w:hAnsi="Cambria Math" w:cstheme="minorBidi"/>
                    <w:i/>
                    <w:sz w:val="24"/>
                    <w:szCs w:val="24"/>
                  </w:rPr>
                </m:ctrlPr>
              </m:sSupPr>
              <m:e>
                <m:r>
                  <w:rPr>
                    <w:rFonts w:ascii="Cambria Math" w:eastAsiaTheme="minorHAnsi" w:hAnsi="Cambria Math" w:cstheme="minorBidi"/>
                    <w:sz w:val="24"/>
                    <w:szCs w:val="24"/>
                  </w:rPr>
                  <m:t>D</m:t>
                </m:r>
              </m:e>
              <m:sup>
                <m:r>
                  <w:rPr>
                    <w:rFonts w:ascii="Cambria Math" w:eastAsiaTheme="minorHAnsi" w:hAnsi="Cambria Math" w:cstheme="minorBidi"/>
                    <w:sz w:val="24"/>
                    <w:szCs w:val="24"/>
                  </w:rPr>
                  <m:t>2</m:t>
                </m:r>
              </m:sup>
            </m:sSup>
            <m:r>
              <w:rPr>
                <w:rFonts w:ascii="Cambria Math" w:eastAsiaTheme="minorHAnsi" w:hAnsi="Cambria Math" w:cstheme="minorBidi"/>
                <w:sz w:val="24"/>
                <w:szCs w:val="24"/>
              </w:rPr>
              <m:t>-</m:t>
            </m:r>
            <m:sSup>
              <m:sSupPr>
                <m:ctrlPr>
                  <w:rPr>
                    <w:rFonts w:ascii="Cambria Math" w:eastAsiaTheme="minorHAnsi" w:hAnsi="Cambria Math" w:cstheme="minorBidi"/>
                    <w:i/>
                    <w:sz w:val="24"/>
                    <w:szCs w:val="24"/>
                  </w:rPr>
                </m:ctrlPr>
              </m:sSupPr>
              <m:e>
                <m:r>
                  <w:rPr>
                    <w:rFonts w:ascii="Cambria Math" w:eastAsiaTheme="minorHAnsi" w:hAnsi="Cambria Math" w:cstheme="minorBidi"/>
                    <w:sz w:val="24"/>
                    <w:szCs w:val="24"/>
                  </w:rPr>
                  <m:t>d</m:t>
                </m:r>
              </m:e>
              <m:sup>
                <m:r>
                  <w:rPr>
                    <w:rFonts w:ascii="Cambria Math" w:eastAsiaTheme="minorHAnsi" w:hAnsi="Cambria Math" w:cstheme="minorBidi"/>
                    <w:sz w:val="24"/>
                    <w:szCs w:val="24"/>
                  </w:rPr>
                  <m:t>2</m:t>
                </m:r>
              </m:sup>
            </m:sSup>
          </m:den>
        </m:f>
        <m:r>
          <w:rPr>
            <w:rFonts w:ascii="Cambria Math" w:eastAsiaTheme="minorHAnsi" w:hAnsi="Cambria Math" w:cstheme="minorBidi"/>
            <w:sz w:val="24"/>
            <w:szCs w:val="24"/>
          </w:rPr>
          <m:t xml:space="preserve">∙L1  </m:t>
        </m:r>
        <m:r>
          <m:rPr>
            <m:sty m:val="bi"/>
          </m:rPr>
          <w:rPr>
            <w:rFonts w:ascii="Cambria Math" w:eastAsiaTheme="minorHAnsi" w:hAnsi="Cambria Math" w:cstheme="minorBidi"/>
            <w:sz w:val="24"/>
            <w:szCs w:val="24"/>
          </w:rPr>
          <m:t xml:space="preserve">                                 </m:t>
        </m:r>
      </m:oMath>
    </w:p>
    <w:p w:rsidR="00DB2278" w:rsidRDefault="00DB2278" w:rsidP="00394C47">
      <w:pPr>
        <w:keepNext/>
        <w:spacing w:before="100" w:beforeAutospacing="1" w:after="100" w:afterAutospacing="1" w:line="240" w:lineRule="auto"/>
        <w:ind w:left="2160" w:hanging="1440"/>
      </w:pPr>
      <w:r w:rsidRPr="00327C95">
        <w:rPr>
          <w:rFonts w:asciiTheme="minorHAnsi" w:eastAsiaTheme="minorHAnsi" w:hAnsiTheme="minorHAnsi" w:cstheme="minorBidi"/>
        </w:rPr>
        <w:t>Where:</w:t>
      </w:r>
      <w:r w:rsidRPr="00327C95">
        <w:rPr>
          <w:rFonts w:asciiTheme="minorHAnsi" w:eastAsiaTheme="minorHAnsi" w:hAnsiTheme="minorHAnsi" w:cstheme="minorBidi"/>
        </w:rPr>
        <w:tab/>
      </w:r>
      <w:r w:rsidRPr="00327C95">
        <w:rPr>
          <w:rFonts w:asciiTheme="minorHAnsi" w:eastAsiaTheme="minorHAnsi" w:hAnsiTheme="minorHAnsi" w:cstheme="minorBidi"/>
          <w:i/>
        </w:rPr>
        <w:t>D1</w:t>
      </w:r>
      <w:r w:rsidR="00D0607D">
        <w:rPr>
          <w:rFonts w:asciiTheme="minorHAnsi" w:eastAsiaTheme="minorHAnsi" w:hAnsiTheme="minorHAnsi" w:cstheme="minorBidi"/>
          <w:i/>
        </w:rPr>
        <w:t xml:space="preserve"> </w:t>
      </w:r>
      <w:r w:rsidRPr="00327C95">
        <w:rPr>
          <w:rFonts w:asciiTheme="minorHAnsi" w:eastAsiaTheme="minorHAnsi" w:hAnsiTheme="minorHAnsi" w:cstheme="minorBidi"/>
        </w:rPr>
        <w:t>=</w:t>
      </w:r>
      <w:r w:rsidR="00D0607D">
        <w:rPr>
          <w:rFonts w:asciiTheme="minorHAnsi" w:eastAsiaTheme="minorHAnsi" w:hAnsiTheme="minorHAnsi" w:cstheme="minorBidi"/>
        </w:rPr>
        <w:t xml:space="preserve"> </w:t>
      </w:r>
      <w:r w:rsidRPr="00327C95">
        <w:rPr>
          <w:rFonts w:asciiTheme="minorHAnsi" w:eastAsiaTheme="minorHAnsi" w:hAnsiTheme="minorHAnsi" w:cstheme="minorBidi"/>
        </w:rPr>
        <w:t>Mid-section diameter</w:t>
      </w:r>
      <w:r w:rsidRPr="00327C95">
        <w:rPr>
          <w:rFonts w:asciiTheme="minorHAnsi" w:eastAsiaTheme="minorHAnsi" w:hAnsiTheme="minorHAnsi" w:cstheme="minorBidi"/>
          <w:i/>
        </w:rPr>
        <w:t xml:space="preserve"> </w:t>
      </w:r>
    </w:p>
    <w:p w:rsidR="00DB2278" w:rsidRDefault="00DB2278" w:rsidP="00D0607D">
      <w:pPr>
        <w:spacing w:before="100" w:beforeAutospacing="1" w:after="100" w:afterAutospacing="1" w:line="240" w:lineRule="auto"/>
        <w:ind w:left="2160"/>
        <w:rPr>
          <w:rFonts w:asciiTheme="minorHAnsi" w:eastAsiaTheme="minorHAnsi" w:hAnsiTheme="minorHAnsi" w:cstheme="minorBidi"/>
        </w:rPr>
      </w:pPr>
      <w:r w:rsidRPr="00327C95">
        <w:rPr>
          <w:rFonts w:asciiTheme="minorHAnsi" w:eastAsiaTheme="minorHAnsi" w:hAnsiTheme="minorHAnsi" w:cstheme="minorBidi"/>
          <w:i/>
        </w:rPr>
        <w:t>D</w:t>
      </w:r>
      <w:r w:rsidR="00D0607D">
        <w:rPr>
          <w:rFonts w:asciiTheme="minorHAnsi" w:eastAsiaTheme="minorHAnsi" w:hAnsiTheme="minorHAnsi" w:cstheme="minorBidi"/>
          <w:i/>
        </w:rPr>
        <w:t xml:space="preserve"> </w:t>
      </w:r>
      <w:r w:rsidRPr="00327C95">
        <w:rPr>
          <w:rFonts w:asciiTheme="minorHAnsi" w:eastAsiaTheme="minorHAnsi" w:hAnsiTheme="minorHAnsi" w:cstheme="minorBidi"/>
        </w:rPr>
        <w:t>=</w:t>
      </w:r>
      <w:r w:rsidR="00D0607D">
        <w:rPr>
          <w:rFonts w:asciiTheme="minorHAnsi" w:eastAsiaTheme="minorHAnsi" w:hAnsiTheme="minorHAnsi" w:cstheme="minorBidi"/>
        </w:rPr>
        <w:t xml:space="preserve"> </w:t>
      </w:r>
      <w:r w:rsidRPr="00327C95">
        <w:rPr>
          <w:rFonts w:asciiTheme="minorHAnsi" w:eastAsiaTheme="minorHAnsi" w:hAnsiTheme="minorHAnsi" w:cstheme="minorBidi"/>
        </w:rPr>
        <w:t xml:space="preserve">Large end diameter     </w:t>
      </w:r>
    </w:p>
    <w:p w:rsidR="00DB2278" w:rsidRDefault="00DB2278" w:rsidP="00394C47">
      <w:pPr>
        <w:spacing w:before="100" w:beforeAutospacing="1" w:after="100" w:afterAutospacing="1" w:line="240" w:lineRule="auto"/>
        <w:ind w:left="2160"/>
        <w:rPr>
          <w:rFonts w:asciiTheme="minorHAnsi" w:eastAsiaTheme="minorHAnsi" w:hAnsiTheme="minorHAnsi" w:cstheme="minorBidi"/>
        </w:rPr>
      </w:pPr>
      <w:r w:rsidRPr="00327C95">
        <w:rPr>
          <w:rFonts w:asciiTheme="minorHAnsi" w:eastAsiaTheme="minorHAnsi" w:hAnsiTheme="minorHAnsi" w:cstheme="minorBidi"/>
          <w:i/>
        </w:rPr>
        <w:t>d</w:t>
      </w:r>
      <w:r w:rsidR="00D0607D">
        <w:rPr>
          <w:rFonts w:asciiTheme="minorHAnsi" w:eastAsiaTheme="minorHAnsi" w:hAnsiTheme="minorHAnsi" w:cstheme="minorBidi"/>
          <w:i/>
        </w:rPr>
        <w:t xml:space="preserve"> </w:t>
      </w:r>
      <w:r w:rsidRPr="00327C95">
        <w:rPr>
          <w:rFonts w:asciiTheme="minorHAnsi" w:eastAsiaTheme="minorHAnsi" w:hAnsiTheme="minorHAnsi" w:cstheme="minorBidi"/>
        </w:rPr>
        <w:t>=</w:t>
      </w:r>
      <w:r w:rsidR="00D0607D">
        <w:rPr>
          <w:rFonts w:asciiTheme="minorHAnsi" w:eastAsiaTheme="minorHAnsi" w:hAnsiTheme="minorHAnsi" w:cstheme="minorBidi"/>
        </w:rPr>
        <w:t xml:space="preserve"> </w:t>
      </w:r>
      <w:r w:rsidRPr="00327C95">
        <w:rPr>
          <w:rFonts w:asciiTheme="minorHAnsi" w:eastAsiaTheme="minorHAnsi" w:hAnsiTheme="minorHAnsi" w:cstheme="minorBidi"/>
        </w:rPr>
        <w:t xml:space="preserve">small end diameter </w:t>
      </w:r>
      <w:r>
        <w:rPr>
          <w:rFonts w:asciiTheme="minorHAnsi" w:eastAsiaTheme="minorHAnsi" w:hAnsiTheme="minorHAnsi" w:cstheme="minorBidi"/>
        </w:rPr>
        <w:t xml:space="preserve">         </w:t>
      </w:r>
    </w:p>
    <w:p w:rsidR="00DB2278" w:rsidRDefault="00DB2278" w:rsidP="00394C47">
      <w:pPr>
        <w:spacing w:before="100" w:beforeAutospacing="1" w:after="100" w:afterAutospacing="1" w:line="240" w:lineRule="auto"/>
        <w:ind w:left="2160"/>
        <w:rPr>
          <w:rFonts w:asciiTheme="minorHAnsi" w:eastAsiaTheme="minorHAnsi" w:hAnsiTheme="minorHAnsi" w:cstheme="minorBidi"/>
        </w:rPr>
      </w:pPr>
      <w:r w:rsidRPr="00327C95">
        <w:rPr>
          <w:rFonts w:asciiTheme="minorHAnsi" w:eastAsiaTheme="minorHAnsi" w:hAnsiTheme="minorHAnsi" w:cstheme="minorBidi"/>
          <w:i/>
        </w:rPr>
        <w:t>L1</w:t>
      </w:r>
      <w:r w:rsidR="00D0607D">
        <w:rPr>
          <w:rFonts w:asciiTheme="minorHAnsi" w:eastAsiaTheme="minorHAnsi" w:hAnsiTheme="minorHAnsi" w:cstheme="minorBidi"/>
          <w:i/>
        </w:rPr>
        <w:t xml:space="preserve"> </w:t>
      </w:r>
      <w:r w:rsidRPr="00327C95">
        <w:rPr>
          <w:rFonts w:asciiTheme="minorHAnsi" w:eastAsiaTheme="minorHAnsi" w:hAnsiTheme="minorHAnsi" w:cstheme="minorBidi"/>
        </w:rPr>
        <w:t>=</w:t>
      </w:r>
      <w:r w:rsidR="00D0607D">
        <w:rPr>
          <w:rFonts w:asciiTheme="minorHAnsi" w:eastAsiaTheme="minorHAnsi" w:hAnsiTheme="minorHAnsi" w:cstheme="minorBidi"/>
        </w:rPr>
        <w:t xml:space="preserve"> </w:t>
      </w:r>
      <w:r w:rsidRPr="00327C95">
        <w:rPr>
          <w:rFonts w:asciiTheme="minorHAnsi" w:eastAsiaTheme="minorHAnsi" w:hAnsiTheme="minorHAnsi" w:cstheme="minorBidi"/>
        </w:rPr>
        <w:t xml:space="preserve">Length to mid-section diameter        </w:t>
      </w:r>
    </w:p>
    <w:p w:rsidR="00DB2278" w:rsidRDefault="00DB2278" w:rsidP="00EA32B8">
      <w:pPr>
        <w:spacing w:line="240" w:lineRule="auto"/>
        <w:ind w:left="1440" w:firstLine="720"/>
        <w:rPr>
          <w:rFonts w:asciiTheme="minorHAnsi" w:eastAsiaTheme="minorHAnsi" w:hAnsiTheme="minorHAnsi" w:cstheme="minorBidi"/>
        </w:rPr>
      </w:pPr>
      <w:r w:rsidRPr="00327C95">
        <w:rPr>
          <w:rFonts w:asciiTheme="minorHAnsi" w:eastAsiaTheme="minorHAnsi" w:hAnsiTheme="minorHAnsi" w:cstheme="minorBidi"/>
          <w:i/>
        </w:rPr>
        <w:t>L</w:t>
      </w:r>
      <w:r w:rsidR="00D0607D">
        <w:rPr>
          <w:rFonts w:asciiTheme="minorHAnsi" w:eastAsiaTheme="minorHAnsi" w:hAnsiTheme="minorHAnsi" w:cstheme="minorBidi"/>
          <w:i/>
        </w:rPr>
        <w:t xml:space="preserve"> </w:t>
      </w:r>
      <w:r w:rsidRPr="00327C95">
        <w:rPr>
          <w:rFonts w:asciiTheme="minorHAnsi" w:eastAsiaTheme="minorHAnsi" w:hAnsiTheme="minorHAnsi" w:cstheme="minorBidi"/>
        </w:rPr>
        <w:t>=</w:t>
      </w:r>
      <w:r w:rsidR="00D0607D">
        <w:rPr>
          <w:rFonts w:asciiTheme="minorHAnsi" w:eastAsiaTheme="minorHAnsi" w:hAnsiTheme="minorHAnsi" w:cstheme="minorBidi"/>
        </w:rPr>
        <w:t xml:space="preserve"> </w:t>
      </w:r>
      <w:r w:rsidRPr="00327C95">
        <w:rPr>
          <w:rFonts w:asciiTheme="minorHAnsi" w:eastAsiaTheme="minorHAnsi" w:hAnsiTheme="minorHAnsi" w:cstheme="minorBidi"/>
        </w:rPr>
        <w:t>Length of stem segment</w:t>
      </w:r>
      <w:r w:rsidR="00EA32B8">
        <w:rPr>
          <w:rFonts w:asciiTheme="minorHAnsi" w:eastAsiaTheme="minorHAnsi" w:hAnsiTheme="minorHAnsi" w:cstheme="minorBidi"/>
        </w:rPr>
        <w:t xml:space="preserve">   </w:t>
      </w:r>
      <w:r w:rsidR="00EA32B8">
        <w:rPr>
          <w:rFonts w:asciiTheme="minorHAnsi" w:eastAsiaTheme="minorHAnsi" w:hAnsiTheme="minorHAnsi" w:cstheme="minorBidi"/>
        </w:rPr>
        <w:tab/>
      </w:r>
      <w:r w:rsidR="00EA32B8">
        <w:rPr>
          <w:rFonts w:asciiTheme="minorHAnsi" w:eastAsiaTheme="minorHAnsi" w:hAnsiTheme="minorHAnsi" w:cstheme="minorBidi"/>
        </w:rPr>
        <w:tab/>
      </w:r>
      <w:r w:rsidR="00EA32B8">
        <w:rPr>
          <w:rFonts w:asciiTheme="minorHAnsi" w:eastAsiaTheme="minorHAnsi" w:hAnsiTheme="minorHAnsi" w:cstheme="minorBidi"/>
        </w:rPr>
        <w:tab/>
      </w:r>
      <w:r w:rsidR="00EA32B8">
        <w:rPr>
          <w:rFonts w:asciiTheme="minorHAnsi" w:eastAsiaTheme="minorHAnsi" w:hAnsiTheme="minorHAnsi" w:cstheme="minorBidi"/>
        </w:rPr>
        <w:tab/>
      </w:r>
      <w:r w:rsidR="00D0607D">
        <w:rPr>
          <w:rFonts w:asciiTheme="minorHAnsi" w:eastAsiaTheme="minorHAnsi" w:hAnsiTheme="minorHAnsi" w:cstheme="minorBidi"/>
        </w:rPr>
        <w:t xml:space="preserve">           </w:t>
      </w:r>
      <w:r w:rsidRPr="001B06D2">
        <w:rPr>
          <w:b/>
          <w:sz w:val="20"/>
          <w:szCs w:val="20"/>
        </w:rPr>
        <w:t xml:space="preserve">Figure </w:t>
      </w:r>
      <w:r w:rsidR="00BA1712">
        <w:rPr>
          <w:b/>
          <w:sz w:val="20"/>
          <w:szCs w:val="20"/>
        </w:rPr>
        <w:t>4</w:t>
      </w:r>
      <w:r w:rsidRPr="001B06D2">
        <w:rPr>
          <w:b/>
          <w:sz w:val="20"/>
          <w:szCs w:val="20"/>
        </w:rPr>
        <w:t xml:space="preserve">.  Log </w:t>
      </w:r>
      <w:r>
        <w:rPr>
          <w:b/>
          <w:sz w:val="20"/>
          <w:szCs w:val="20"/>
        </w:rPr>
        <w:t xml:space="preserve">taper </w:t>
      </w:r>
      <w:r w:rsidRPr="001B06D2">
        <w:rPr>
          <w:b/>
          <w:sz w:val="20"/>
          <w:szCs w:val="20"/>
        </w:rPr>
        <w:t>diagram</w:t>
      </w:r>
    </w:p>
    <w:p w:rsidR="00EA32B8" w:rsidRDefault="00EA32B8" w:rsidP="00DB2278">
      <w:pPr>
        <w:spacing w:line="480" w:lineRule="auto"/>
        <w:ind w:firstLine="720"/>
        <w:rPr>
          <w:rFonts w:asciiTheme="minorHAnsi" w:eastAsiaTheme="minorEastAsia" w:hAnsiTheme="minorHAnsi" w:cstheme="minorBidi"/>
          <w:b/>
        </w:rPr>
      </w:pPr>
      <m:oMathPara>
        <m:oMath>
          <m:r>
            <w:rPr>
              <w:rFonts w:ascii="Cambria Math" w:eastAsiaTheme="minorHAnsi" w:hAnsi="Cambria Math" w:cstheme="minorBidi"/>
            </w:rPr>
            <m:t xml:space="preserve">Example for max ST height:         </m:t>
          </m:r>
          <m:sSub>
            <m:sSubPr>
              <m:ctrlPr>
                <w:rPr>
                  <w:rFonts w:ascii="Cambria Math" w:eastAsiaTheme="minorHAnsi" w:hAnsi="Cambria Math" w:cstheme="minorBidi"/>
                  <w:i/>
                </w:rPr>
              </m:ctrlPr>
            </m:sSubPr>
            <m:e>
              <m:r>
                <w:rPr>
                  <w:rFonts w:ascii="Cambria Math" w:eastAsiaTheme="minorHAnsi" w:hAnsi="Cambria Math" w:cstheme="minorBidi"/>
                </w:rPr>
                <m:t>Mht</m:t>
              </m:r>
            </m:e>
            <m:sub>
              <m:sSup>
                <m:sSupPr>
                  <m:ctrlPr>
                    <w:rPr>
                      <w:rFonts w:ascii="Cambria Math" w:eastAsiaTheme="minorHAnsi" w:hAnsi="Cambria Math" w:cstheme="minorHAnsi"/>
                    </w:rPr>
                  </m:ctrlPr>
                </m:sSupPr>
                <m:e>
                  <m:r>
                    <m:rPr>
                      <m:sty m:val="p"/>
                    </m:rPr>
                    <w:rPr>
                      <w:rFonts w:ascii="Cambria Math" w:eastAsiaTheme="minorHAnsi" w:hAnsi="Cambria Math" w:cstheme="minorBidi"/>
                    </w:rPr>
                    <m:t>12</m:t>
                  </m:r>
                  <m:ctrlPr>
                    <w:rPr>
                      <w:rFonts w:ascii="Cambria Math" w:eastAsiaTheme="minorHAnsi" w:hAnsi="Cambria Math" w:cstheme="minorBidi"/>
                    </w:rPr>
                  </m:ctrlPr>
                </m:e>
                <m:sup>
                  <m:r>
                    <m:rPr>
                      <m:sty m:val="p"/>
                    </m:rPr>
                    <w:rPr>
                      <w:rFonts w:ascii="Cambria Math" w:eastAsiaTheme="minorHAnsi" w:hAnsi="Cambria Math" w:cstheme="minorHAnsi"/>
                    </w:rPr>
                    <m:t>″</m:t>
                  </m:r>
                </m:sup>
              </m:sSup>
              <m:r>
                <w:rPr>
                  <w:rFonts w:ascii="Cambria Math" w:eastAsiaTheme="minorHAnsi" w:hAnsi="Cambria Math" w:cstheme="minorBidi"/>
                </w:rPr>
                <m:t>DIB</m:t>
              </m:r>
            </m:sub>
          </m:sSub>
          <m:r>
            <m:rPr>
              <m:sty m:val="bi"/>
            </m:rPr>
            <w:rPr>
              <w:rFonts w:ascii="Cambria Math" w:eastAsiaTheme="minorHAnsi" w:hAnsi="Cambria Math" w:cstheme="minorBidi"/>
              <w:strike/>
            </w:rPr>
            <m:t>-4.5'</m:t>
          </m:r>
          <m:r>
            <w:rPr>
              <w:rFonts w:ascii="Cambria Math" w:eastAsiaTheme="minorHAnsi" w:hAnsi="Cambria Math" w:cstheme="minorBidi"/>
            </w:rPr>
            <m:t>=</m:t>
          </m:r>
          <m:d>
            <m:dPr>
              <m:begChr m:val="["/>
              <m:endChr m:val="]"/>
              <m:ctrlPr>
                <w:rPr>
                  <w:rFonts w:ascii="Cambria Math" w:eastAsiaTheme="minorHAnsi" w:hAnsi="Cambria Math" w:cstheme="minorBidi"/>
                  <w:i/>
                </w:rPr>
              </m:ctrlPr>
            </m:dPr>
            <m:e>
              <m:f>
                <m:fPr>
                  <m:ctrlPr>
                    <w:rPr>
                      <w:rFonts w:ascii="Cambria Math" w:eastAsiaTheme="minorHAnsi" w:hAnsi="Cambria Math" w:cstheme="minorBidi"/>
                      <w:i/>
                    </w:rPr>
                  </m:ctrlPr>
                </m:fPr>
                <m:num>
                  <m:sSup>
                    <m:sSupPr>
                      <m:ctrlPr>
                        <w:rPr>
                          <w:rFonts w:ascii="Cambria Math" w:eastAsiaTheme="minorHAnsi" w:hAnsi="Cambria Math" w:cstheme="minorBidi"/>
                          <w:i/>
                        </w:rPr>
                      </m:ctrlPr>
                    </m:sSupPr>
                    <m:e>
                      <m:r>
                        <w:rPr>
                          <w:rFonts w:ascii="Cambria Math" w:eastAsiaTheme="minorHAnsi" w:hAnsi="Cambria Math" w:cstheme="minorBidi"/>
                        </w:rPr>
                        <m:t>DiBH</m:t>
                      </m:r>
                    </m:e>
                    <m:sup>
                      <m:r>
                        <w:rPr>
                          <w:rFonts w:ascii="Cambria Math" w:eastAsiaTheme="minorHAnsi" w:hAnsi="Cambria Math" w:cstheme="minorBidi"/>
                        </w:rPr>
                        <m:t>2</m:t>
                      </m:r>
                    </m:sup>
                  </m:sSup>
                  <m:r>
                    <w:rPr>
                      <w:rFonts w:ascii="Cambria Math" w:eastAsiaTheme="minorHAnsi" w:hAnsi="Cambria Math" w:cstheme="minorBidi"/>
                    </w:rPr>
                    <m:t>-</m:t>
                  </m:r>
                  <m:sSup>
                    <m:sSupPr>
                      <m:ctrlPr>
                        <w:rPr>
                          <w:rFonts w:ascii="Cambria Math" w:eastAsiaTheme="minorHAnsi" w:hAnsi="Cambria Math" w:cstheme="minorBidi"/>
                          <w:i/>
                        </w:rPr>
                      </m:ctrlPr>
                    </m:sSupPr>
                    <m:e>
                      <m:r>
                        <w:rPr>
                          <w:rFonts w:ascii="Cambria Math" w:eastAsiaTheme="minorHAnsi" w:hAnsi="Cambria Math" w:cstheme="minorBidi"/>
                        </w:rPr>
                        <m:t>8</m:t>
                      </m:r>
                      <m:r>
                        <m:rPr>
                          <m:sty m:val="p"/>
                        </m:rPr>
                        <w:rPr>
                          <w:rFonts w:ascii="Cambria Math" w:eastAsiaTheme="minorHAnsi" w:hAnsi="Cambria Math" w:cstheme="minorHAnsi"/>
                        </w:rPr>
                        <m:t>″</m:t>
                      </m:r>
                      <m:r>
                        <m:rPr>
                          <m:sty m:val="p"/>
                        </m:rPr>
                        <w:rPr>
                          <w:rFonts w:ascii="Cambria Math" w:eastAsiaTheme="minorHAnsi" w:hAnsi="Cambria Math" w:cstheme="minorBidi"/>
                        </w:rPr>
                        <m:t xml:space="preserve"> DIB</m:t>
                      </m:r>
                    </m:e>
                    <m:sup>
                      <m:r>
                        <w:rPr>
                          <w:rFonts w:ascii="Cambria Math" w:eastAsiaTheme="minorHAnsi" w:hAnsi="Cambria Math" w:cstheme="minorBidi"/>
                        </w:rPr>
                        <m:t>2</m:t>
                      </m:r>
                    </m:sup>
                  </m:sSup>
                </m:num>
                <m:den>
                  <m:sSup>
                    <m:sSupPr>
                      <m:ctrlPr>
                        <w:rPr>
                          <w:rFonts w:ascii="Cambria Math" w:eastAsiaTheme="minorHAnsi" w:hAnsi="Cambria Math" w:cstheme="minorBidi"/>
                          <w:i/>
                        </w:rPr>
                      </m:ctrlPr>
                    </m:sSupPr>
                    <m:e>
                      <m:r>
                        <w:rPr>
                          <w:rFonts w:ascii="Cambria Math" w:eastAsiaTheme="minorHAnsi" w:hAnsi="Cambria Math" w:cstheme="minorBidi"/>
                        </w:rPr>
                        <m:t>DiBH</m:t>
                      </m:r>
                    </m:e>
                    <m:sup>
                      <m:r>
                        <w:rPr>
                          <w:rFonts w:ascii="Cambria Math" w:eastAsiaTheme="minorHAnsi" w:hAnsi="Cambria Math" w:cstheme="minorBidi"/>
                        </w:rPr>
                        <m:t>2</m:t>
                      </m:r>
                    </m:sup>
                  </m:sSup>
                  <m:r>
                    <w:rPr>
                      <w:rFonts w:ascii="Cambria Math" w:eastAsiaTheme="minorHAnsi" w:hAnsi="Cambria Math" w:cstheme="minorBidi"/>
                    </w:rPr>
                    <m:t>-</m:t>
                  </m:r>
                  <m:sSup>
                    <m:sSupPr>
                      <m:ctrlPr>
                        <w:rPr>
                          <w:rFonts w:ascii="Cambria Math" w:eastAsiaTheme="minorHAnsi" w:hAnsi="Cambria Math" w:cstheme="minorBidi"/>
                          <w:i/>
                        </w:rPr>
                      </m:ctrlPr>
                    </m:sSupPr>
                    <m:e>
                      <m:r>
                        <w:rPr>
                          <w:rFonts w:ascii="Cambria Math" w:eastAsiaTheme="minorHAnsi" w:hAnsi="Cambria Math" w:cstheme="minorBidi"/>
                        </w:rPr>
                        <m:t>12</m:t>
                      </m:r>
                      <m:r>
                        <m:rPr>
                          <m:sty m:val="p"/>
                        </m:rPr>
                        <w:rPr>
                          <w:rFonts w:ascii="Cambria Math" w:eastAsiaTheme="minorHAnsi" w:hAnsi="Cambria Math" w:cstheme="minorHAnsi"/>
                        </w:rPr>
                        <m:t>″</m:t>
                      </m:r>
                      <m:r>
                        <m:rPr>
                          <m:sty m:val="p"/>
                        </m:rPr>
                        <w:rPr>
                          <w:rFonts w:ascii="Cambria Math" w:eastAsiaTheme="minorHAnsi" w:hAnsi="Cambria Math" w:cstheme="minorBidi"/>
                        </w:rPr>
                        <m:t xml:space="preserve"> DIB</m:t>
                      </m:r>
                    </m:e>
                    <m:sup>
                      <m:r>
                        <w:rPr>
                          <w:rFonts w:ascii="Cambria Math" w:eastAsiaTheme="minorHAnsi" w:hAnsi="Cambria Math" w:cstheme="minorBidi"/>
                        </w:rPr>
                        <m:t>2</m:t>
                      </m:r>
                    </m:sup>
                  </m:sSup>
                </m:den>
              </m:f>
              <m:r>
                <w:rPr>
                  <w:rFonts w:ascii="Cambria Math" w:eastAsiaTheme="minorHAnsi" w:hAnsi="Cambria Math" w:cstheme="minorBidi"/>
                </w:rPr>
                <m:t>∙</m:t>
              </m:r>
              <m:d>
                <m:dPr>
                  <m:ctrlPr>
                    <w:rPr>
                      <w:rFonts w:ascii="Cambria Math" w:eastAsiaTheme="minorHAnsi" w:hAnsi="Cambria Math" w:cstheme="minorBidi"/>
                      <w:i/>
                    </w:rPr>
                  </m:ctrlPr>
                </m:dPr>
                <m:e>
                  <m:sSub>
                    <m:sSubPr>
                      <m:ctrlPr>
                        <w:rPr>
                          <w:rFonts w:ascii="Cambria Math" w:eastAsiaTheme="minorHAnsi" w:hAnsi="Cambria Math" w:cstheme="minorBidi"/>
                          <w:i/>
                        </w:rPr>
                      </m:ctrlPr>
                    </m:sSubPr>
                    <m:e>
                      <m:r>
                        <w:rPr>
                          <w:rFonts w:ascii="Cambria Math" w:eastAsiaTheme="minorHAnsi" w:hAnsi="Cambria Math" w:cstheme="minorBidi"/>
                        </w:rPr>
                        <m:t>Mht</m:t>
                      </m:r>
                    </m:e>
                    <m:sub>
                      <m:r>
                        <w:rPr>
                          <w:rFonts w:ascii="Cambria Math" w:eastAsiaTheme="minorHAnsi" w:hAnsi="Cambria Math" w:cstheme="minorBidi"/>
                        </w:rPr>
                        <m:t>8</m:t>
                      </m:r>
                      <m:r>
                        <m:rPr>
                          <m:sty m:val="p"/>
                        </m:rPr>
                        <w:rPr>
                          <w:rFonts w:ascii="Cambria Math" w:eastAsiaTheme="minorHAnsi" w:hAnsi="Cambria Math" w:cstheme="minorHAnsi"/>
                        </w:rPr>
                        <m:t>″</m:t>
                      </m:r>
                      <m:r>
                        <w:rPr>
                          <w:rFonts w:ascii="Cambria Math" w:eastAsiaTheme="minorHAnsi" w:hAnsi="Cambria Math" w:cstheme="minorBidi"/>
                        </w:rPr>
                        <m:t xml:space="preserve"> DIB</m:t>
                      </m:r>
                    </m:sub>
                  </m:sSub>
                  <m:r>
                    <w:rPr>
                      <w:rFonts w:ascii="Cambria Math" w:eastAsiaTheme="minorHAnsi" w:hAnsi="Cambria Math" w:cstheme="minorBidi"/>
                    </w:rPr>
                    <m:t>-4.5'</m:t>
                  </m:r>
                </m:e>
              </m:d>
            </m:e>
          </m:d>
          <m:r>
            <w:rPr>
              <w:rFonts w:ascii="Cambria Math" w:eastAsiaTheme="minorHAnsi" w:hAnsi="Cambria Math" w:cstheme="minorBidi"/>
            </w:rPr>
            <m:t>+</m:t>
          </m:r>
          <m:r>
            <m:rPr>
              <m:sty m:val="bi"/>
            </m:rPr>
            <w:rPr>
              <w:rFonts w:ascii="Cambria Math" w:eastAsiaTheme="minorHAnsi" w:hAnsi="Cambria Math" w:cstheme="minorBidi"/>
            </w:rPr>
            <m:t>4.5'</m:t>
          </m:r>
        </m:oMath>
      </m:oMathPara>
    </w:p>
    <w:p w:rsidR="00DB2278" w:rsidRDefault="0035762D" w:rsidP="00DB2278">
      <w:pPr>
        <w:spacing w:line="480" w:lineRule="auto"/>
        <w:ind w:firstLine="720"/>
        <w:rPr>
          <w:rFonts w:asciiTheme="minorHAnsi" w:eastAsiaTheme="minorHAnsi" w:hAnsiTheme="minorHAnsi" w:cstheme="minorBidi"/>
        </w:rPr>
      </w:pPr>
      <w:r>
        <w:rPr>
          <w:rFonts w:asciiTheme="minorHAnsi" w:eastAsiaTheme="minorHAnsi" w:hAnsiTheme="minorHAnsi" w:cstheme="minorBidi"/>
        </w:rPr>
        <w:t xml:space="preserve">Since average DIBs </w:t>
      </w:r>
      <w:r w:rsidR="00C13CC9">
        <w:rPr>
          <w:rFonts w:asciiTheme="minorHAnsi" w:eastAsiaTheme="minorHAnsi" w:hAnsiTheme="minorHAnsi" w:cstheme="minorBidi"/>
        </w:rPr>
        <w:t xml:space="preserve">and associated heights </w:t>
      </w:r>
      <w:r w:rsidR="009535E7">
        <w:rPr>
          <w:rFonts w:asciiTheme="minorHAnsi" w:eastAsiaTheme="minorHAnsi" w:hAnsiTheme="minorHAnsi" w:cstheme="minorBidi"/>
        </w:rPr>
        <w:t xml:space="preserve">for all commercial species </w:t>
      </w:r>
      <w:r>
        <w:rPr>
          <w:rFonts w:asciiTheme="minorHAnsi" w:eastAsiaTheme="minorHAnsi" w:hAnsiTheme="minorHAnsi" w:cstheme="minorBidi"/>
        </w:rPr>
        <w:t>were known</w:t>
      </w:r>
      <w:r w:rsidR="00C13CC9">
        <w:rPr>
          <w:rFonts w:asciiTheme="minorHAnsi" w:eastAsiaTheme="minorHAnsi" w:hAnsiTheme="minorHAnsi" w:cstheme="minorBidi"/>
        </w:rPr>
        <w:t xml:space="preserve"> or could be predicted</w:t>
      </w:r>
      <w:r>
        <w:rPr>
          <w:rFonts w:asciiTheme="minorHAnsi" w:eastAsiaTheme="minorHAnsi" w:hAnsiTheme="minorHAnsi" w:cstheme="minorBidi"/>
        </w:rPr>
        <w:t xml:space="preserve"> </w:t>
      </w:r>
      <w:r w:rsidR="009535E7">
        <w:rPr>
          <w:rFonts w:asciiTheme="minorHAnsi" w:eastAsiaTheme="minorHAnsi" w:hAnsiTheme="minorHAnsi" w:cstheme="minorBidi"/>
        </w:rPr>
        <w:t>for DBH</w:t>
      </w:r>
      <w:r w:rsidR="00C13CC9">
        <w:rPr>
          <w:rFonts w:asciiTheme="minorHAnsi" w:eastAsiaTheme="minorHAnsi" w:hAnsiTheme="minorHAnsi" w:cstheme="minorBidi"/>
        </w:rPr>
        <w:t>s</w:t>
      </w:r>
      <w:r w:rsidR="009535E7">
        <w:rPr>
          <w:rFonts w:asciiTheme="minorHAnsi" w:eastAsiaTheme="minorHAnsi" w:hAnsiTheme="minorHAnsi" w:cstheme="minorBidi"/>
        </w:rPr>
        <w:t xml:space="preserve">, </w:t>
      </w:r>
      <w:r>
        <w:rPr>
          <w:rFonts w:asciiTheme="minorHAnsi" w:eastAsiaTheme="minorHAnsi" w:hAnsiTheme="minorHAnsi" w:cstheme="minorBidi"/>
        </w:rPr>
        <w:t>4</w:t>
      </w:r>
      <w:r>
        <w:rPr>
          <w:rFonts w:asciiTheme="minorHAnsi" w:eastAsiaTheme="minorHAnsi" w:hAnsiTheme="minorHAnsi" w:cstheme="minorHAnsi"/>
        </w:rPr>
        <w:t>″DOB</w:t>
      </w:r>
      <w:r w:rsidR="00585824">
        <w:rPr>
          <w:rFonts w:asciiTheme="minorHAnsi" w:eastAsiaTheme="minorHAnsi" w:hAnsiTheme="minorHAnsi" w:cstheme="minorBidi"/>
        </w:rPr>
        <w:t xml:space="preserve"> </w:t>
      </w:r>
      <w:r w:rsidR="00D57196">
        <w:rPr>
          <w:rFonts w:asciiTheme="minorHAnsi" w:eastAsiaTheme="minorHAnsi" w:hAnsiTheme="minorHAnsi" w:cstheme="minorBidi"/>
        </w:rPr>
        <w:t>PT-</w:t>
      </w:r>
      <w:r>
        <w:rPr>
          <w:rFonts w:asciiTheme="minorHAnsi" w:eastAsiaTheme="minorHAnsi" w:hAnsiTheme="minorHAnsi" w:cstheme="minorBidi"/>
        </w:rPr>
        <w:t>top</w:t>
      </w:r>
      <w:r w:rsidR="00C13CC9">
        <w:rPr>
          <w:rFonts w:asciiTheme="minorHAnsi" w:eastAsiaTheme="minorHAnsi" w:hAnsiTheme="minorHAnsi" w:cstheme="minorBidi"/>
        </w:rPr>
        <w:t>s</w:t>
      </w:r>
      <w:r w:rsidR="009535E7">
        <w:rPr>
          <w:rFonts w:asciiTheme="minorHAnsi" w:eastAsiaTheme="minorHAnsi" w:hAnsiTheme="minorHAnsi" w:cstheme="minorBidi"/>
        </w:rPr>
        <w:t>, and</w:t>
      </w:r>
      <w:r>
        <w:rPr>
          <w:rFonts w:asciiTheme="minorHAnsi" w:eastAsiaTheme="minorHAnsi" w:hAnsiTheme="minorHAnsi" w:cstheme="minorBidi"/>
        </w:rPr>
        <w:t xml:space="preserve"> </w:t>
      </w:r>
      <w:r w:rsidR="009535E7" w:rsidRPr="00327C95">
        <w:rPr>
          <w:rFonts w:asciiTheme="minorHAnsi" w:eastAsiaTheme="minorHAnsi" w:hAnsiTheme="minorHAnsi" w:cstheme="minorBidi"/>
        </w:rPr>
        <w:t>9</w:t>
      </w:r>
      <w:r w:rsidR="009535E7">
        <w:rPr>
          <w:rFonts w:asciiTheme="minorHAnsi" w:eastAsiaTheme="minorHAnsi" w:hAnsiTheme="minorHAnsi" w:cstheme="minorHAnsi"/>
        </w:rPr>
        <w:t>″</w:t>
      </w:r>
      <w:r w:rsidR="009535E7" w:rsidRPr="00327C95">
        <w:rPr>
          <w:rFonts w:asciiTheme="minorHAnsi" w:eastAsiaTheme="minorHAnsi" w:hAnsiTheme="minorHAnsi" w:cstheme="minorBidi"/>
        </w:rPr>
        <w:t xml:space="preserve"> and 7</w:t>
      </w:r>
      <w:r w:rsidR="009535E7">
        <w:rPr>
          <w:rFonts w:asciiTheme="minorHAnsi" w:eastAsiaTheme="minorHAnsi" w:hAnsiTheme="minorHAnsi" w:cstheme="minorHAnsi"/>
        </w:rPr>
        <w:t xml:space="preserve">″ </w:t>
      </w:r>
      <w:r w:rsidR="009535E7" w:rsidRPr="00327C95">
        <w:rPr>
          <w:rFonts w:asciiTheme="minorHAnsi" w:eastAsiaTheme="minorHAnsi" w:hAnsiTheme="minorHAnsi" w:cstheme="minorBidi"/>
        </w:rPr>
        <w:t>D</w:t>
      </w:r>
      <w:r w:rsidR="009535E7">
        <w:rPr>
          <w:rFonts w:asciiTheme="minorHAnsi" w:eastAsiaTheme="minorHAnsi" w:hAnsiTheme="minorHAnsi" w:cstheme="minorBidi"/>
        </w:rPr>
        <w:t>O</w:t>
      </w:r>
      <w:r w:rsidR="00C13CC9">
        <w:rPr>
          <w:rFonts w:asciiTheme="minorHAnsi" w:eastAsiaTheme="minorHAnsi" w:hAnsiTheme="minorHAnsi" w:cstheme="minorBidi"/>
        </w:rPr>
        <w:t>B</w:t>
      </w:r>
      <w:r w:rsidR="009535E7" w:rsidRPr="00327C95">
        <w:rPr>
          <w:rFonts w:asciiTheme="minorHAnsi" w:eastAsiaTheme="minorHAnsi" w:hAnsiTheme="minorHAnsi" w:cstheme="minorBidi"/>
        </w:rPr>
        <w:t xml:space="preserve"> </w:t>
      </w:r>
      <w:r w:rsidR="00C13CC9">
        <w:rPr>
          <w:rFonts w:asciiTheme="minorHAnsi" w:eastAsiaTheme="minorHAnsi" w:hAnsiTheme="minorHAnsi" w:cstheme="minorHAnsi"/>
        </w:rPr>
        <w:t xml:space="preserve">ST-tops </w:t>
      </w:r>
      <w:r w:rsidR="009535E7">
        <w:rPr>
          <w:rFonts w:asciiTheme="minorHAnsi" w:eastAsiaTheme="minorHAnsi" w:hAnsiTheme="minorHAnsi" w:cstheme="minorBidi"/>
        </w:rPr>
        <w:t xml:space="preserve">for </w:t>
      </w:r>
      <w:proofErr w:type="spellStart"/>
      <w:r w:rsidR="009535E7">
        <w:rPr>
          <w:rFonts w:asciiTheme="minorHAnsi" w:eastAsiaTheme="minorHAnsi" w:hAnsiTheme="minorHAnsi" w:cstheme="minorBidi"/>
        </w:rPr>
        <w:t>hwds</w:t>
      </w:r>
      <w:proofErr w:type="spellEnd"/>
      <w:r w:rsidR="009535E7">
        <w:rPr>
          <w:rFonts w:asciiTheme="minorHAnsi" w:eastAsiaTheme="minorHAnsi" w:hAnsiTheme="minorHAnsi" w:cstheme="minorBidi"/>
        </w:rPr>
        <w:t xml:space="preserve"> and </w:t>
      </w:r>
      <w:proofErr w:type="spellStart"/>
      <w:r w:rsidR="009535E7">
        <w:rPr>
          <w:rFonts w:asciiTheme="minorHAnsi" w:eastAsiaTheme="minorHAnsi" w:hAnsiTheme="minorHAnsi" w:cstheme="minorBidi"/>
        </w:rPr>
        <w:t>swds</w:t>
      </w:r>
      <w:proofErr w:type="spellEnd"/>
      <w:r w:rsidR="009535E7">
        <w:rPr>
          <w:rFonts w:asciiTheme="minorHAnsi" w:eastAsiaTheme="minorHAnsi" w:hAnsiTheme="minorHAnsi" w:cstheme="minorBidi"/>
        </w:rPr>
        <w:t xml:space="preserve"> respectively, </w:t>
      </w:r>
      <w:r w:rsidR="00C13CC9">
        <w:rPr>
          <w:rFonts w:asciiTheme="minorHAnsi" w:eastAsiaTheme="minorHAnsi" w:hAnsiTheme="minorHAnsi" w:cstheme="minorBidi"/>
        </w:rPr>
        <w:t xml:space="preserve">any merchantable height to a given mid-stem diameter could </w:t>
      </w:r>
      <w:r w:rsidR="00EF148C">
        <w:rPr>
          <w:rFonts w:asciiTheme="minorHAnsi" w:eastAsiaTheme="minorHAnsi" w:hAnsiTheme="minorHAnsi" w:cstheme="minorBidi"/>
        </w:rPr>
        <w:t xml:space="preserve">also </w:t>
      </w:r>
      <w:r w:rsidR="00C13CC9">
        <w:rPr>
          <w:rFonts w:asciiTheme="minorHAnsi" w:eastAsiaTheme="minorHAnsi" w:hAnsiTheme="minorHAnsi" w:cstheme="minorBidi"/>
        </w:rPr>
        <w:t>be found</w:t>
      </w:r>
      <w:r w:rsidR="00AE6511">
        <w:rPr>
          <w:rFonts w:asciiTheme="minorHAnsi" w:eastAsiaTheme="minorHAnsi" w:hAnsiTheme="minorHAnsi" w:cstheme="minorBidi"/>
        </w:rPr>
        <w:t xml:space="preserve"> with the </w:t>
      </w:r>
      <w:proofErr w:type="spellStart"/>
      <w:r w:rsidR="00AE6511">
        <w:rPr>
          <w:rFonts w:asciiTheme="minorHAnsi" w:eastAsiaTheme="minorHAnsi" w:hAnsiTheme="minorHAnsi" w:cstheme="minorBidi"/>
        </w:rPr>
        <w:t>Smailian</w:t>
      </w:r>
      <w:proofErr w:type="spellEnd"/>
      <w:r w:rsidR="00AE6511">
        <w:rPr>
          <w:rFonts w:asciiTheme="minorHAnsi" w:eastAsiaTheme="minorHAnsi" w:hAnsiTheme="minorHAnsi" w:cstheme="minorBidi"/>
        </w:rPr>
        <w:t xml:space="preserve"> formula</w:t>
      </w:r>
      <w:r w:rsidR="00C13CC9">
        <w:rPr>
          <w:rFonts w:asciiTheme="minorHAnsi" w:eastAsiaTheme="minorHAnsi" w:hAnsiTheme="minorHAnsi" w:cstheme="minorBidi"/>
        </w:rPr>
        <w:t xml:space="preserve">.  This in turn enabled </w:t>
      </w:r>
      <w:r w:rsidR="00EF148C">
        <w:rPr>
          <w:rFonts w:asciiTheme="minorHAnsi" w:eastAsiaTheme="minorHAnsi" w:hAnsiTheme="minorHAnsi" w:cstheme="minorBidi"/>
        </w:rPr>
        <w:t xml:space="preserve">the </w:t>
      </w:r>
      <w:r w:rsidR="00EF148C">
        <w:rPr>
          <w:rFonts w:asciiTheme="minorHAnsi" w:eastAsiaTheme="minorHAnsi" w:hAnsiTheme="minorHAnsi" w:cstheme="minorBidi"/>
        </w:rPr>
        <w:lastRenderedPageBreak/>
        <w:t xml:space="preserve">calculation of </w:t>
      </w:r>
      <w:r w:rsidR="00C13CC9">
        <w:rPr>
          <w:rFonts w:asciiTheme="minorHAnsi" w:eastAsiaTheme="minorHAnsi" w:hAnsiTheme="minorHAnsi" w:cstheme="minorBidi"/>
        </w:rPr>
        <w:t>volumes to various DIBs</w:t>
      </w:r>
      <w:r w:rsidR="00E907B8">
        <w:rPr>
          <w:rFonts w:asciiTheme="minorHAnsi" w:eastAsiaTheme="minorHAnsi" w:hAnsiTheme="minorHAnsi" w:cstheme="minorBidi"/>
        </w:rPr>
        <w:t>, the primary determinant of merchantability,</w:t>
      </w:r>
      <w:r w:rsidR="00EF148C">
        <w:rPr>
          <w:rFonts w:asciiTheme="minorHAnsi" w:eastAsiaTheme="minorHAnsi" w:hAnsiTheme="minorHAnsi" w:cstheme="minorBidi"/>
        </w:rPr>
        <w:t xml:space="preserve"> </w:t>
      </w:r>
      <w:r w:rsidR="00C13CC9">
        <w:rPr>
          <w:rFonts w:asciiTheme="minorHAnsi" w:eastAsiaTheme="minorHAnsi" w:hAnsiTheme="minorHAnsi" w:cstheme="minorBidi"/>
        </w:rPr>
        <w:t xml:space="preserve">because the Clark </w:t>
      </w:r>
      <w:r w:rsidR="00E11FF6">
        <w:rPr>
          <w:rFonts w:asciiTheme="minorHAnsi" w:eastAsiaTheme="minorHAnsi" w:hAnsiTheme="minorHAnsi" w:cstheme="minorBidi"/>
        </w:rPr>
        <w:t xml:space="preserve">III </w:t>
      </w:r>
      <w:r w:rsidR="00C13CC9" w:rsidRPr="00C13CC9">
        <w:rPr>
          <w:rFonts w:asciiTheme="minorHAnsi" w:eastAsiaTheme="minorHAnsi" w:hAnsiTheme="minorHAnsi" w:cstheme="minorBidi"/>
        </w:rPr>
        <w:t>et al.</w:t>
      </w:r>
      <w:r w:rsidR="00C13CC9">
        <w:rPr>
          <w:rFonts w:asciiTheme="minorHAnsi" w:eastAsiaTheme="minorHAnsi" w:hAnsiTheme="minorHAnsi" w:cstheme="minorBidi"/>
        </w:rPr>
        <w:t xml:space="preserve"> (1991) volume equations have the capability of using </w:t>
      </w:r>
      <w:r w:rsidR="00E907B8">
        <w:rPr>
          <w:rFonts w:asciiTheme="minorHAnsi" w:eastAsiaTheme="minorHAnsi" w:hAnsiTheme="minorHAnsi" w:cstheme="minorBidi"/>
        </w:rPr>
        <w:t>a given mid-stem height</w:t>
      </w:r>
      <w:r w:rsidR="00C13CC9">
        <w:rPr>
          <w:rFonts w:asciiTheme="minorHAnsi" w:eastAsiaTheme="minorHAnsi" w:hAnsiTheme="minorHAnsi" w:cstheme="minorBidi"/>
        </w:rPr>
        <w:t xml:space="preserve"> </w:t>
      </w:r>
      <w:r w:rsidR="00E907B8">
        <w:rPr>
          <w:rFonts w:asciiTheme="minorHAnsi" w:eastAsiaTheme="minorHAnsi" w:hAnsiTheme="minorHAnsi" w:cstheme="minorBidi"/>
        </w:rPr>
        <w:t xml:space="preserve">to compute volume as long as a greater height to a standard top diameter is known.  An example of </w:t>
      </w:r>
      <w:r w:rsidR="00EF148C">
        <w:rPr>
          <w:rFonts w:asciiTheme="minorHAnsi" w:eastAsiaTheme="minorHAnsi" w:hAnsiTheme="minorHAnsi" w:cstheme="minorBidi"/>
        </w:rPr>
        <w:t xml:space="preserve">how </w:t>
      </w:r>
      <w:r w:rsidR="00E907B8">
        <w:rPr>
          <w:rFonts w:asciiTheme="minorHAnsi" w:eastAsiaTheme="minorHAnsi" w:hAnsiTheme="minorHAnsi" w:cstheme="minorBidi"/>
        </w:rPr>
        <w:t xml:space="preserve">this procedure </w:t>
      </w:r>
      <w:r w:rsidR="00EF148C">
        <w:rPr>
          <w:rFonts w:asciiTheme="minorHAnsi" w:eastAsiaTheme="minorHAnsi" w:hAnsiTheme="minorHAnsi" w:cstheme="minorBidi"/>
        </w:rPr>
        <w:t>was utilized to determine the height to the minimum 12</w:t>
      </w:r>
      <w:r w:rsidR="00EF148C">
        <w:rPr>
          <w:rFonts w:asciiTheme="minorHAnsi" w:eastAsiaTheme="minorHAnsi" w:hAnsiTheme="minorHAnsi" w:cstheme="minorHAnsi"/>
        </w:rPr>
        <w:t>″</w:t>
      </w:r>
      <w:r w:rsidR="00C3345C">
        <w:rPr>
          <w:rFonts w:asciiTheme="minorHAnsi" w:eastAsiaTheme="minorHAnsi" w:hAnsiTheme="minorHAnsi" w:cstheme="minorBidi"/>
        </w:rPr>
        <w:t xml:space="preserve"> scaling diameter for lumber </w:t>
      </w:r>
      <w:r w:rsidR="00E907B8">
        <w:rPr>
          <w:rFonts w:asciiTheme="minorHAnsi" w:eastAsiaTheme="minorHAnsi" w:hAnsiTheme="minorHAnsi" w:cstheme="minorBidi"/>
        </w:rPr>
        <w:t xml:space="preserve">is shown </w:t>
      </w:r>
      <w:r w:rsidR="00C3345C">
        <w:rPr>
          <w:rFonts w:asciiTheme="minorHAnsi" w:eastAsiaTheme="minorHAnsi" w:hAnsiTheme="minorHAnsi" w:cstheme="minorBidi"/>
        </w:rPr>
        <w:t>below</w:t>
      </w:r>
      <w:r w:rsidR="00E907B8">
        <w:rPr>
          <w:rFonts w:asciiTheme="minorHAnsi" w:eastAsiaTheme="minorHAnsi" w:hAnsiTheme="minorHAnsi" w:cstheme="minorBidi"/>
        </w:rPr>
        <w:t xml:space="preserve"> equation 3</w:t>
      </w:r>
      <w:r w:rsidR="00AE6511">
        <w:rPr>
          <w:rFonts w:asciiTheme="minorHAnsi" w:eastAsiaTheme="minorHAnsi" w:hAnsiTheme="minorHAnsi" w:cstheme="minorBidi"/>
        </w:rPr>
        <w:t xml:space="preserve"> </w:t>
      </w:r>
      <w:r w:rsidR="00C3345C">
        <w:rPr>
          <w:rFonts w:asciiTheme="minorHAnsi" w:eastAsiaTheme="minorHAnsi" w:hAnsiTheme="minorHAnsi" w:cstheme="minorBidi"/>
        </w:rPr>
        <w:t>(</w:t>
      </w:r>
      <w:r w:rsidR="00AE6511">
        <w:rPr>
          <w:rFonts w:asciiTheme="minorHAnsi" w:eastAsiaTheme="minorHAnsi" w:hAnsiTheme="minorHAnsi" w:cstheme="minorBidi"/>
        </w:rPr>
        <w:t>assuming an 8</w:t>
      </w:r>
      <w:r w:rsidR="00AE6511">
        <w:rPr>
          <w:rFonts w:asciiTheme="minorHAnsi" w:eastAsiaTheme="minorHAnsi" w:hAnsiTheme="minorHAnsi" w:cstheme="minorHAnsi"/>
        </w:rPr>
        <w:t>″</w:t>
      </w:r>
      <w:r w:rsidR="00AE6511">
        <w:rPr>
          <w:rFonts w:asciiTheme="minorHAnsi" w:eastAsiaTheme="minorHAnsi" w:hAnsiTheme="minorHAnsi" w:cstheme="minorBidi"/>
        </w:rPr>
        <w:t>DIB for a 9</w:t>
      </w:r>
      <w:r w:rsidR="00AE6511">
        <w:rPr>
          <w:rFonts w:asciiTheme="minorHAnsi" w:eastAsiaTheme="minorHAnsi" w:hAnsiTheme="minorHAnsi" w:cstheme="minorHAnsi"/>
        </w:rPr>
        <w:t>″</w:t>
      </w:r>
      <w:r w:rsidR="00AE6511">
        <w:rPr>
          <w:rFonts w:asciiTheme="minorHAnsi" w:eastAsiaTheme="minorHAnsi" w:hAnsiTheme="minorHAnsi" w:cstheme="minorBidi"/>
        </w:rPr>
        <w:t>DOB top</w:t>
      </w:r>
      <w:r w:rsidR="00C3345C">
        <w:rPr>
          <w:rFonts w:asciiTheme="minorHAnsi" w:eastAsiaTheme="minorHAnsi" w:hAnsiTheme="minorHAnsi" w:cstheme="minorBidi"/>
        </w:rPr>
        <w:t>)</w:t>
      </w:r>
      <w:r w:rsidR="00EF148C">
        <w:rPr>
          <w:rFonts w:asciiTheme="minorHAnsi" w:eastAsiaTheme="minorHAnsi" w:hAnsiTheme="minorHAnsi" w:cstheme="minorBidi"/>
        </w:rPr>
        <w:t>.</w:t>
      </w:r>
      <w:r w:rsidR="0040623C">
        <w:rPr>
          <w:rFonts w:asciiTheme="minorHAnsi" w:eastAsiaTheme="minorHAnsi" w:hAnsiTheme="minorHAnsi" w:cstheme="minorBidi"/>
        </w:rPr>
        <w:t xml:space="preserve">  However, there is a caveat </w:t>
      </w:r>
      <w:r w:rsidR="00761BBB">
        <w:rPr>
          <w:rFonts w:asciiTheme="minorHAnsi" w:eastAsiaTheme="minorHAnsi" w:hAnsiTheme="minorHAnsi" w:cstheme="minorBidi"/>
        </w:rPr>
        <w:t>to</w:t>
      </w:r>
      <w:r w:rsidR="0040623C">
        <w:rPr>
          <w:rFonts w:asciiTheme="minorHAnsi" w:eastAsiaTheme="minorHAnsi" w:hAnsiTheme="minorHAnsi" w:cstheme="minorBidi"/>
        </w:rPr>
        <w:t xml:space="preserve"> these </w:t>
      </w:r>
      <w:r w:rsidR="007651BB">
        <w:rPr>
          <w:rFonts w:asciiTheme="minorHAnsi" w:eastAsiaTheme="minorHAnsi" w:hAnsiTheme="minorHAnsi" w:cstheme="minorBidi"/>
        </w:rPr>
        <w:t>E</w:t>
      </w:r>
      <w:r w:rsidR="0040623C">
        <w:rPr>
          <w:rFonts w:asciiTheme="minorHAnsi" w:eastAsiaTheme="minorHAnsi" w:hAnsiTheme="minorHAnsi" w:cstheme="minorBidi"/>
        </w:rPr>
        <w:t xml:space="preserve">xcel volume equations in that all height inputs are </w:t>
      </w:r>
      <w:r w:rsidR="005A4641">
        <w:rPr>
          <w:rFonts w:asciiTheme="minorHAnsi" w:eastAsiaTheme="minorHAnsi" w:hAnsiTheme="minorHAnsi" w:cstheme="minorBidi"/>
        </w:rPr>
        <w:t xml:space="preserve">interpreted as heights </w:t>
      </w:r>
      <w:r w:rsidR="0040623C">
        <w:rPr>
          <w:rFonts w:asciiTheme="minorHAnsi" w:eastAsiaTheme="minorHAnsi" w:hAnsiTheme="minorHAnsi" w:cstheme="minorBidi"/>
        </w:rPr>
        <w:t>associated with DOB</w:t>
      </w:r>
      <w:r w:rsidR="000E47C2">
        <w:rPr>
          <w:rFonts w:asciiTheme="minorHAnsi" w:eastAsiaTheme="minorHAnsi" w:hAnsiTheme="minorHAnsi" w:cstheme="minorBidi"/>
        </w:rPr>
        <w:t xml:space="preserve"> </w:t>
      </w:r>
      <w:proofErr w:type="spellStart"/>
      <w:r w:rsidR="000E47C2">
        <w:rPr>
          <w:rFonts w:asciiTheme="minorHAnsi" w:eastAsiaTheme="minorHAnsi" w:hAnsiTheme="minorHAnsi" w:cstheme="minorBidi"/>
        </w:rPr>
        <w:t>measurements</w:t>
      </w:r>
      <w:r w:rsidR="00C3345C" w:rsidRPr="00C3345C">
        <w:rPr>
          <w:rFonts w:asciiTheme="minorHAnsi" w:eastAsiaTheme="minorHAnsi" w:hAnsiTheme="minorHAnsi" w:cstheme="minorBidi"/>
          <w:vertAlign w:val="superscript"/>
        </w:rPr>
        <w:t>xxvii</w:t>
      </w:r>
      <w:proofErr w:type="spellEnd"/>
      <w:r w:rsidR="000E47C2">
        <w:rPr>
          <w:rFonts w:asciiTheme="minorHAnsi" w:eastAsiaTheme="minorHAnsi" w:hAnsiTheme="minorHAnsi" w:cstheme="minorBidi"/>
        </w:rPr>
        <w:t xml:space="preserve">.  </w:t>
      </w:r>
      <w:r w:rsidR="0080253E">
        <w:rPr>
          <w:rFonts w:asciiTheme="minorHAnsi" w:eastAsiaTheme="minorHAnsi" w:hAnsiTheme="minorHAnsi" w:cstheme="minorBidi"/>
        </w:rPr>
        <w:t>As a consequence, volumes we</w:t>
      </w:r>
      <w:r w:rsidR="000E47C2">
        <w:rPr>
          <w:rFonts w:asciiTheme="minorHAnsi" w:eastAsiaTheme="minorHAnsi" w:hAnsiTheme="minorHAnsi" w:cstheme="minorBidi"/>
        </w:rPr>
        <w:t>re really estimated to a lower DIB than desired</w:t>
      </w:r>
      <w:r w:rsidR="0080253E">
        <w:rPr>
          <w:rFonts w:asciiTheme="minorHAnsi" w:eastAsiaTheme="minorHAnsi" w:hAnsiTheme="minorHAnsi" w:cstheme="minorBidi"/>
        </w:rPr>
        <w:t xml:space="preserve">, </w:t>
      </w:r>
      <w:r w:rsidR="00761BBB">
        <w:rPr>
          <w:rFonts w:asciiTheme="minorHAnsi" w:eastAsiaTheme="minorHAnsi" w:hAnsiTheme="minorHAnsi" w:cstheme="minorBidi"/>
        </w:rPr>
        <w:t>yielding</w:t>
      </w:r>
      <w:r w:rsidR="000E47C2">
        <w:rPr>
          <w:rFonts w:asciiTheme="minorHAnsi" w:eastAsiaTheme="minorHAnsi" w:hAnsiTheme="minorHAnsi" w:cstheme="minorBidi"/>
        </w:rPr>
        <w:t xml:space="preserve"> conservative volume estimates</w:t>
      </w:r>
      <w:r w:rsidR="0080253E">
        <w:rPr>
          <w:rFonts w:asciiTheme="minorHAnsi" w:eastAsiaTheme="minorHAnsi" w:hAnsiTheme="minorHAnsi" w:cstheme="minorBidi"/>
        </w:rPr>
        <w:t xml:space="preserve">. </w:t>
      </w:r>
    </w:p>
    <w:tbl>
      <w:tblPr>
        <w:tblpPr w:leftFromText="180" w:rightFromText="180" w:vertAnchor="text" w:horzAnchor="margin" w:tblpXSpec="right" w:tblpY="303"/>
        <w:tblW w:w="452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718"/>
        <w:gridCol w:w="1811"/>
      </w:tblGrid>
      <w:tr w:rsidR="00071D63" w:rsidRPr="00FC5474" w:rsidTr="00071D63">
        <w:trPr>
          <w:trHeight w:val="300"/>
        </w:trPr>
        <w:tc>
          <w:tcPr>
            <w:tcW w:w="4529" w:type="dxa"/>
            <w:gridSpan w:val="2"/>
            <w:shd w:val="clear" w:color="auto" w:fill="4F81BD"/>
            <w:noWrap/>
          </w:tcPr>
          <w:p w:rsidR="00071D63" w:rsidRPr="0047215F" w:rsidRDefault="00071D63" w:rsidP="00071D63">
            <w:pPr>
              <w:spacing w:after="0" w:line="240" w:lineRule="auto"/>
              <w:rPr>
                <w:rFonts w:asciiTheme="minorHAnsi" w:eastAsia="Times New Roman" w:hAnsiTheme="minorHAnsi" w:cstheme="minorHAnsi"/>
                <w:b/>
                <w:bCs/>
                <w:color w:val="FFFFFF"/>
                <w:u w:val="single"/>
              </w:rPr>
            </w:pPr>
            <w:r w:rsidRPr="0047215F">
              <w:rPr>
                <w:rFonts w:asciiTheme="minorHAnsi" w:eastAsia="Times New Roman" w:hAnsiTheme="minorHAnsi" w:cstheme="minorHAnsi"/>
                <w:b/>
                <w:bCs/>
                <w:color w:val="FFFFFF"/>
                <w:u w:val="single"/>
              </w:rPr>
              <w:t xml:space="preserve">Table </w:t>
            </w:r>
            <w:r>
              <w:rPr>
                <w:rFonts w:asciiTheme="minorHAnsi" w:eastAsia="Times New Roman" w:hAnsiTheme="minorHAnsi" w:cstheme="minorHAnsi"/>
                <w:b/>
                <w:bCs/>
                <w:color w:val="FFFFFF"/>
                <w:u w:val="single"/>
              </w:rPr>
              <w:t>4</w:t>
            </w:r>
            <w:r w:rsidRPr="0047215F">
              <w:rPr>
                <w:rFonts w:asciiTheme="minorHAnsi" w:eastAsia="Times New Roman" w:hAnsiTheme="minorHAnsi" w:cstheme="minorHAnsi"/>
                <w:b/>
                <w:bCs/>
                <w:color w:val="FFFFFF"/>
                <w:u w:val="single"/>
              </w:rPr>
              <w:t>. Reversal Risk  Assumptions</w:t>
            </w:r>
          </w:p>
        </w:tc>
      </w:tr>
      <w:tr w:rsidR="00071D63" w:rsidRPr="00FC5474" w:rsidTr="00071D63">
        <w:trPr>
          <w:trHeight w:val="300"/>
        </w:trPr>
        <w:tc>
          <w:tcPr>
            <w:tcW w:w="2718" w:type="dxa"/>
            <w:shd w:val="clear" w:color="auto" w:fill="4F81BD"/>
            <w:noWrap/>
            <w:hideMark/>
          </w:tcPr>
          <w:p w:rsidR="00071D63" w:rsidRPr="0047215F" w:rsidRDefault="00071D63" w:rsidP="00071D63">
            <w:pPr>
              <w:spacing w:after="0" w:line="240" w:lineRule="auto"/>
              <w:rPr>
                <w:rFonts w:asciiTheme="minorHAnsi" w:eastAsia="Times New Roman" w:hAnsiTheme="minorHAnsi" w:cstheme="minorHAnsi"/>
                <w:bCs/>
                <w:color w:val="FFFFFF"/>
                <w:sz w:val="20"/>
                <w:szCs w:val="20"/>
              </w:rPr>
            </w:pPr>
            <w:r w:rsidRPr="0047215F">
              <w:rPr>
                <w:rFonts w:asciiTheme="minorHAnsi" w:eastAsia="Times New Roman" w:hAnsiTheme="minorHAnsi" w:cstheme="minorHAnsi"/>
                <w:bCs/>
                <w:color w:val="FFFFFF"/>
                <w:sz w:val="20"/>
                <w:szCs w:val="20"/>
              </w:rPr>
              <w:t>Risk Category</w:t>
            </w:r>
          </w:p>
        </w:tc>
        <w:tc>
          <w:tcPr>
            <w:tcW w:w="1811" w:type="dxa"/>
            <w:shd w:val="clear" w:color="auto" w:fill="4F81BD"/>
            <w:noWrap/>
            <w:hideMark/>
          </w:tcPr>
          <w:p w:rsidR="00071D63" w:rsidRPr="0047215F" w:rsidRDefault="00071D63" w:rsidP="00071D63">
            <w:pPr>
              <w:spacing w:after="0" w:line="240" w:lineRule="auto"/>
              <w:jc w:val="center"/>
              <w:rPr>
                <w:rFonts w:asciiTheme="minorHAnsi" w:eastAsia="Times New Roman" w:hAnsiTheme="minorHAnsi" w:cstheme="minorHAnsi"/>
                <w:bCs/>
                <w:color w:val="FFFFFF"/>
                <w:sz w:val="20"/>
                <w:szCs w:val="20"/>
              </w:rPr>
            </w:pPr>
            <w:r w:rsidRPr="0047215F">
              <w:rPr>
                <w:rFonts w:asciiTheme="minorHAnsi" w:eastAsia="Times New Roman" w:hAnsiTheme="minorHAnsi" w:cstheme="minorHAnsi"/>
                <w:bCs/>
                <w:color w:val="FFFFFF"/>
                <w:sz w:val="20"/>
                <w:szCs w:val="20"/>
              </w:rPr>
              <w:t>Risk Factor</w:t>
            </w:r>
          </w:p>
        </w:tc>
      </w:tr>
      <w:tr w:rsidR="00071D63" w:rsidRPr="00FC5474" w:rsidTr="00071D63">
        <w:trPr>
          <w:trHeight w:val="300"/>
        </w:trPr>
        <w:tc>
          <w:tcPr>
            <w:tcW w:w="2718" w:type="dxa"/>
            <w:tcBorders>
              <w:top w:val="single" w:sz="8" w:space="0" w:color="4F81BD"/>
              <w:left w:val="single" w:sz="8" w:space="0" w:color="4F81BD"/>
              <w:bottom w:val="single" w:sz="8" w:space="0" w:color="4F81BD"/>
            </w:tcBorders>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Financial Failure</w:t>
            </w:r>
          </w:p>
        </w:tc>
        <w:tc>
          <w:tcPr>
            <w:tcW w:w="1811" w:type="dxa"/>
            <w:tcBorders>
              <w:top w:val="single" w:sz="8" w:space="0" w:color="4F81BD"/>
              <w:bottom w:val="single" w:sz="8" w:space="0" w:color="4F81BD"/>
              <w:right w:val="single" w:sz="8" w:space="0" w:color="4F81BD"/>
            </w:tcBorders>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1%</w:t>
            </w:r>
          </w:p>
        </w:tc>
      </w:tr>
      <w:tr w:rsidR="00071D63" w:rsidRPr="00FC5474" w:rsidTr="00071D63">
        <w:trPr>
          <w:trHeight w:val="300"/>
        </w:trPr>
        <w:tc>
          <w:tcPr>
            <w:tcW w:w="2718" w:type="dxa"/>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Illegal Forest Biomass Removal</w:t>
            </w:r>
          </w:p>
        </w:tc>
        <w:tc>
          <w:tcPr>
            <w:tcW w:w="1811" w:type="dxa"/>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0%</w:t>
            </w:r>
          </w:p>
        </w:tc>
      </w:tr>
      <w:tr w:rsidR="00071D63" w:rsidRPr="00FC5474" w:rsidTr="00071D63">
        <w:trPr>
          <w:trHeight w:val="300"/>
        </w:trPr>
        <w:tc>
          <w:tcPr>
            <w:tcW w:w="2718" w:type="dxa"/>
            <w:tcBorders>
              <w:top w:val="single" w:sz="8" w:space="0" w:color="4F81BD"/>
              <w:left w:val="single" w:sz="8" w:space="0" w:color="4F81BD"/>
              <w:bottom w:val="single" w:sz="8" w:space="0" w:color="4F81BD"/>
            </w:tcBorders>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Conversion</w:t>
            </w:r>
          </w:p>
        </w:tc>
        <w:tc>
          <w:tcPr>
            <w:tcW w:w="1811" w:type="dxa"/>
            <w:tcBorders>
              <w:top w:val="single" w:sz="8" w:space="0" w:color="4F81BD"/>
              <w:bottom w:val="single" w:sz="8" w:space="0" w:color="4F81BD"/>
              <w:right w:val="single" w:sz="8" w:space="0" w:color="4F81BD"/>
            </w:tcBorders>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0%</w:t>
            </w:r>
          </w:p>
        </w:tc>
      </w:tr>
      <w:tr w:rsidR="00071D63" w:rsidRPr="00FC5474" w:rsidTr="00071D63">
        <w:trPr>
          <w:trHeight w:val="300"/>
        </w:trPr>
        <w:tc>
          <w:tcPr>
            <w:tcW w:w="2718" w:type="dxa"/>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Over-Harvesting</w:t>
            </w:r>
          </w:p>
        </w:tc>
        <w:tc>
          <w:tcPr>
            <w:tcW w:w="1811" w:type="dxa"/>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2%</w:t>
            </w:r>
          </w:p>
        </w:tc>
      </w:tr>
      <w:tr w:rsidR="00071D63" w:rsidRPr="00FC5474" w:rsidTr="00071D63">
        <w:trPr>
          <w:trHeight w:val="300"/>
        </w:trPr>
        <w:tc>
          <w:tcPr>
            <w:tcW w:w="2718" w:type="dxa"/>
            <w:tcBorders>
              <w:top w:val="single" w:sz="8" w:space="0" w:color="4F81BD"/>
              <w:left w:val="single" w:sz="8" w:space="0" w:color="4F81BD"/>
              <w:bottom w:val="single" w:sz="8" w:space="0" w:color="4F81BD"/>
            </w:tcBorders>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Social</w:t>
            </w:r>
          </w:p>
        </w:tc>
        <w:tc>
          <w:tcPr>
            <w:tcW w:w="1811" w:type="dxa"/>
            <w:tcBorders>
              <w:top w:val="single" w:sz="8" w:space="0" w:color="4F81BD"/>
              <w:bottom w:val="single" w:sz="8" w:space="0" w:color="4F81BD"/>
              <w:right w:val="single" w:sz="8" w:space="0" w:color="4F81BD"/>
            </w:tcBorders>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2%</w:t>
            </w:r>
          </w:p>
        </w:tc>
      </w:tr>
      <w:tr w:rsidR="00071D63" w:rsidRPr="00FC5474" w:rsidTr="00071D63">
        <w:trPr>
          <w:trHeight w:val="300"/>
        </w:trPr>
        <w:tc>
          <w:tcPr>
            <w:tcW w:w="2718" w:type="dxa"/>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Wildfire</w:t>
            </w:r>
          </w:p>
        </w:tc>
        <w:tc>
          <w:tcPr>
            <w:tcW w:w="1811" w:type="dxa"/>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4%</w:t>
            </w:r>
          </w:p>
        </w:tc>
      </w:tr>
      <w:tr w:rsidR="00071D63" w:rsidRPr="00FC5474" w:rsidTr="00071D63">
        <w:trPr>
          <w:trHeight w:val="300"/>
        </w:trPr>
        <w:tc>
          <w:tcPr>
            <w:tcW w:w="2718" w:type="dxa"/>
            <w:tcBorders>
              <w:top w:val="single" w:sz="8" w:space="0" w:color="4F81BD"/>
              <w:left w:val="single" w:sz="8" w:space="0" w:color="4F81BD"/>
              <w:bottom w:val="single" w:sz="8" w:space="0" w:color="4F81BD"/>
            </w:tcBorders>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Disease or Insect Outbreak</w:t>
            </w:r>
          </w:p>
        </w:tc>
        <w:tc>
          <w:tcPr>
            <w:tcW w:w="1811" w:type="dxa"/>
            <w:tcBorders>
              <w:top w:val="single" w:sz="8" w:space="0" w:color="4F81BD"/>
              <w:bottom w:val="single" w:sz="8" w:space="0" w:color="4F81BD"/>
              <w:right w:val="single" w:sz="8" w:space="0" w:color="4F81BD"/>
            </w:tcBorders>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3%</w:t>
            </w:r>
          </w:p>
        </w:tc>
      </w:tr>
      <w:tr w:rsidR="00071D63" w:rsidRPr="00FC5474" w:rsidTr="00071D63">
        <w:trPr>
          <w:trHeight w:val="300"/>
        </w:trPr>
        <w:tc>
          <w:tcPr>
            <w:tcW w:w="2718" w:type="dxa"/>
            <w:tcBorders>
              <w:bottom w:val="double" w:sz="4" w:space="0" w:color="4F81BD"/>
            </w:tcBorders>
            <w:noWrap/>
            <w:hideMark/>
          </w:tcPr>
          <w:p w:rsidR="00071D63" w:rsidRPr="0047215F" w:rsidRDefault="00071D63" w:rsidP="00071D63">
            <w:pPr>
              <w:spacing w:after="0" w:line="240" w:lineRule="auto"/>
              <w:rPr>
                <w:rFonts w:asciiTheme="minorHAnsi" w:eastAsia="Times New Roman" w:hAnsiTheme="minorHAnsi" w:cstheme="minorHAnsi"/>
                <w:bCs/>
                <w:sz w:val="20"/>
                <w:szCs w:val="20"/>
              </w:rPr>
            </w:pPr>
            <w:r w:rsidRPr="0047215F">
              <w:rPr>
                <w:rFonts w:asciiTheme="minorHAnsi" w:eastAsia="Times New Roman" w:hAnsiTheme="minorHAnsi" w:cstheme="minorHAnsi"/>
                <w:bCs/>
                <w:sz w:val="20"/>
                <w:szCs w:val="20"/>
              </w:rPr>
              <w:t>Other Catastrophic Events</w:t>
            </w:r>
          </w:p>
        </w:tc>
        <w:tc>
          <w:tcPr>
            <w:tcW w:w="1811" w:type="dxa"/>
            <w:tcBorders>
              <w:bottom w:val="double" w:sz="4" w:space="0" w:color="4F81BD"/>
            </w:tcBorders>
            <w:noWrap/>
            <w:hideMark/>
          </w:tcPr>
          <w:p w:rsidR="00071D63" w:rsidRPr="0047215F" w:rsidRDefault="00071D63" w:rsidP="00071D63">
            <w:pPr>
              <w:spacing w:after="0" w:line="240" w:lineRule="auto"/>
              <w:jc w:val="center"/>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3%</w:t>
            </w:r>
          </w:p>
        </w:tc>
      </w:tr>
      <w:tr w:rsidR="00071D63" w:rsidRPr="00FC5474" w:rsidTr="00071D63">
        <w:trPr>
          <w:trHeight w:val="300"/>
        </w:trPr>
        <w:tc>
          <w:tcPr>
            <w:tcW w:w="2718" w:type="dxa"/>
            <w:tcBorders>
              <w:top w:val="double" w:sz="4" w:space="0" w:color="4F81BD"/>
              <w:left w:val="single" w:sz="8" w:space="0" w:color="4F81BD"/>
              <w:bottom w:val="single" w:sz="8" w:space="0" w:color="4F81BD"/>
            </w:tcBorders>
            <w:noWrap/>
            <w:hideMark/>
          </w:tcPr>
          <w:p w:rsidR="00071D63" w:rsidRPr="0047215F" w:rsidRDefault="00071D63" w:rsidP="00071D63">
            <w:pPr>
              <w:spacing w:after="0" w:line="240" w:lineRule="auto"/>
              <w:rPr>
                <w:rFonts w:asciiTheme="minorHAnsi" w:eastAsia="Times New Roman" w:hAnsiTheme="minorHAnsi" w:cstheme="minorHAnsi"/>
                <w:b/>
                <w:bCs/>
                <w:sz w:val="20"/>
                <w:szCs w:val="20"/>
              </w:rPr>
            </w:pPr>
            <w:r w:rsidRPr="0047215F">
              <w:rPr>
                <w:rFonts w:asciiTheme="minorHAnsi" w:eastAsia="Times New Roman" w:hAnsiTheme="minorHAnsi" w:cstheme="minorHAnsi"/>
                <w:b/>
                <w:bCs/>
                <w:sz w:val="20"/>
                <w:szCs w:val="20"/>
              </w:rPr>
              <w:t>Reversal Risk Rating</w:t>
            </w:r>
          </w:p>
        </w:tc>
        <w:tc>
          <w:tcPr>
            <w:tcW w:w="1811" w:type="dxa"/>
            <w:tcBorders>
              <w:top w:val="double" w:sz="4" w:space="0" w:color="4F81BD"/>
              <w:bottom w:val="single" w:sz="8" w:space="0" w:color="4F81BD"/>
              <w:right w:val="single" w:sz="8" w:space="0" w:color="4F81BD"/>
            </w:tcBorders>
            <w:noWrap/>
            <w:hideMark/>
          </w:tcPr>
          <w:p w:rsidR="00071D63" w:rsidRPr="0047215F" w:rsidRDefault="00071D63" w:rsidP="00071D63">
            <w:pPr>
              <w:spacing w:after="0" w:line="240" w:lineRule="auto"/>
              <w:jc w:val="center"/>
              <w:rPr>
                <w:rFonts w:asciiTheme="minorHAnsi" w:eastAsia="Times New Roman" w:hAnsiTheme="minorHAnsi" w:cstheme="minorHAnsi"/>
                <w:b/>
                <w:sz w:val="20"/>
                <w:szCs w:val="20"/>
              </w:rPr>
            </w:pPr>
            <w:r w:rsidRPr="0047215F">
              <w:rPr>
                <w:rFonts w:asciiTheme="minorHAnsi" w:eastAsia="Times New Roman" w:hAnsiTheme="minorHAnsi" w:cstheme="minorHAnsi"/>
                <w:b/>
                <w:sz w:val="20"/>
                <w:szCs w:val="20"/>
              </w:rPr>
              <w:t>1</w:t>
            </w:r>
            <w:r>
              <w:rPr>
                <w:rFonts w:asciiTheme="minorHAnsi" w:eastAsia="Times New Roman" w:hAnsiTheme="minorHAnsi" w:cstheme="minorHAnsi"/>
                <w:b/>
                <w:sz w:val="20"/>
                <w:szCs w:val="20"/>
              </w:rPr>
              <w:t>5</w:t>
            </w:r>
            <w:r w:rsidRPr="0047215F">
              <w:rPr>
                <w:rFonts w:asciiTheme="minorHAnsi" w:eastAsia="Times New Roman" w:hAnsiTheme="minorHAnsi" w:cstheme="minorHAnsi"/>
                <w:b/>
                <w:sz w:val="20"/>
                <w:szCs w:val="20"/>
              </w:rPr>
              <w:t>%</w:t>
            </w:r>
          </w:p>
        </w:tc>
      </w:tr>
    </w:tbl>
    <w:p w:rsidR="006C0105" w:rsidRDefault="00DB2278" w:rsidP="00071D63">
      <w:pPr>
        <w:spacing w:line="480" w:lineRule="auto"/>
        <w:ind w:firstLine="720"/>
        <w:rPr>
          <w:rFonts w:asciiTheme="minorHAnsi" w:hAnsiTheme="minorHAnsi" w:cstheme="minorHAnsi"/>
        </w:rPr>
      </w:pPr>
      <w:r>
        <w:t xml:space="preserve">A reversal </w:t>
      </w:r>
      <w:proofErr w:type="gramStart"/>
      <w:r>
        <w:t>occurs</w:t>
      </w:r>
      <w:proofErr w:type="gramEnd"/>
      <w:r>
        <w:t xml:space="preserve"> any time</w:t>
      </w:r>
      <w:r w:rsidR="009D1931">
        <w:t xml:space="preserve"> project</w:t>
      </w:r>
      <w:r>
        <w:t xml:space="preserve"> </w:t>
      </w:r>
      <w:r w:rsidRPr="009D1931">
        <w:t xml:space="preserve">carbon stocks </w:t>
      </w:r>
      <w:r w:rsidR="009D1931">
        <w:t>decline</w:t>
      </w:r>
      <w:r>
        <w:t xml:space="preserve">.  </w:t>
      </w:r>
      <w:r w:rsidRPr="00B7478A">
        <w:rPr>
          <w:rFonts w:asciiTheme="minorHAnsi" w:hAnsiTheme="minorHAnsi" w:cstheme="minorHAnsi"/>
        </w:rPr>
        <w:t xml:space="preserve">In order to minimize the reversal risk rating and the corresponding reduction in creditable carbon, it was assumed that a conservation easement was instituted along with the </w:t>
      </w:r>
      <w:r>
        <w:rPr>
          <w:rFonts w:asciiTheme="minorHAnsi" w:hAnsiTheme="minorHAnsi" w:cstheme="minorHAnsi"/>
        </w:rPr>
        <w:t xml:space="preserve">requisite </w:t>
      </w:r>
      <w:r w:rsidRPr="00B7478A">
        <w:rPr>
          <w:rFonts w:asciiTheme="minorHAnsi" w:hAnsiTheme="minorHAnsi" w:cstheme="minorHAnsi"/>
        </w:rPr>
        <w:t>100 year pro</w:t>
      </w:r>
      <w:r>
        <w:rPr>
          <w:rFonts w:asciiTheme="minorHAnsi" w:hAnsiTheme="minorHAnsi" w:cstheme="minorHAnsi"/>
        </w:rPr>
        <w:t xml:space="preserve">ject implementation agreement; there was no compensation assumed for the easement. </w:t>
      </w:r>
      <w:r w:rsidRPr="00B7478A">
        <w:rPr>
          <w:rFonts w:asciiTheme="minorHAnsi" w:hAnsiTheme="minorHAnsi" w:cstheme="minorHAnsi"/>
        </w:rPr>
        <w:t xml:space="preserve"> Although owners are able to reduce the risk profile of their project through fuel treatments and other relevant activities, the same risk rating </w:t>
      </w:r>
      <w:r>
        <w:rPr>
          <w:rFonts w:asciiTheme="minorHAnsi" w:hAnsiTheme="minorHAnsi" w:cstheme="minorHAnsi"/>
        </w:rPr>
        <w:t xml:space="preserve">shown in table </w:t>
      </w:r>
      <w:r w:rsidR="006C0105">
        <w:rPr>
          <w:rFonts w:asciiTheme="minorHAnsi" w:hAnsiTheme="minorHAnsi" w:cstheme="minorHAnsi"/>
        </w:rPr>
        <w:t>4</w:t>
      </w:r>
      <w:r>
        <w:rPr>
          <w:rFonts w:asciiTheme="minorHAnsi" w:hAnsiTheme="minorHAnsi" w:cstheme="minorHAnsi"/>
        </w:rPr>
        <w:t xml:space="preserve"> </w:t>
      </w:r>
      <w:r w:rsidRPr="00B7478A">
        <w:rPr>
          <w:rFonts w:asciiTheme="minorHAnsi" w:hAnsiTheme="minorHAnsi" w:cstheme="minorHAnsi"/>
        </w:rPr>
        <w:t xml:space="preserve">was applied </w:t>
      </w:r>
      <w:r>
        <w:rPr>
          <w:rFonts w:asciiTheme="minorHAnsi" w:hAnsiTheme="minorHAnsi" w:cstheme="minorHAnsi"/>
        </w:rPr>
        <w:t>in every</w:t>
      </w:r>
      <w:r w:rsidRPr="00B7478A">
        <w:rPr>
          <w:rFonts w:asciiTheme="minorHAnsi" w:hAnsiTheme="minorHAnsi" w:cstheme="minorHAnsi"/>
        </w:rPr>
        <w:t xml:space="preserve"> verification</w:t>
      </w:r>
      <w:r>
        <w:rPr>
          <w:rFonts w:asciiTheme="minorHAnsi" w:hAnsiTheme="minorHAnsi" w:cstheme="minorHAnsi"/>
        </w:rPr>
        <w:t xml:space="preserve"> year.  Thus, relative creditable carbon contributions to the forest carbon buffer account were constant over time. </w:t>
      </w:r>
    </w:p>
    <w:p w:rsidR="00A90D39" w:rsidRDefault="006C0105" w:rsidP="003678BB">
      <w:pPr>
        <w:spacing w:line="480" w:lineRule="auto"/>
        <w:ind w:firstLine="720"/>
        <w:rPr>
          <w:rFonts w:asciiTheme="minorHAnsi" w:hAnsiTheme="minorHAnsi" w:cstheme="minorHAnsi"/>
        </w:rPr>
      </w:pPr>
      <w:r>
        <w:t>It was also assumed that the aggregate associated with the project included 24 or more other projects In order to assume away the moderate level of uncertainty (8 percent) in carbon stocks and reduce the exorbitant costs of monitoring and verification in accordance with CAR aggregation rules.  Specifically, this assumption legitimized the monitoring-cost minimizing assumption that the costs of each site-verification following the initial ver</w:t>
      </w:r>
      <w:r w:rsidRPr="00B64C8B">
        <w:t>ification w</w:t>
      </w:r>
      <w:r>
        <w:t>ere</w:t>
      </w:r>
      <w:r w:rsidRPr="00B64C8B">
        <w:t xml:space="preserve"> shared with </w:t>
      </w:r>
      <w:r>
        <w:t>an</w:t>
      </w:r>
      <w:r w:rsidRPr="00B64C8B">
        <w:t>other project in the aggregate</w:t>
      </w:r>
      <w:r>
        <w:t xml:space="preserve">.  Applying the CAR aggregation rules to a 25 project aggregate also meant that the cost of desk-audits would be shared by 5 projects at a time.  Therefore, </w:t>
      </w:r>
      <w:r>
        <w:lastRenderedPageBreak/>
        <w:t xml:space="preserve">the $10,000 initial verification cost was assumed to be brought down to $6,000 for repeat site-verifications, while desk-verifications were assumed to cost $2,000.  </w:t>
      </w:r>
      <w:r w:rsidRPr="00B64C8B">
        <w:t>Because the monitoring schedule of a 25 member aggregate</w:t>
      </w:r>
      <w:r w:rsidRPr="00242FAF">
        <w:t xml:space="preserve"> would be highly dynamic, desk-audits were not simulated randomly </w:t>
      </w:r>
      <w:r>
        <w:t>(</w:t>
      </w:r>
      <w:r w:rsidRPr="00242FAF">
        <w:t>as would happen in reality</w:t>
      </w:r>
      <w:r>
        <w:t>)</w:t>
      </w:r>
      <w:r w:rsidRPr="00242FAF">
        <w:t xml:space="preserve"> but were assumed to occur at the request of the owner </w:t>
      </w:r>
      <w:r w:rsidR="0023306C">
        <w:t>up to</w:t>
      </w:r>
      <w:r w:rsidRPr="00242FAF">
        <w:t xml:space="preserve"> 5 year intervals.</w:t>
      </w:r>
      <w:r>
        <w:t xml:space="preserve"> </w:t>
      </w:r>
      <w:r w:rsidRPr="00202BB2">
        <w:rPr>
          <w:rFonts w:asciiTheme="minorHAnsi" w:hAnsiTheme="minorHAnsi" w:cstheme="minorHAnsi"/>
        </w:rPr>
        <w:t xml:space="preserve"> </w:t>
      </w:r>
      <w:r w:rsidR="003B70D2">
        <w:rPr>
          <w:rFonts w:asciiTheme="minorHAnsi" w:hAnsiTheme="minorHAnsi" w:cstheme="minorHAnsi"/>
        </w:rPr>
        <w:t>However these costs were incurred more often during most of the projection</w:t>
      </w:r>
      <w:r>
        <w:rPr>
          <w:rFonts w:asciiTheme="minorHAnsi" w:hAnsiTheme="minorHAnsi" w:cstheme="minorHAnsi"/>
        </w:rPr>
        <w:t xml:space="preserve"> owing to the frequency of reversals. </w:t>
      </w:r>
      <w:r w:rsidR="00AE2027">
        <w:rPr>
          <w:rFonts w:asciiTheme="minorHAnsi" w:hAnsiTheme="minorHAnsi" w:cstheme="minorHAnsi"/>
        </w:rPr>
        <w:t xml:space="preserve"> </w:t>
      </w:r>
    </w:p>
    <w:tbl>
      <w:tblPr>
        <w:tblStyle w:val="LightList-Accent1"/>
        <w:tblpPr w:leftFromText="180" w:rightFromText="180" w:vertAnchor="text" w:horzAnchor="margin" w:tblpXSpec="right" w:tblpY="1361"/>
        <w:tblW w:w="6592" w:type="dxa"/>
        <w:tblLook w:val="04A0" w:firstRow="1" w:lastRow="0" w:firstColumn="1" w:lastColumn="0" w:noHBand="0" w:noVBand="1"/>
      </w:tblPr>
      <w:tblGrid>
        <w:gridCol w:w="2448"/>
        <w:gridCol w:w="1710"/>
        <w:gridCol w:w="2434"/>
      </w:tblGrid>
      <w:tr w:rsidR="00D11167" w:rsidRPr="00FA725D" w:rsidTr="00D111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gridSpan w:val="2"/>
            <w:tcBorders>
              <w:top w:val="single" w:sz="8" w:space="0" w:color="4F81BD"/>
              <w:bottom w:val="single" w:sz="8" w:space="0" w:color="4F81BD"/>
              <w:right w:val="single" w:sz="8" w:space="0" w:color="4F81BD"/>
            </w:tcBorders>
            <w:noWrap/>
          </w:tcPr>
          <w:p w:rsidR="00D11167" w:rsidRPr="008F1E2A" w:rsidRDefault="00D11167" w:rsidP="00D11167">
            <w:pPr>
              <w:spacing w:after="0" w:line="240" w:lineRule="auto"/>
              <w:rPr>
                <w:rFonts w:asciiTheme="minorHAnsi" w:eastAsia="Times New Roman" w:hAnsiTheme="minorHAnsi" w:cstheme="minorHAnsi"/>
                <w:bCs w:val="0"/>
                <w:u w:val="single"/>
              </w:rPr>
            </w:pPr>
            <w:r w:rsidRPr="008F1E2A">
              <w:rPr>
                <w:rFonts w:asciiTheme="minorHAnsi" w:eastAsia="Times New Roman" w:hAnsiTheme="minorHAnsi" w:cstheme="minorHAnsi"/>
                <w:bCs w:val="0"/>
                <w:u w:val="single"/>
              </w:rPr>
              <w:t xml:space="preserve">Table </w:t>
            </w:r>
            <w:r>
              <w:rPr>
                <w:rFonts w:asciiTheme="minorHAnsi" w:eastAsia="Times New Roman" w:hAnsiTheme="minorHAnsi" w:cstheme="minorHAnsi"/>
                <w:bCs w:val="0"/>
                <w:u w:val="single"/>
              </w:rPr>
              <w:t>5</w:t>
            </w:r>
            <w:r w:rsidRPr="008F1E2A">
              <w:rPr>
                <w:rFonts w:asciiTheme="minorHAnsi" w:eastAsia="Times New Roman" w:hAnsiTheme="minorHAnsi" w:cstheme="minorHAnsi"/>
                <w:bCs w:val="0"/>
                <w:u w:val="single"/>
              </w:rPr>
              <w:t>. IFM Project Cost  Assumptions</w:t>
            </w:r>
          </w:p>
        </w:tc>
        <w:tc>
          <w:tcPr>
            <w:tcW w:w="2434" w:type="dxa"/>
            <w:tcBorders>
              <w:top w:val="single" w:sz="8" w:space="0" w:color="4F81BD"/>
              <w:left w:val="single" w:sz="8" w:space="0" w:color="4F81BD"/>
              <w:bottom w:val="single" w:sz="8" w:space="0" w:color="4F81BD"/>
            </w:tcBorders>
          </w:tcPr>
          <w:p w:rsidR="00D11167" w:rsidRPr="0047215F" w:rsidRDefault="00D11167" w:rsidP="00D11167">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u w:val="single"/>
              </w:rPr>
            </w:pPr>
          </w:p>
        </w:tc>
      </w:tr>
      <w:tr w:rsidR="00D11167" w:rsidRPr="00FA725D" w:rsidTr="00D11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shd w:val="clear" w:color="auto" w:fill="4F81BD" w:themeFill="accent1"/>
            <w:noWrap/>
            <w:hideMark/>
          </w:tcPr>
          <w:p w:rsidR="00D11167" w:rsidRPr="008F1E2A" w:rsidRDefault="00D11167" w:rsidP="00D11167">
            <w:pPr>
              <w:spacing w:after="0" w:line="240" w:lineRule="auto"/>
              <w:jc w:val="center"/>
              <w:rPr>
                <w:rFonts w:asciiTheme="minorHAnsi" w:eastAsia="Times New Roman" w:hAnsiTheme="minorHAnsi" w:cstheme="minorHAnsi"/>
                <w:b w:val="0"/>
                <w:bCs w:val="0"/>
                <w:color w:val="FFFFFF"/>
                <w:sz w:val="20"/>
                <w:szCs w:val="20"/>
              </w:rPr>
            </w:pPr>
            <w:r w:rsidRPr="008F1E2A">
              <w:rPr>
                <w:rFonts w:asciiTheme="minorHAnsi" w:eastAsia="Times New Roman" w:hAnsiTheme="minorHAnsi" w:cstheme="minorHAnsi"/>
                <w:b w:val="0"/>
                <w:bCs w:val="0"/>
                <w:color w:val="FFFFFF"/>
                <w:sz w:val="20"/>
                <w:szCs w:val="20"/>
              </w:rPr>
              <w:t>Implementation  Activity</w:t>
            </w:r>
          </w:p>
        </w:tc>
        <w:tc>
          <w:tcPr>
            <w:tcW w:w="1710" w:type="dxa"/>
            <w:shd w:val="clear" w:color="auto" w:fill="4F81BD" w:themeFill="accent1"/>
            <w:noWrap/>
            <w:hideMark/>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sz w:val="20"/>
                <w:szCs w:val="20"/>
              </w:rPr>
            </w:pPr>
            <w:r w:rsidRPr="0047215F">
              <w:rPr>
                <w:rFonts w:asciiTheme="minorHAnsi" w:eastAsia="Times New Roman" w:hAnsiTheme="minorHAnsi" w:cstheme="minorHAnsi"/>
                <w:bCs/>
                <w:color w:val="FFFFFF"/>
                <w:sz w:val="20"/>
                <w:szCs w:val="20"/>
              </w:rPr>
              <w:t>Costs</w:t>
            </w:r>
          </w:p>
        </w:tc>
        <w:tc>
          <w:tcPr>
            <w:tcW w:w="2434" w:type="dxa"/>
            <w:shd w:val="clear" w:color="auto" w:fill="4F81BD" w:themeFill="accent1"/>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sz w:val="20"/>
                <w:szCs w:val="20"/>
              </w:rPr>
            </w:pPr>
            <w:r w:rsidRPr="0047215F">
              <w:rPr>
                <w:rFonts w:asciiTheme="minorHAnsi" w:eastAsia="Times New Roman" w:hAnsiTheme="minorHAnsi" w:cstheme="minorHAnsi"/>
                <w:bCs/>
                <w:color w:val="FFFFFF"/>
                <w:sz w:val="20"/>
                <w:szCs w:val="20"/>
              </w:rPr>
              <w:t>Source</w:t>
            </w:r>
          </w:p>
        </w:tc>
      </w:tr>
      <w:tr w:rsidR="00D11167" w:rsidRPr="00FC5474" w:rsidTr="00D11167">
        <w:trPr>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sidRPr="0047215F">
              <w:rPr>
                <w:rFonts w:asciiTheme="minorHAnsi" w:eastAsia="Times New Roman" w:hAnsiTheme="minorHAnsi" w:cstheme="minorHAnsi"/>
                <w:bCs w:val="0"/>
                <w:sz w:val="20"/>
                <w:szCs w:val="20"/>
              </w:rPr>
              <w:t>Project development</w:t>
            </w:r>
          </w:p>
        </w:tc>
        <w:tc>
          <w:tcPr>
            <w:tcW w:w="1710" w:type="dxa"/>
            <w:noWrap/>
            <w:hideMark/>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$20</w:t>
            </w:r>
            <w:r w:rsidRPr="0047215F">
              <w:rPr>
                <w:rFonts w:asciiTheme="minorHAnsi" w:hAnsiTheme="minorHAnsi" w:cstheme="minorHAnsi"/>
                <w:sz w:val="20"/>
                <w:szCs w:val="20"/>
              </w:rPr>
              <w:t xml:space="preserve"> ac</w:t>
            </w:r>
            <w:r w:rsidRPr="0047215F">
              <w:rPr>
                <w:rFonts w:asciiTheme="minorHAnsi" w:hAnsiTheme="minorHAnsi" w:cstheme="minorHAnsi"/>
                <w:sz w:val="20"/>
                <w:szCs w:val="20"/>
                <w:vertAlign w:val="superscript"/>
              </w:rPr>
              <w:t>-1</w:t>
            </w:r>
          </w:p>
        </w:tc>
        <w:tc>
          <w:tcPr>
            <w:tcW w:w="2434" w:type="dxa"/>
          </w:tcPr>
          <w:p w:rsidR="00D11167" w:rsidRPr="0047215F" w:rsidRDefault="00D11167" w:rsidP="001E4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roofErr w:type="spellStart"/>
            <w:r>
              <w:rPr>
                <w:rFonts w:asciiTheme="minorHAnsi" w:eastAsia="Times New Roman" w:hAnsiTheme="minorHAnsi" w:cstheme="minorHAnsi"/>
                <w:sz w:val="20"/>
                <w:szCs w:val="20"/>
              </w:rPr>
              <w:t>Galik</w:t>
            </w:r>
            <w:proofErr w:type="spellEnd"/>
            <w:r>
              <w:rPr>
                <w:rFonts w:asciiTheme="minorHAnsi" w:eastAsia="Times New Roman" w:hAnsiTheme="minorHAnsi" w:cstheme="minorHAnsi"/>
                <w:sz w:val="20"/>
                <w:szCs w:val="20"/>
              </w:rPr>
              <w:t xml:space="preserve"> et al. </w:t>
            </w:r>
            <w:r>
              <w:rPr>
                <w:rFonts w:asciiTheme="minorHAnsi" w:eastAsia="Times New Roman" w:hAnsiTheme="minorHAnsi" w:cstheme="minorHAnsi"/>
                <w:sz w:val="20"/>
                <w:szCs w:val="20"/>
              </w:rPr>
              <w:fldChar w:fldCharType="begin"/>
            </w:r>
            <w:r w:rsidR="00737C5E">
              <w:rPr>
                <w:rFonts w:asciiTheme="minorHAnsi" w:eastAsia="Times New Roman" w:hAnsiTheme="minorHAnsi" w:cstheme="minorHAnsi"/>
                <w:sz w:val="20"/>
                <w:szCs w:val="20"/>
              </w:rPr>
              <w:instrText xml:space="preserve"> ADDIN EN.CITE &lt;EndNote&gt;&lt;Cite ExcludeAuth="1"&gt;&lt;Author&gt;Galik&lt;/Author&gt;&lt;Year&gt;2009&lt;/Year&gt;&lt;RecNum&gt;97&lt;/RecNum&gt;&lt;DisplayText&gt;(2009b)&lt;/DisplayText&gt;&lt;record&gt;&lt;rec-number&gt;97&lt;/rec-number&gt;&lt;foreign-keys&gt;&lt;key app="EN" db-id="a90s5zadewrawxeer07v2f90xr5vxv022sat"&gt;97&lt;/key&gt;&lt;/foreign-keys&gt;&lt;ref-type name="Report"&gt;27&lt;/ref-type&gt;&lt;contributors&gt;&lt;authors&gt;&lt;author&gt;Galik,  C. S.&lt;/author&gt;&lt;author&gt;Baker, J.S.&lt;/author&gt;&lt;author&gt;Grinnell, J.L.&lt;/author&gt;&lt;/authors&gt;&lt;/contributors&gt;&lt;titles&gt;&lt;title&gt;Transaction costs and forest management carbon offset potential&lt;/title&gt;&lt;/titles&gt;&lt;pages&gt;15&lt;/pages&gt;&lt;dates&gt;&lt;year&gt;2009b&lt;/year&gt;&lt;/dates&gt;&lt;publisher&gt;Working Paper, Climate Change Policy Partnership, Duke University&lt;/publisher&gt;&lt;urls&gt;&lt;/urls&gt;&lt;/record&gt;&lt;/Cite&gt;&lt;/EndNote&gt;</w:instrText>
            </w:r>
            <w:r>
              <w:rPr>
                <w:rFonts w:asciiTheme="minorHAnsi" w:eastAsia="Times New Roman" w:hAnsiTheme="minorHAnsi" w:cstheme="minorHAnsi"/>
                <w:sz w:val="20"/>
                <w:szCs w:val="20"/>
              </w:rPr>
              <w:fldChar w:fldCharType="separate"/>
            </w:r>
            <w:r w:rsidR="00737C5E">
              <w:rPr>
                <w:rFonts w:asciiTheme="minorHAnsi" w:eastAsia="Times New Roman" w:hAnsiTheme="minorHAnsi" w:cstheme="minorHAnsi"/>
                <w:noProof/>
                <w:sz w:val="20"/>
                <w:szCs w:val="20"/>
              </w:rPr>
              <w:t>(</w:t>
            </w:r>
            <w:hyperlink w:anchor="_ENREF_56" w:tooltip="Galik, 2009b #97" w:history="1">
              <w:r w:rsidR="001E4C88">
                <w:rPr>
                  <w:rFonts w:asciiTheme="minorHAnsi" w:eastAsia="Times New Roman" w:hAnsiTheme="minorHAnsi" w:cstheme="minorHAnsi"/>
                  <w:noProof/>
                  <w:sz w:val="20"/>
                  <w:szCs w:val="20"/>
                </w:rPr>
                <w:t>2009b</w:t>
              </w:r>
            </w:hyperlink>
            <w:r w:rsidR="00737C5E">
              <w:rPr>
                <w:rFonts w:asciiTheme="minorHAnsi" w:eastAsia="Times New Roman" w:hAnsiTheme="minorHAnsi" w:cstheme="minorHAnsi"/>
                <w:noProof/>
                <w:sz w:val="20"/>
                <w:szCs w:val="20"/>
              </w:rPr>
              <w:t>)</w:t>
            </w:r>
            <w:r>
              <w:rPr>
                <w:rFonts w:asciiTheme="minorHAnsi" w:eastAsia="Times New Roman" w:hAnsiTheme="minorHAnsi" w:cstheme="minorHAnsi"/>
                <w:sz w:val="20"/>
                <w:szCs w:val="20"/>
              </w:rPr>
              <w:fldChar w:fldCharType="end"/>
            </w:r>
          </w:p>
        </w:tc>
      </w:tr>
      <w:tr w:rsidR="00D11167" w:rsidRPr="00FC5474" w:rsidTr="00D11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sidRPr="0047215F">
              <w:rPr>
                <w:rFonts w:asciiTheme="minorHAnsi" w:eastAsia="Times New Roman" w:hAnsiTheme="minorHAnsi" w:cstheme="minorHAnsi"/>
                <w:bCs w:val="0"/>
                <w:sz w:val="20"/>
                <w:szCs w:val="20"/>
              </w:rPr>
              <w:t>Inventory conversion to initial carbon stocks</w:t>
            </w:r>
          </w:p>
        </w:tc>
        <w:tc>
          <w:tcPr>
            <w:tcW w:w="1710" w:type="dxa"/>
            <w:noWrap/>
            <w:hideMark/>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$6.50</w:t>
            </w:r>
            <w:r w:rsidRPr="0047215F">
              <w:rPr>
                <w:rFonts w:asciiTheme="minorHAnsi" w:hAnsiTheme="minorHAnsi" w:cstheme="minorHAnsi"/>
                <w:sz w:val="20"/>
                <w:szCs w:val="20"/>
              </w:rPr>
              <w:t xml:space="preserve"> ac</w:t>
            </w:r>
            <w:r w:rsidRPr="0047215F">
              <w:rPr>
                <w:rFonts w:asciiTheme="minorHAnsi"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Ibid</w:t>
            </w:r>
          </w:p>
        </w:tc>
      </w:tr>
      <w:tr w:rsidR="00D11167" w:rsidRPr="00FC5474" w:rsidTr="00D11167">
        <w:trPr>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sidRPr="0047215F">
              <w:rPr>
                <w:rFonts w:asciiTheme="minorHAnsi" w:eastAsia="Times New Roman" w:hAnsiTheme="minorHAnsi" w:cstheme="minorHAnsi"/>
                <w:bCs w:val="0"/>
                <w:sz w:val="20"/>
                <w:szCs w:val="20"/>
              </w:rPr>
              <w:t>Year-one growth modeling</w:t>
            </w:r>
          </w:p>
        </w:tc>
        <w:tc>
          <w:tcPr>
            <w:tcW w:w="1710" w:type="dxa"/>
            <w:noWrap/>
            <w:hideMark/>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$1.75</w:t>
            </w:r>
            <w:r w:rsidRPr="0047215F">
              <w:rPr>
                <w:rFonts w:asciiTheme="minorHAnsi" w:hAnsiTheme="minorHAnsi" w:cstheme="minorHAnsi"/>
                <w:sz w:val="20"/>
                <w:szCs w:val="20"/>
              </w:rPr>
              <w:t xml:space="preserve"> ac</w:t>
            </w:r>
            <w:r w:rsidRPr="0047215F">
              <w:rPr>
                <w:rFonts w:asciiTheme="minorHAnsi"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Ibid</w:t>
            </w:r>
          </w:p>
        </w:tc>
      </w:tr>
      <w:tr w:rsidR="00D11167" w:rsidRPr="00FC5474" w:rsidTr="00D11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sidRPr="0047215F">
              <w:rPr>
                <w:rFonts w:asciiTheme="minorHAnsi" w:eastAsia="Times New Roman" w:hAnsiTheme="minorHAnsi" w:cstheme="minorHAnsi"/>
                <w:bCs w:val="0"/>
                <w:sz w:val="20"/>
                <w:szCs w:val="20"/>
              </w:rPr>
              <w:t>Annual growth modeling</w:t>
            </w:r>
            <w:r w:rsidRPr="0047215F">
              <w:rPr>
                <w:rStyle w:val="FootnoteReference"/>
                <w:rFonts w:asciiTheme="minorHAnsi" w:eastAsia="Times New Roman" w:hAnsiTheme="minorHAnsi" w:cstheme="minorHAnsi"/>
                <w:bCs w:val="0"/>
                <w:sz w:val="20"/>
                <w:szCs w:val="20"/>
              </w:rPr>
              <w:footnoteReference w:id="28"/>
            </w:r>
          </w:p>
        </w:tc>
        <w:tc>
          <w:tcPr>
            <w:tcW w:w="1710" w:type="dxa"/>
            <w:noWrap/>
            <w:hideMark/>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$1.50</w:t>
            </w:r>
            <w:r w:rsidRPr="0047215F">
              <w:rPr>
                <w:rFonts w:asciiTheme="minorHAnsi" w:hAnsiTheme="minorHAnsi" w:cstheme="minorHAnsi"/>
                <w:sz w:val="20"/>
                <w:szCs w:val="20"/>
              </w:rPr>
              <w:t xml:space="preserve"> ac</w:t>
            </w:r>
            <w:r w:rsidRPr="0047215F">
              <w:rPr>
                <w:rFonts w:asciiTheme="minorHAnsi"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Ibid</w:t>
            </w:r>
          </w:p>
        </w:tc>
      </w:tr>
      <w:tr w:rsidR="00D11167" w:rsidRPr="00FC5474" w:rsidTr="00D11167">
        <w:trPr>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sidRPr="0047215F">
              <w:rPr>
                <w:rFonts w:asciiTheme="minorHAnsi" w:eastAsia="Times New Roman" w:hAnsiTheme="minorHAnsi" w:cstheme="minorHAnsi"/>
                <w:bCs w:val="0"/>
                <w:sz w:val="20"/>
                <w:szCs w:val="20"/>
              </w:rPr>
              <w:t>HWP carbon estimation</w:t>
            </w:r>
            <w:r w:rsidRPr="0047215F">
              <w:rPr>
                <w:rStyle w:val="FootnoteReference"/>
                <w:rFonts w:asciiTheme="minorHAnsi" w:eastAsia="Times New Roman" w:hAnsiTheme="minorHAnsi" w:cstheme="minorHAnsi"/>
                <w:bCs w:val="0"/>
                <w:sz w:val="20"/>
                <w:szCs w:val="20"/>
              </w:rPr>
              <w:footnoteReference w:id="29"/>
            </w:r>
          </w:p>
        </w:tc>
        <w:tc>
          <w:tcPr>
            <w:tcW w:w="1710" w:type="dxa"/>
            <w:noWrap/>
            <w:hideMark/>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$0.75</w:t>
            </w:r>
            <w:r w:rsidRPr="0047215F">
              <w:rPr>
                <w:rFonts w:asciiTheme="minorHAnsi" w:hAnsiTheme="minorHAnsi" w:cstheme="minorHAnsi"/>
                <w:sz w:val="20"/>
                <w:szCs w:val="20"/>
              </w:rPr>
              <w:t xml:space="preserve"> ac</w:t>
            </w:r>
            <w:r w:rsidRPr="0047215F">
              <w:rPr>
                <w:rFonts w:asciiTheme="minorHAnsi"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Ibid</w:t>
            </w:r>
          </w:p>
        </w:tc>
      </w:tr>
      <w:tr w:rsidR="00D11167" w:rsidRPr="00FC5474" w:rsidTr="00D11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noWrap/>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Periodic inventory</w:t>
            </w:r>
          </w:p>
        </w:tc>
        <w:tc>
          <w:tcPr>
            <w:tcW w:w="1710" w:type="dxa"/>
            <w:noWrap/>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8 </w:t>
            </w:r>
            <w:r w:rsidRPr="0047215F">
              <w:rPr>
                <w:rFonts w:asciiTheme="minorHAnsi" w:hAnsiTheme="minorHAnsi" w:cstheme="minorHAnsi"/>
                <w:sz w:val="20"/>
                <w:szCs w:val="20"/>
              </w:rPr>
              <w:t>ac</w:t>
            </w:r>
            <w:r w:rsidRPr="0047215F">
              <w:rPr>
                <w:rFonts w:asciiTheme="minorHAnsi" w:hAnsiTheme="minorHAnsi" w:cstheme="minorHAnsi"/>
                <w:sz w:val="20"/>
                <w:szCs w:val="20"/>
                <w:vertAlign w:val="superscript"/>
              </w:rPr>
              <w:t>-1</w:t>
            </w:r>
          </w:p>
        </w:tc>
        <w:tc>
          <w:tcPr>
            <w:tcW w:w="2434" w:type="dxa"/>
          </w:tcPr>
          <w:p w:rsidR="00D11167" w:rsidRPr="0047215F" w:rsidRDefault="00D11167" w:rsidP="001E4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Gunn et al. </w:t>
            </w:r>
            <w:r>
              <w:rPr>
                <w:rFonts w:asciiTheme="minorHAnsi" w:eastAsia="Times New Roman" w:hAnsiTheme="minorHAnsi" w:cstheme="minorHAnsi"/>
                <w:sz w:val="20"/>
                <w:szCs w:val="20"/>
              </w:rPr>
              <w:fldChar w:fldCharType="begin"/>
            </w:r>
            <w:r>
              <w:rPr>
                <w:rFonts w:asciiTheme="minorHAnsi" w:eastAsia="Times New Roman" w:hAnsiTheme="minorHAnsi" w:cstheme="minorHAnsi"/>
                <w:sz w:val="20"/>
                <w:szCs w:val="20"/>
              </w:rPr>
              <w:instrText xml:space="preserve"> ADDIN EN.CITE &lt;EndNote&gt;&lt;Cite ExcludeAuth="1"&gt;&lt;Author&gt;Gunn&lt;/Author&gt;&lt;Year&gt;2008&lt;/Year&gt;&lt;RecNum&gt;24&lt;/RecNum&gt;&lt;DisplayText&gt;(2008)&lt;/DisplayText&gt;&lt;record&gt;&lt;rec-number&gt;24&lt;/rec-number&gt;&lt;foreign-keys&gt;&lt;key app="EN" db-id="a90s5zadewrawxeer07v2f90xr5vxv022sat"&gt;24&lt;/key&gt;&lt;key app="ENWeb" db-id="S3c-7ArtqgcAACfG-zs"&gt;26&lt;/key&gt;&lt;/foreign-keys&gt;&lt;ref-type name="Unpublished Work"&gt;34&lt;/ref-type&gt;&lt;contributors&gt;&lt;authors&gt;&lt;author&gt;J. Gunn&lt;/author&gt;&lt;author&gt;W. Price&lt;/author&gt;&lt;author&gt;J. Battles&lt;/author&gt;&lt;author&gt;D. Saah&lt;/author&gt;&lt;author&gt;K. Siegel&lt;/author&gt;&lt;/authors&gt;&lt;/contributors&gt;&lt;titles&gt;&lt;title&gt;The Development of an Ecosystem Services Trading Program for Family Forest Landowners to Promote the Protection of Atmospheric, Water, and Soil Resources in Maine&lt;/title&gt;&lt;/titles&gt;&lt;volume&gt;Final Report Submitted to the USDA Natural Resources Conservation Service Conservation Innovation Grants Program. 61p.&lt;/volume&gt;&lt;dates&gt;&lt;year&gt;2008&lt;/year&gt;&lt;/dates&gt;&lt;publisher&gt;New Gloucester, ME: Trust to Conserve Northeast Forestlands&lt;/publisher&gt;&lt;urls&gt;&lt;/urls&gt;&lt;/record&gt;&lt;/Cite&gt;&lt;/EndNote&gt;</w:instrText>
            </w:r>
            <w:r>
              <w:rPr>
                <w:rFonts w:asciiTheme="minorHAnsi" w:eastAsia="Times New Roman" w:hAnsiTheme="minorHAnsi" w:cstheme="minorHAnsi"/>
                <w:sz w:val="20"/>
                <w:szCs w:val="20"/>
              </w:rPr>
              <w:fldChar w:fldCharType="separate"/>
            </w:r>
            <w:r>
              <w:rPr>
                <w:rFonts w:asciiTheme="minorHAnsi" w:eastAsia="Times New Roman" w:hAnsiTheme="minorHAnsi" w:cstheme="minorHAnsi"/>
                <w:noProof/>
                <w:sz w:val="20"/>
                <w:szCs w:val="20"/>
              </w:rPr>
              <w:t>(</w:t>
            </w:r>
            <w:hyperlink w:anchor="_ENREF_63" w:tooltip="Gunn, 2008 #24" w:history="1">
              <w:r w:rsidR="001E4C88">
                <w:rPr>
                  <w:rFonts w:asciiTheme="minorHAnsi" w:eastAsia="Times New Roman" w:hAnsiTheme="minorHAnsi" w:cstheme="minorHAnsi"/>
                  <w:noProof/>
                  <w:sz w:val="20"/>
                  <w:szCs w:val="20"/>
                </w:rPr>
                <w:t>2008</w:t>
              </w:r>
            </w:hyperlink>
            <w:r>
              <w:rPr>
                <w:rFonts w:asciiTheme="minorHAnsi" w:eastAsia="Times New Roman" w:hAnsiTheme="minorHAnsi" w:cstheme="minorHAnsi"/>
                <w:noProof/>
                <w:sz w:val="20"/>
                <w:szCs w:val="20"/>
              </w:rPr>
              <w:t>)</w:t>
            </w:r>
            <w:r>
              <w:rPr>
                <w:rFonts w:asciiTheme="minorHAnsi" w:eastAsia="Times New Roman" w:hAnsiTheme="minorHAnsi" w:cstheme="minorHAnsi"/>
                <w:sz w:val="20"/>
                <w:szCs w:val="20"/>
              </w:rPr>
              <w:fldChar w:fldCharType="end"/>
            </w:r>
          </w:p>
        </w:tc>
      </w:tr>
      <w:tr w:rsidR="00D11167" w:rsidRPr="00FC5474" w:rsidTr="00D11167">
        <w:trPr>
          <w:trHeight w:val="300"/>
        </w:trPr>
        <w:tc>
          <w:tcPr>
            <w:cnfStyle w:val="001000000000" w:firstRow="0" w:lastRow="0" w:firstColumn="1" w:lastColumn="0" w:oddVBand="0" w:evenVBand="0" w:oddHBand="0" w:evenHBand="0" w:firstRowFirstColumn="0" w:firstRowLastColumn="0" w:lastRowFirstColumn="0" w:lastRowLastColumn="0"/>
            <w:tcW w:w="2448" w:type="dxa"/>
            <w:noWrap/>
          </w:tcPr>
          <w:p w:rsidR="00D11167" w:rsidRDefault="00D11167" w:rsidP="00D11167">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Initial/Subsequent</w:t>
            </w:r>
          </w:p>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site-verification</w:t>
            </w:r>
          </w:p>
        </w:tc>
        <w:tc>
          <w:tcPr>
            <w:tcW w:w="1710" w:type="dxa"/>
            <w:noWrap/>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$25/$15</w:t>
            </w:r>
            <w:r w:rsidRPr="0047215F">
              <w:rPr>
                <w:rFonts w:asciiTheme="minorHAnsi" w:hAnsiTheme="minorHAnsi" w:cstheme="minorHAnsi"/>
                <w:sz w:val="20"/>
                <w:szCs w:val="20"/>
              </w:rPr>
              <w:t xml:space="preserve"> ac</w:t>
            </w:r>
            <w:r w:rsidRPr="0047215F">
              <w:rPr>
                <w:rFonts w:asciiTheme="minorHAnsi"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Expert Verifiers</w:t>
            </w:r>
          </w:p>
        </w:tc>
      </w:tr>
      <w:tr w:rsidR="00D11167" w:rsidRPr="00FC5474" w:rsidTr="00D11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Desk-verification</w:t>
            </w:r>
          </w:p>
        </w:tc>
        <w:tc>
          <w:tcPr>
            <w:tcW w:w="1710" w:type="dxa"/>
            <w:noWrap/>
            <w:hideMark/>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47215F">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5 </w:t>
            </w:r>
            <w:r w:rsidRPr="0047215F">
              <w:rPr>
                <w:rFonts w:asciiTheme="minorHAnsi" w:hAnsiTheme="minorHAnsi" w:cstheme="minorHAnsi"/>
                <w:sz w:val="20"/>
                <w:szCs w:val="20"/>
              </w:rPr>
              <w:t>ac</w:t>
            </w:r>
            <w:r w:rsidRPr="0047215F">
              <w:rPr>
                <w:rFonts w:asciiTheme="minorHAnsi"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Expert Verifiers</w:t>
            </w:r>
          </w:p>
        </w:tc>
      </w:tr>
      <w:tr w:rsidR="00D11167" w:rsidRPr="008D147D" w:rsidTr="00D11167">
        <w:trPr>
          <w:trHeight w:val="300"/>
        </w:trPr>
        <w:tc>
          <w:tcPr>
            <w:cnfStyle w:val="001000000000" w:firstRow="0" w:lastRow="0" w:firstColumn="1" w:lastColumn="0" w:oddVBand="0" w:evenVBand="0" w:oddHBand="0" w:evenHBand="0" w:firstRowFirstColumn="0" w:firstRowLastColumn="0" w:lastRowFirstColumn="0" w:lastRowLastColumn="0"/>
            <w:tcW w:w="2448" w:type="dxa"/>
            <w:noWrap/>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Year-one registration fee</w:t>
            </w:r>
          </w:p>
        </w:tc>
        <w:tc>
          <w:tcPr>
            <w:tcW w:w="1710" w:type="dxa"/>
            <w:noWrap/>
          </w:tcPr>
          <w:p w:rsidR="00D11167" w:rsidRPr="0047215F" w:rsidRDefault="00DC422E" w:rsidP="00DC42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DC422E">
              <w:rPr>
                <w:rFonts w:asciiTheme="minorHAnsi" w:eastAsia="Times New Roman" w:hAnsiTheme="minorHAnsi" w:cstheme="minorHAnsi"/>
                <w:sz w:val="20"/>
                <w:szCs w:val="20"/>
              </w:rPr>
              <w:t>$</w:t>
            </w:r>
            <w:r>
              <w:rPr>
                <w:rFonts w:asciiTheme="minorHAnsi" w:eastAsia="Times New Roman" w:hAnsiTheme="minorHAnsi" w:cstheme="minorHAnsi"/>
                <w:sz w:val="20"/>
                <w:szCs w:val="20"/>
              </w:rPr>
              <w:t>2.50</w:t>
            </w:r>
            <w:r w:rsidRPr="00DC422E">
              <w:rPr>
                <w:rFonts w:asciiTheme="minorHAnsi" w:eastAsia="Times New Roman" w:hAnsiTheme="minorHAnsi" w:cstheme="minorHAnsi"/>
                <w:sz w:val="20"/>
                <w:szCs w:val="20"/>
              </w:rPr>
              <w:t xml:space="preserve"> ac</w:t>
            </w:r>
            <w:r w:rsidRPr="00DC422E">
              <w:rPr>
                <w:rFonts w:asciiTheme="minorHAnsi" w:eastAsia="Times New Roman"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Climate Action Reserve</w:t>
            </w:r>
          </w:p>
        </w:tc>
      </w:tr>
      <w:tr w:rsidR="00D11167" w:rsidRPr="008D147D" w:rsidTr="00D11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noWrap/>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CRT issuance + seller fee</w:t>
            </w:r>
          </w:p>
        </w:tc>
        <w:tc>
          <w:tcPr>
            <w:tcW w:w="1710" w:type="dxa"/>
            <w:noWrap/>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$0.23 </w:t>
            </w:r>
            <w:r w:rsidRPr="0047215F">
              <w:rPr>
                <w:rFonts w:asciiTheme="minorHAnsi" w:hAnsiTheme="minorHAnsi" w:cstheme="minorHAnsi"/>
                <w:sz w:val="20"/>
                <w:szCs w:val="20"/>
              </w:rPr>
              <w:t xml:space="preserve"> </w:t>
            </w:r>
            <w:r>
              <w:rPr>
                <w:rFonts w:asciiTheme="minorHAnsi" w:hAnsiTheme="minorHAnsi" w:cstheme="minorHAnsi"/>
                <w:sz w:val="20"/>
                <w:szCs w:val="20"/>
              </w:rPr>
              <w:t>CRT</w:t>
            </w:r>
            <w:r w:rsidRPr="0047215F">
              <w:rPr>
                <w:rFonts w:asciiTheme="minorHAnsi" w:hAnsiTheme="minorHAnsi" w:cstheme="minorHAnsi"/>
                <w:sz w:val="20"/>
                <w:szCs w:val="20"/>
                <w:vertAlign w:val="superscript"/>
              </w:rPr>
              <w:t>-1</w:t>
            </w:r>
          </w:p>
        </w:tc>
        <w:tc>
          <w:tcPr>
            <w:tcW w:w="2434" w:type="dxa"/>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Climate Action Reserve</w:t>
            </w:r>
          </w:p>
        </w:tc>
      </w:tr>
      <w:tr w:rsidR="00D11167" w:rsidRPr="008D147D" w:rsidTr="00D11167">
        <w:trPr>
          <w:trHeight w:val="300"/>
        </w:trPr>
        <w:tc>
          <w:tcPr>
            <w:cnfStyle w:val="001000000000" w:firstRow="0" w:lastRow="0" w:firstColumn="1" w:lastColumn="0" w:oddVBand="0" w:evenVBand="0" w:oddHBand="0" w:evenHBand="0" w:firstRowFirstColumn="0" w:firstRowLastColumn="0" w:lastRowFirstColumn="0" w:lastRowLastColumn="0"/>
            <w:tcW w:w="2448" w:type="dxa"/>
            <w:noWrap/>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Aggregator commission</w:t>
            </w:r>
          </w:p>
        </w:tc>
        <w:tc>
          <w:tcPr>
            <w:tcW w:w="1710" w:type="dxa"/>
            <w:noWrap/>
          </w:tcPr>
          <w:p w:rsidR="00D11167" w:rsidRPr="0047215F"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12% of CRT sales</w:t>
            </w:r>
          </w:p>
        </w:tc>
        <w:tc>
          <w:tcPr>
            <w:tcW w:w="2434" w:type="dxa"/>
          </w:tcPr>
          <w:p w:rsidR="00D11167" w:rsidRPr="0047215F" w:rsidRDefault="00D11167" w:rsidP="001E4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roofErr w:type="spellStart"/>
            <w:r>
              <w:rPr>
                <w:rFonts w:asciiTheme="minorHAnsi" w:eastAsia="Times New Roman" w:hAnsiTheme="minorHAnsi" w:cstheme="minorHAnsi"/>
                <w:sz w:val="20"/>
                <w:szCs w:val="20"/>
              </w:rPr>
              <w:t>Galik</w:t>
            </w:r>
            <w:proofErr w:type="spellEnd"/>
            <w:r>
              <w:rPr>
                <w:rFonts w:asciiTheme="minorHAnsi" w:eastAsia="Times New Roman" w:hAnsiTheme="minorHAnsi" w:cstheme="minorHAnsi"/>
                <w:sz w:val="20"/>
                <w:szCs w:val="20"/>
              </w:rPr>
              <w:t xml:space="preserve"> et al. </w:t>
            </w:r>
            <w:r>
              <w:rPr>
                <w:rFonts w:asciiTheme="minorHAnsi" w:eastAsia="Times New Roman" w:hAnsiTheme="minorHAnsi" w:cstheme="minorHAnsi"/>
                <w:sz w:val="20"/>
                <w:szCs w:val="20"/>
              </w:rPr>
              <w:fldChar w:fldCharType="begin"/>
            </w:r>
            <w:r w:rsidR="00737C5E">
              <w:rPr>
                <w:rFonts w:asciiTheme="minorHAnsi" w:eastAsia="Times New Roman" w:hAnsiTheme="minorHAnsi" w:cstheme="minorHAnsi"/>
                <w:sz w:val="20"/>
                <w:szCs w:val="20"/>
              </w:rPr>
              <w:instrText xml:space="preserve"> ADDIN EN.CITE &lt;EndNote&gt;&lt;Cite ExcludeAuth="1"&gt;&lt;Author&gt;Galik&lt;/Author&gt;&lt;Year&gt;2009&lt;/Year&gt;&lt;RecNum&gt;97&lt;/RecNum&gt;&lt;DisplayText&gt;(2009b)&lt;/DisplayText&gt;&lt;record&gt;&lt;rec-number&gt;97&lt;/rec-number&gt;&lt;foreign-keys&gt;&lt;key app="EN" db-id="a90s5zadewrawxeer07v2f90xr5vxv022sat"&gt;97&lt;/key&gt;&lt;/foreign-keys&gt;&lt;ref-type name="Report"&gt;27&lt;/ref-type&gt;&lt;contributors&gt;&lt;authors&gt;&lt;author&gt;Galik,  C. S.&lt;/author&gt;&lt;author&gt;Baker, J.S.&lt;/author&gt;&lt;author&gt;Grinnell, J.L.&lt;/author&gt;&lt;/authors&gt;&lt;/contributors&gt;&lt;titles&gt;&lt;title&gt;Transaction costs and forest management carbon offset potential&lt;/title&gt;&lt;/titles&gt;&lt;pages&gt;15&lt;/pages&gt;&lt;dates&gt;&lt;year&gt;2009b&lt;/year&gt;&lt;/dates&gt;&lt;publisher&gt;Working Paper, Climate Change Policy Partnership, Duke University&lt;/publisher&gt;&lt;urls&gt;&lt;/urls&gt;&lt;/record&gt;&lt;/Cite&gt;&lt;/EndNote&gt;</w:instrText>
            </w:r>
            <w:r>
              <w:rPr>
                <w:rFonts w:asciiTheme="minorHAnsi" w:eastAsia="Times New Roman" w:hAnsiTheme="minorHAnsi" w:cstheme="minorHAnsi"/>
                <w:sz w:val="20"/>
                <w:szCs w:val="20"/>
              </w:rPr>
              <w:fldChar w:fldCharType="separate"/>
            </w:r>
            <w:r w:rsidR="00737C5E">
              <w:rPr>
                <w:rFonts w:asciiTheme="minorHAnsi" w:eastAsia="Times New Roman" w:hAnsiTheme="minorHAnsi" w:cstheme="minorHAnsi"/>
                <w:noProof/>
                <w:sz w:val="20"/>
                <w:szCs w:val="20"/>
              </w:rPr>
              <w:t>(</w:t>
            </w:r>
            <w:hyperlink w:anchor="_ENREF_56" w:tooltip="Galik, 2009b #97" w:history="1">
              <w:r w:rsidR="001E4C88">
                <w:rPr>
                  <w:rFonts w:asciiTheme="minorHAnsi" w:eastAsia="Times New Roman" w:hAnsiTheme="minorHAnsi" w:cstheme="minorHAnsi"/>
                  <w:noProof/>
                  <w:sz w:val="20"/>
                  <w:szCs w:val="20"/>
                </w:rPr>
                <w:t>2009b</w:t>
              </w:r>
            </w:hyperlink>
            <w:r w:rsidR="00737C5E">
              <w:rPr>
                <w:rFonts w:asciiTheme="minorHAnsi" w:eastAsia="Times New Roman" w:hAnsiTheme="minorHAnsi" w:cstheme="minorHAnsi"/>
                <w:noProof/>
                <w:sz w:val="20"/>
                <w:szCs w:val="20"/>
              </w:rPr>
              <w:t>)</w:t>
            </w:r>
            <w:r>
              <w:rPr>
                <w:rFonts w:asciiTheme="minorHAnsi" w:eastAsia="Times New Roman" w:hAnsiTheme="minorHAnsi" w:cstheme="minorHAnsi"/>
                <w:sz w:val="20"/>
                <w:szCs w:val="20"/>
              </w:rPr>
              <w:fldChar w:fldCharType="end"/>
            </w:r>
          </w:p>
        </w:tc>
      </w:tr>
      <w:tr w:rsidR="00D11167" w:rsidRPr="008D147D" w:rsidTr="00D11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8" w:type="dxa"/>
            <w:noWrap/>
          </w:tcPr>
          <w:p w:rsidR="00D11167" w:rsidRPr="0047215F" w:rsidRDefault="00D11167" w:rsidP="00D11167">
            <w:pPr>
              <w:spacing w:after="0" w:line="240" w:lineRule="auto"/>
              <w:jc w:val="center"/>
              <w:rPr>
                <w:rFonts w:asciiTheme="minorHAnsi" w:eastAsia="Times New Roman" w:hAnsiTheme="minorHAnsi" w:cstheme="minorHAnsi"/>
                <w:bCs w:val="0"/>
                <w:sz w:val="20"/>
                <w:szCs w:val="20"/>
              </w:rPr>
            </w:pPr>
            <w:r w:rsidRPr="0047215F">
              <w:rPr>
                <w:rFonts w:asciiTheme="minorHAnsi" w:eastAsia="Times New Roman" w:hAnsiTheme="minorHAnsi" w:cstheme="minorHAnsi"/>
                <w:bCs w:val="0"/>
                <w:sz w:val="20"/>
                <w:szCs w:val="20"/>
              </w:rPr>
              <w:t>Opportunity cost</w:t>
            </w:r>
          </w:p>
        </w:tc>
        <w:tc>
          <w:tcPr>
            <w:tcW w:w="1710" w:type="dxa"/>
            <w:noWrap/>
          </w:tcPr>
          <w:p w:rsidR="00D11167" w:rsidRPr="0047215F" w:rsidRDefault="00D11167" w:rsidP="00D111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4%</w:t>
            </w:r>
          </w:p>
        </w:tc>
        <w:tc>
          <w:tcPr>
            <w:tcW w:w="2434" w:type="dxa"/>
          </w:tcPr>
          <w:p w:rsidR="00D11167" w:rsidRPr="0047215F" w:rsidRDefault="00D11167" w:rsidP="001E4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LeDoux and Miller </w:t>
            </w:r>
            <w:r>
              <w:rPr>
                <w:rFonts w:asciiTheme="minorHAnsi" w:eastAsia="Times New Roman" w:hAnsiTheme="minorHAnsi" w:cstheme="minorHAnsi"/>
                <w:sz w:val="20"/>
                <w:szCs w:val="20"/>
              </w:rPr>
              <w:fldChar w:fldCharType="begin"/>
            </w:r>
            <w:r>
              <w:rPr>
                <w:rFonts w:asciiTheme="minorHAnsi" w:eastAsia="Times New Roman" w:hAnsiTheme="minorHAnsi" w:cstheme="minorHAnsi"/>
                <w:sz w:val="20"/>
                <w:szCs w:val="20"/>
              </w:rPr>
              <w:instrText xml:space="preserve"> ADDIN EN.CITE &lt;EndNote&gt;&lt;Cite ExcludeAuth="1"&gt;&lt;Author&gt;LeDoux&lt;/Author&gt;&lt;Year&gt;2008&lt;/Year&gt;&lt;RecNum&gt;138&lt;/RecNum&gt;&lt;DisplayText&gt;(2008)&lt;/DisplayText&gt;&lt;record&gt;&lt;rec-number&gt;138&lt;/rec-number&gt;&lt;foreign-keys&gt;&lt;key app="EN" db-id="a90s5zadewrawxeer07v2f90xr5vxv022sat"&gt;138&lt;/key&gt;&lt;/foreign-keys&gt;&lt;ref-type name="Conference Proceedings"&gt;10&lt;/ref-type&gt;&lt;contributors&gt;&lt;authors&gt;&lt;author&gt;LeDoux, Chris B.&lt;/author&gt;&lt;author&gt;Miller, Gary W. &lt;/author&gt;&lt;/authors&gt;&lt;/contributors&gt;&lt;titles&gt;&lt;title&gt;Exploring the optimal economic timing for crop tree release treatments in hardwoods: results from simulation&lt;/title&gt;&lt;secondary-title&gt;In: Jacobs, Douglass F.; Michler, Charles H., eds. 2008. Proceedings, 16th Central Hardwood Forest Conference; 2008 April 8-9; West Lafayette, IN. Gen. Tech. Rep. NRS-P-24. Newtown Square, PA: U.S. Department of Agriculture, Forest Service, Northern Research Station: 265-274.&lt;/secondary-title&gt;&lt;/titles&gt;&lt;dates&gt;&lt;year&gt;2008&lt;/year&gt;&lt;/dates&gt;&lt;urls&gt;&lt;/urls&gt;&lt;/record&gt;&lt;/Cite&gt;&lt;/EndNote&gt;</w:instrText>
            </w:r>
            <w:r>
              <w:rPr>
                <w:rFonts w:asciiTheme="minorHAnsi" w:eastAsia="Times New Roman" w:hAnsiTheme="minorHAnsi" w:cstheme="minorHAnsi"/>
                <w:sz w:val="20"/>
                <w:szCs w:val="20"/>
              </w:rPr>
              <w:fldChar w:fldCharType="separate"/>
            </w:r>
            <w:r>
              <w:rPr>
                <w:rFonts w:asciiTheme="minorHAnsi" w:eastAsia="Times New Roman" w:hAnsiTheme="minorHAnsi" w:cstheme="minorHAnsi"/>
                <w:noProof/>
                <w:sz w:val="20"/>
                <w:szCs w:val="20"/>
              </w:rPr>
              <w:t>(</w:t>
            </w:r>
            <w:hyperlink w:anchor="_ENREF_85" w:tooltip="LeDoux, 2008 #138" w:history="1">
              <w:r w:rsidR="001E4C88">
                <w:rPr>
                  <w:rFonts w:asciiTheme="minorHAnsi" w:eastAsia="Times New Roman" w:hAnsiTheme="minorHAnsi" w:cstheme="minorHAnsi"/>
                  <w:noProof/>
                  <w:sz w:val="20"/>
                  <w:szCs w:val="20"/>
                </w:rPr>
                <w:t>2008</w:t>
              </w:r>
            </w:hyperlink>
            <w:r>
              <w:rPr>
                <w:rFonts w:asciiTheme="minorHAnsi" w:eastAsia="Times New Roman" w:hAnsiTheme="minorHAnsi" w:cstheme="minorHAnsi"/>
                <w:noProof/>
                <w:sz w:val="20"/>
                <w:szCs w:val="20"/>
              </w:rPr>
              <w:t>)</w:t>
            </w:r>
            <w:r>
              <w:rPr>
                <w:rFonts w:asciiTheme="minorHAnsi" w:eastAsia="Times New Roman" w:hAnsiTheme="minorHAnsi" w:cstheme="minorHAnsi"/>
                <w:sz w:val="20"/>
                <w:szCs w:val="20"/>
              </w:rPr>
              <w:fldChar w:fldCharType="end"/>
            </w:r>
          </w:p>
        </w:tc>
      </w:tr>
      <w:tr w:rsidR="00D11167" w:rsidRPr="008D147D" w:rsidTr="00D11167">
        <w:trPr>
          <w:trHeight w:val="300"/>
        </w:trPr>
        <w:tc>
          <w:tcPr>
            <w:cnfStyle w:val="001000000000" w:firstRow="0" w:lastRow="0" w:firstColumn="1" w:lastColumn="0" w:oddVBand="0" w:evenVBand="0" w:oddHBand="0" w:evenHBand="0" w:firstRowFirstColumn="0" w:firstRowLastColumn="0" w:lastRowFirstColumn="0" w:lastRowLastColumn="0"/>
            <w:tcW w:w="2448" w:type="dxa"/>
            <w:noWrap/>
          </w:tcPr>
          <w:p w:rsidR="00D11167" w:rsidRPr="0047215F" w:rsidRDefault="00DC422E" w:rsidP="00DC422E">
            <w:pPr>
              <w:spacing w:after="0" w:line="240" w:lineRule="auto"/>
              <w:jc w:val="center"/>
              <w:rPr>
                <w:rFonts w:asciiTheme="minorHAnsi" w:eastAsia="Times New Roman" w:hAnsiTheme="minorHAnsi" w:cstheme="minorHAnsi"/>
                <w:bCs w:val="0"/>
                <w:sz w:val="20"/>
                <w:szCs w:val="20"/>
              </w:rPr>
            </w:pPr>
            <w:r>
              <w:rPr>
                <w:rFonts w:asciiTheme="minorHAnsi" w:eastAsia="Times New Roman" w:hAnsiTheme="minorHAnsi" w:cstheme="minorHAnsi"/>
                <w:bCs w:val="0"/>
                <w:sz w:val="20"/>
                <w:szCs w:val="20"/>
              </w:rPr>
              <w:t>Sustainability c</w:t>
            </w:r>
            <w:r w:rsidR="00D11167">
              <w:rPr>
                <w:rFonts w:asciiTheme="minorHAnsi" w:eastAsia="Times New Roman" w:hAnsiTheme="minorHAnsi" w:cstheme="minorHAnsi"/>
                <w:bCs w:val="0"/>
                <w:sz w:val="20"/>
                <w:szCs w:val="20"/>
              </w:rPr>
              <w:t>ertification</w:t>
            </w:r>
          </w:p>
        </w:tc>
        <w:tc>
          <w:tcPr>
            <w:tcW w:w="1710" w:type="dxa"/>
            <w:noWrap/>
          </w:tcPr>
          <w:p w:rsidR="00D11167"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$1.25</w:t>
            </w:r>
            <w:r w:rsidRPr="00D11167">
              <w:rPr>
                <w:rFonts w:asciiTheme="minorHAnsi" w:eastAsia="Times New Roman" w:hAnsiTheme="minorHAnsi" w:cstheme="minorHAnsi"/>
                <w:sz w:val="20"/>
                <w:szCs w:val="20"/>
              </w:rPr>
              <w:t xml:space="preserve"> ac</w:t>
            </w:r>
            <w:r w:rsidRPr="00D11167">
              <w:rPr>
                <w:rFonts w:asciiTheme="minorHAnsi" w:eastAsia="Times New Roman" w:hAnsiTheme="minorHAnsi" w:cstheme="minorHAnsi"/>
                <w:sz w:val="20"/>
                <w:szCs w:val="20"/>
                <w:vertAlign w:val="superscript"/>
              </w:rPr>
              <w:t>-1</w:t>
            </w:r>
          </w:p>
        </w:tc>
        <w:tc>
          <w:tcPr>
            <w:tcW w:w="2434" w:type="dxa"/>
          </w:tcPr>
          <w:p w:rsidR="00D11167" w:rsidRDefault="00D11167" w:rsidP="00D111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NA</w:t>
            </w:r>
          </w:p>
        </w:tc>
      </w:tr>
    </w:tbl>
    <w:p w:rsidR="00A90D39" w:rsidRDefault="00A11ECE" w:rsidP="0052321E">
      <w:pPr>
        <w:spacing w:line="480" w:lineRule="auto"/>
        <w:ind w:firstLine="720"/>
      </w:pPr>
      <w:r>
        <w:rPr>
          <w:rFonts w:asciiTheme="minorHAnsi" w:hAnsiTheme="minorHAnsi" w:cstheme="minorHAnsi"/>
        </w:rPr>
        <w:t>The verification costs ac</w:t>
      </w:r>
      <w:r w:rsidRPr="007B4844">
        <w:rPr>
          <w:rFonts w:asciiTheme="minorHAnsi" w:hAnsiTheme="minorHAnsi" w:cstheme="minorHAnsi"/>
          <w:vertAlign w:val="superscript"/>
        </w:rPr>
        <w:t>-1</w:t>
      </w:r>
      <w:r w:rsidR="006C0105">
        <w:rPr>
          <w:rFonts w:asciiTheme="minorHAnsi" w:hAnsiTheme="minorHAnsi" w:cstheme="minorHAnsi"/>
        </w:rPr>
        <w:t xml:space="preserve"> (shown in Table 5</w:t>
      </w:r>
      <w:r>
        <w:rPr>
          <w:rFonts w:asciiTheme="minorHAnsi" w:hAnsiTheme="minorHAnsi" w:cstheme="minorHAnsi"/>
        </w:rPr>
        <w:t>) derived from these assumptions were suggested as reasonable preliminary estimates by expert carbon offset verifiers but could not be confirmed given that such CAR aggregates have just begun to form.</w:t>
      </w:r>
      <w:r w:rsidRPr="00187607">
        <w:t xml:space="preserve"> </w:t>
      </w:r>
      <w:r>
        <w:t xml:space="preserve"> Although measurement and monitoring activities are required for 100 years following each issuance of Carbon Reduction Tonnes (CRTs) by CAR, their costs after the 100 year project term were ignored because the time-discounted values were negligible.  </w:t>
      </w:r>
      <w:r w:rsidR="009D1931">
        <w:t>Moreover, even though</w:t>
      </w:r>
      <w:r>
        <w:t xml:space="preserve"> </w:t>
      </w:r>
      <w:r w:rsidR="009D1931">
        <w:t xml:space="preserve">simulated project </w:t>
      </w:r>
      <w:r>
        <w:t xml:space="preserve">management </w:t>
      </w:r>
      <w:r w:rsidR="00281B0C">
        <w:t>could be considered compliant</w:t>
      </w:r>
      <w:r>
        <w:t xml:space="preserve"> with the FSC-US standard, FSC certification was not assumed</w:t>
      </w:r>
      <w:r w:rsidR="00AC5481">
        <w:t>.</w:t>
      </w:r>
      <w:r>
        <w:t xml:space="preserve">  </w:t>
      </w:r>
      <w:r w:rsidR="00AC5481">
        <w:t>Sustainable forestry c</w:t>
      </w:r>
      <w:r>
        <w:t>ertification costs could be negligible or prohibitively expensive depending on the forestry standard and characteristics of the aggregate, so they were ignored</w:t>
      </w:r>
      <w:r w:rsidR="00D550D5">
        <w:t xml:space="preserve"> in the first tier of assessment cases</w:t>
      </w:r>
      <w:r w:rsidR="00073E93">
        <w:t xml:space="preserve"> (see </w:t>
      </w:r>
      <w:r w:rsidR="00AD65FB">
        <w:t>a</w:t>
      </w:r>
      <w:r w:rsidR="00073E93">
        <w:t xml:space="preserve">ppendix </w:t>
      </w:r>
      <w:r w:rsidR="00AD65FB">
        <w:t>B</w:t>
      </w:r>
      <w:r w:rsidR="00073E93">
        <w:t>)</w:t>
      </w:r>
      <w:r>
        <w:t>.</w:t>
      </w:r>
      <w:r w:rsidR="00D550D5">
        <w:t xml:space="preserve">  </w:t>
      </w:r>
      <w:r w:rsidR="00073E93">
        <w:t xml:space="preserve">Certification costs were </w:t>
      </w:r>
      <w:r w:rsidR="00AC5481">
        <w:t xml:space="preserve">however </w:t>
      </w:r>
      <w:r w:rsidR="00073E93">
        <w:t xml:space="preserve">added as a </w:t>
      </w:r>
      <w:r w:rsidR="00073E93">
        <w:lastRenderedPageBreak/>
        <w:t>variable in secondary tier cases in the form of annual aggregator fees of $500</w:t>
      </w:r>
      <w:r w:rsidR="007651BB">
        <w:t xml:space="preserve"> beginning in year 2</w:t>
      </w:r>
      <w:r w:rsidR="00073E93">
        <w:t xml:space="preserve">.  All first tier cases </w:t>
      </w:r>
      <w:r w:rsidR="00456317">
        <w:t xml:space="preserve">in appendix B </w:t>
      </w:r>
      <w:r w:rsidR="00073E93">
        <w:t>shared the same 4 percent discount rate</w:t>
      </w:r>
      <w:r w:rsidR="00456317">
        <w:t xml:space="preserve"> and</w:t>
      </w:r>
      <w:r w:rsidR="00AC5481">
        <w:t xml:space="preserve"> </w:t>
      </w:r>
      <w:r w:rsidR="00073E93">
        <w:t>price growth assumptions.</w:t>
      </w:r>
    </w:p>
    <w:p w:rsidR="00EB5DC7" w:rsidRDefault="00EB4D05" w:rsidP="00591524">
      <w:pPr>
        <w:pStyle w:val="Heading2"/>
        <w:numPr>
          <w:ilvl w:val="0"/>
          <w:numId w:val="21"/>
        </w:numPr>
        <w:spacing w:line="480" w:lineRule="auto"/>
      </w:pPr>
      <w:bookmarkStart w:id="24" w:name="_Toc273520885"/>
      <w:bookmarkStart w:id="25" w:name="_Toc273521348"/>
      <w:bookmarkStart w:id="26" w:name="_Toc273524904"/>
      <w:bookmarkStart w:id="27" w:name="_Toc277738186"/>
      <w:bookmarkStart w:id="28" w:name="_Toc278294307"/>
      <w:r>
        <w:t>R</w:t>
      </w:r>
      <w:bookmarkEnd w:id="24"/>
      <w:bookmarkEnd w:id="25"/>
      <w:bookmarkEnd w:id="26"/>
      <w:r w:rsidR="00F1330A">
        <w:t>ESULTS</w:t>
      </w:r>
      <w:bookmarkEnd w:id="27"/>
      <w:bookmarkEnd w:id="28"/>
      <w:r>
        <w:t xml:space="preserve"> </w:t>
      </w:r>
    </w:p>
    <w:p w:rsidR="000B760E" w:rsidRPr="002B58DD" w:rsidRDefault="000B760E" w:rsidP="00591524">
      <w:pPr>
        <w:numPr>
          <w:ilvl w:val="1"/>
          <w:numId w:val="21"/>
        </w:numPr>
        <w:spacing w:line="480" w:lineRule="auto"/>
        <w:ind w:left="450"/>
        <w:rPr>
          <w:b/>
          <w:i/>
        </w:rPr>
      </w:pPr>
      <w:r w:rsidRPr="002B58DD">
        <w:rPr>
          <w:b/>
          <w:i/>
        </w:rPr>
        <w:t>Timber Production</w:t>
      </w:r>
      <w:r w:rsidR="00E74CBC" w:rsidRPr="002B58DD">
        <w:rPr>
          <w:b/>
          <w:i/>
        </w:rPr>
        <w:t xml:space="preserve"> Economics</w:t>
      </w:r>
      <w:r w:rsidRPr="002B58DD">
        <w:rPr>
          <w:b/>
          <w:i/>
        </w:rPr>
        <w:t>: BAU vs. Oak-sustaining Silviculture</w:t>
      </w:r>
    </w:p>
    <w:p w:rsidR="006A5B83" w:rsidRDefault="00292080" w:rsidP="00B1782F">
      <w:pPr>
        <w:spacing w:line="480" w:lineRule="auto"/>
        <w:ind w:firstLine="720"/>
      </w:pPr>
      <w:r>
        <w:t xml:space="preserve">As expected, the sustainable oak management regime generated </w:t>
      </w:r>
      <w:r w:rsidR="00281833">
        <w:t xml:space="preserve">relatively </w:t>
      </w:r>
      <w:r>
        <w:t>high operational costs</w:t>
      </w:r>
      <w:r w:rsidR="00374C2B">
        <w:t xml:space="preserve"> and relatively less </w:t>
      </w:r>
      <w:r w:rsidR="00EA32B8">
        <w:t xml:space="preserve">timber </w:t>
      </w:r>
      <w:r w:rsidR="00374C2B">
        <w:t>value</w:t>
      </w:r>
      <w:r w:rsidR="00574386">
        <w:t xml:space="preserve"> than BAU, valuing timber only</w:t>
      </w:r>
      <w:r>
        <w:t xml:space="preserve">.  </w:t>
      </w:r>
      <w:r w:rsidR="00A84068">
        <w:t xml:space="preserve"> </w:t>
      </w:r>
      <w:r w:rsidR="003C3543">
        <w:t>Managem</w:t>
      </w:r>
      <w:r w:rsidR="000B331D">
        <w:t>ent costs were roughly $</w:t>
      </w:r>
      <w:r w:rsidR="00720366">
        <w:t>250</w:t>
      </w:r>
      <w:r w:rsidR="000B331D">
        <w:t>ac</w:t>
      </w:r>
      <w:r w:rsidR="003C3543" w:rsidRPr="003C3543">
        <w:rPr>
          <w:vertAlign w:val="superscript"/>
        </w:rPr>
        <w:t>-1</w:t>
      </w:r>
      <w:r w:rsidR="003C3543">
        <w:t xml:space="preserve"> more in present value</w:t>
      </w:r>
      <w:r w:rsidR="00E3424C">
        <w:t xml:space="preserve"> </w:t>
      </w:r>
      <w:r w:rsidR="004B0894">
        <w:t>while</w:t>
      </w:r>
      <w:r w:rsidR="00E3424C">
        <w:t xml:space="preserve"> sawlog production over the 100 year projection was </w:t>
      </w:r>
      <w:proofErr w:type="gramStart"/>
      <w:r w:rsidR="00EE35DC" w:rsidRPr="00EE35DC">
        <w:t>3</w:t>
      </w:r>
      <w:r w:rsidR="00E3424C" w:rsidRPr="00EE35DC">
        <w:t>,</w:t>
      </w:r>
      <w:r w:rsidR="00EE35DC" w:rsidRPr="00EE35DC">
        <w:t>6</w:t>
      </w:r>
      <w:r w:rsidR="00AE400E">
        <w:t>70</w:t>
      </w:r>
      <w:r w:rsidR="00E3424C" w:rsidRPr="00EE35DC">
        <w:t xml:space="preserve"> </w:t>
      </w:r>
      <w:r w:rsidR="00D00031" w:rsidRPr="00D00031">
        <w:t>BF</w:t>
      </w:r>
      <w:r w:rsidR="000B331D" w:rsidRPr="00EE35DC">
        <w:t xml:space="preserve"> ac</w:t>
      </w:r>
      <w:r w:rsidR="00E3424C" w:rsidRPr="00EE35DC">
        <w:rPr>
          <w:vertAlign w:val="superscript"/>
        </w:rPr>
        <w:t>-1</w:t>
      </w:r>
      <w:r w:rsidR="00E3424C" w:rsidRPr="00EE35DC">
        <w:t xml:space="preserve"> more</w:t>
      </w:r>
      <w:r w:rsidR="00E3424C">
        <w:t xml:space="preserve"> than in the BAU scenario</w:t>
      </w:r>
      <w:proofErr w:type="gramEnd"/>
      <w:r w:rsidR="003C3543">
        <w:t>.</w:t>
      </w:r>
      <w:r w:rsidR="000D7F17">
        <w:t xml:space="preserve">  Despite the </w:t>
      </w:r>
      <w:r w:rsidR="00871C8A">
        <w:t>focus on high grade sawtimber production</w:t>
      </w:r>
      <w:r w:rsidR="000D7F17">
        <w:t xml:space="preserve">, the present worth of stumpage from the </w:t>
      </w:r>
      <w:r w:rsidR="00374C2B">
        <w:t>project</w:t>
      </w:r>
      <w:r w:rsidR="000D7F17">
        <w:t xml:space="preserve"> scenario was $1,</w:t>
      </w:r>
      <w:r w:rsidR="00D11167">
        <w:t>008-$1,430</w:t>
      </w:r>
      <w:r w:rsidR="000B331D">
        <w:t>ac</w:t>
      </w:r>
      <w:r w:rsidR="000D7F17" w:rsidRPr="000D7F17">
        <w:rPr>
          <w:vertAlign w:val="superscript"/>
        </w:rPr>
        <w:t>-1</w:t>
      </w:r>
      <w:r w:rsidR="000D7F17" w:rsidRPr="000D7F17">
        <w:t xml:space="preserve"> </w:t>
      </w:r>
      <w:r w:rsidR="000D7F17">
        <w:t>less than that of the BAU case</w:t>
      </w:r>
      <w:r w:rsidR="00AC5481">
        <w:t xml:space="preserve"> depending on stumpage rate</w:t>
      </w:r>
      <w:r w:rsidR="00BE0238">
        <w:t>, owing to the effect of time-discounting</w:t>
      </w:r>
      <w:r w:rsidR="009A3B51">
        <w:t xml:space="preserve">.  </w:t>
      </w:r>
      <w:r w:rsidR="00A00DBE">
        <w:t>This was the primary reason that</w:t>
      </w:r>
      <w:r w:rsidR="00082270">
        <w:t xml:space="preserve"> the BAU scenario</w:t>
      </w:r>
      <w:r w:rsidR="00766966">
        <w:t xml:space="preserve"> had a</w:t>
      </w:r>
      <w:r w:rsidR="00A00DBE">
        <w:t>n overall</w:t>
      </w:r>
      <w:r w:rsidR="00766966">
        <w:t xml:space="preserve"> net present value (NPV) </w:t>
      </w:r>
      <w:r w:rsidR="00A550F7">
        <w:t>about 73 percent</w:t>
      </w:r>
      <w:r w:rsidR="00766966">
        <w:t xml:space="preserve"> ($</w:t>
      </w:r>
      <w:r w:rsidR="00A550F7">
        <w:t>2,323-$</w:t>
      </w:r>
      <w:r w:rsidR="00766966">
        <w:t>3,</w:t>
      </w:r>
      <w:r w:rsidR="00AC5481">
        <w:t>355</w:t>
      </w:r>
      <w:r w:rsidR="00766966">
        <w:t>ac</w:t>
      </w:r>
      <w:r w:rsidR="00766966" w:rsidRPr="00E3424C">
        <w:rPr>
          <w:vertAlign w:val="superscript"/>
        </w:rPr>
        <w:t>-1</w:t>
      </w:r>
      <w:r w:rsidR="00766966">
        <w:t xml:space="preserve">) </w:t>
      </w:r>
      <w:r w:rsidR="00A550F7">
        <w:t xml:space="preserve">higher than </w:t>
      </w:r>
      <w:r w:rsidR="00720366">
        <w:t>the oak-</w:t>
      </w:r>
      <w:r w:rsidR="00BE0238">
        <w:t>silviculture</w:t>
      </w:r>
      <w:r w:rsidR="00720366">
        <w:t xml:space="preserve"> scenario</w:t>
      </w:r>
      <w:r w:rsidR="00863C09">
        <w:t xml:space="preserve"> ($</w:t>
      </w:r>
      <w:r w:rsidR="00A550F7">
        <w:t>1,342-$</w:t>
      </w:r>
      <w:r w:rsidR="00863C09">
        <w:t>1,</w:t>
      </w:r>
      <w:r w:rsidR="00AC5481">
        <w:t>938</w:t>
      </w:r>
      <w:r w:rsidR="00863C09">
        <w:t>ac</w:t>
      </w:r>
      <w:r w:rsidR="00863C09" w:rsidRPr="00281833">
        <w:rPr>
          <w:vertAlign w:val="superscript"/>
        </w:rPr>
        <w:t>-1</w:t>
      </w:r>
      <w:r w:rsidR="00863C09">
        <w:t>);</w:t>
      </w:r>
      <w:r w:rsidR="00766966">
        <w:t xml:space="preserve"> in other words, it was $</w:t>
      </w:r>
      <w:r w:rsidR="00A550F7">
        <w:t>981-$</w:t>
      </w:r>
      <w:r w:rsidR="00766966">
        <w:t>1,</w:t>
      </w:r>
      <w:r w:rsidR="00AC5481">
        <w:t>417</w:t>
      </w:r>
      <w:r w:rsidR="00766966">
        <w:t>ac</w:t>
      </w:r>
      <w:r w:rsidR="00766966" w:rsidRPr="00281833">
        <w:rPr>
          <w:vertAlign w:val="superscript"/>
        </w:rPr>
        <w:t>-1</w:t>
      </w:r>
      <w:r w:rsidR="00766966">
        <w:t xml:space="preserve"> </w:t>
      </w:r>
      <w:r w:rsidR="00766966" w:rsidRPr="00281833">
        <w:t>more</w:t>
      </w:r>
      <w:r w:rsidR="00766966">
        <w:t xml:space="preserve"> cost effective</w:t>
      </w:r>
      <w:r w:rsidR="003D7FA8">
        <w:t>, which clearly proves the economic f</w:t>
      </w:r>
      <w:r w:rsidR="003D7FA8" w:rsidRPr="003D7FA8">
        <w:t xml:space="preserve">easibility of </w:t>
      </w:r>
      <w:r w:rsidR="003D7FA8">
        <w:t xml:space="preserve">the </w:t>
      </w:r>
      <w:r w:rsidR="00720366">
        <w:t>modeled BAU</w:t>
      </w:r>
      <w:r w:rsidR="003D7FA8" w:rsidRPr="003D7FA8">
        <w:t xml:space="preserve"> </w:t>
      </w:r>
      <w:r w:rsidR="003D7FA8">
        <w:t>scenario</w:t>
      </w:r>
      <w:r w:rsidR="00D676BF">
        <w:t xml:space="preserve">, which is </w:t>
      </w:r>
      <w:r w:rsidR="00753CDA">
        <w:t>one of the</w:t>
      </w:r>
      <w:r w:rsidR="00D676BF">
        <w:t xml:space="preserve"> option</w:t>
      </w:r>
      <w:r w:rsidR="00753CDA">
        <w:t>s</w:t>
      </w:r>
      <w:r w:rsidR="00D676BF">
        <w:t xml:space="preserve"> the protocol </w:t>
      </w:r>
      <w:r w:rsidR="00753CDA">
        <w:t>affords for the justification of</w:t>
      </w:r>
      <w:r w:rsidR="00D676BF">
        <w:t xml:space="preserve"> the BAU regime</w:t>
      </w:r>
      <w:r w:rsidR="00753CDA" w:rsidRPr="00753CDA">
        <w:t xml:space="preserve"> </w:t>
      </w:r>
      <w:r w:rsidR="00753CDA">
        <w:t>claimed</w:t>
      </w:r>
      <w:r w:rsidR="00D676BF">
        <w:t>.</w:t>
      </w:r>
      <w:r w:rsidR="00281833">
        <w:t xml:space="preserve">  </w:t>
      </w:r>
      <w:r w:rsidR="00CB4AD8">
        <w:t>As such, the oak-</w:t>
      </w:r>
      <w:r w:rsidR="00720366">
        <w:t>management</w:t>
      </w:r>
      <w:r w:rsidR="00CB4AD8">
        <w:t xml:space="preserve"> regime was demonstrably unappealing by comparison</w:t>
      </w:r>
      <w:r w:rsidR="00CB4AD8" w:rsidRPr="00CB4AD8">
        <w:t xml:space="preserve"> </w:t>
      </w:r>
      <w:r w:rsidR="00CB4AD8">
        <w:t>without</w:t>
      </w:r>
      <w:r w:rsidR="00753CDA">
        <w:t xml:space="preserve"> substantial</w:t>
      </w:r>
      <w:r w:rsidR="00BE0238">
        <w:t xml:space="preserve"> </w:t>
      </w:r>
      <w:r w:rsidR="00CB4AD8">
        <w:t>incentives</w:t>
      </w:r>
      <w:r w:rsidR="00F83E64">
        <w:t xml:space="preserve"> that </w:t>
      </w:r>
      <w:r w:rsidR="00F063FB">
        <w:t>lend support to sustainable hardwood management</w:t>
      </w:r>
      <w:r w:rsidR="00CB4AD8">
        <w:t xml:space="preserve">.  </w:t>
      </w:r>
      <w:r w:rsidR="00A550F7">
        <w:t>S</w:t>
      </w:r>
      <w:r w:rsidR="00A84068">
        <w:t>ome</w:t>
      </w:r>
      <w:r w:rsidR="00A550F7">
        <w:t xml:space="preserve"> incentives are available to FFOs </w:t>
      </w:r>
      <w:r w:rsidR="00962A72">
        <w:t>(</w:t>
      </w:r>
      <w:r w:rsidR="00A550F7">
        <w:t>depending on the county</w:t>
      </w:r>
      <w:r w:rsidR="00962A72">
        <w:t>)</w:t>
      </w:r>
      <w:r w:rsidR="00A550F7">
        <w:t xml:space="preserve"> through the Environmental Quality Incentives Program but were ignored here due to the variability</w:t>
      </w:r>
      <w:r w:rsidR="00962A72" w:rsidRPr="00962A72">
        <w:t xml:space="preserve"> </w:t>
      </w:r>
      <w:r w:rsidR="00962A72">
        <w:t>of the program’s implementation</w:t>
      </w:r>
      <w:r w:rsidR="00BB3AF2">
        <w:t xml:space="preserve"> and funding</w:t>
      </w:r>
      <w:r w:rsidR="00A550F7">
        <w:t>.</w:t>
      </w:r>
      <w:r w:rsidR="00BB3AF2">
        <w:t xml:space="preserve"> </w:t>
      </w:r>
      <w:r w:rsidR="00A550F7">
        <w:t xml:space="preserve"> </w:t>
      </w:r>
      <w:r w:rsidR="00962A72">
        <w:t xml:space="preserve">In addition, the </w:t>
      </w:r>
      <w:r w:rsidR="00753CDA">
        <w:t xml:space="preserve">marginal </w:t>
      </w:r>
      <w:r w:rsidR="00B1782F" w:rsidRPr="00A43398">
        <w:t>net value</w:t>
      </w:r>
      <w:r w:rsidR="00B1782F">
        <w:t xml:space="preserve"> </w:t>
      </w:r>
      <w:r w:rsidR="00B1782F" w:rsidRPr="00A43398">
        <w:t xml:space="preserve">to the landowner </w:t>
      </w:r>
      <w:r w:rsidR="00B1782F">
        <w:t xml:space="preserve">of </w:t>
      </w:r>
      <w:r w:rsidR="00C03392">
        <w:t xml:space="preserve">BAU </w:t>
      </w:r>
      <w:r w:rsidR="00B1782F">
        <w:t xml:space="preserve">harvests </w:t>
      </w:r>
      <w:r w:rsidR="00CB4AD8">
        <w:t>may in reality</w:t>
      </w:r>
      <w:r w:rsidR="00B1782F">
        <w:t xml:space="preserve"> fall</w:t>
      </w:r>
      <w:r w:rsidR="00B1782F" w:rsidRPr="00A43398">
        <w:t xml:space="preserve"> short of </w:t>
      </w:r>
      <w:r w:rsidR="00C03392">
        <w:t>that found</w:t>
      </w:r>
      <w:r w:rsidR="00B1782F">
        <w:t xml:space="preserve"> </w:t>
      </w:r>
      <w:r w:rsidR="00C03392">
        <w:t xml:space="preserve">here </w:t>
      </w:r>
      <w:r w:rsidR="00CB4AD8">
        <w:t>g</w:t>
      </w:r>
      <w:r w:rsidR="00DB08C7">
        <w:t>iven</w:t>
      </w:r>
      <w:r w:rsidR="00B1782F">
        <w:t xml:space="preserve"> that</w:t>
      </w:r>
      <w:r w:rsidR="007C2ABA">
        <w:t xml:space="preserve"> the </w:t>
      </w:r>
      <w:r w:rsidR="00CB4AD8">
        <w:t>aforementioned</w:t>
      </w:r>
      <w:r w:rsidR="00364F30">
        <w:t xml:space="preserve"> </w:t>
      </w:r>
      <w:r w:rsidR="00CB4AD8">
        <w:t>accounting of felling cost</w:t>
      </w:r>
      <w:r w:rsidR="00C03392">
        <w:t>s</w:t>
      </w:r>
      <w:r w:rsidR="007C2ABA">
        <w:t xml:space="preserve"> </w:t>
      </w:r>
      <w:r w:rsidR="00FD4AB0">
        <w:t xml:space="preserve">was arbitrary.  </w:t>
      </w:r>
      <w:r w:rsidR="00367CD7">
        <w:t>T</w:t>
      </w:r>
      <w:r w:rsidR="00FD4AB0">
        <w:t xml:space="preserve">his </w:t>
      </w:r>
      <w:r w:rsidR="0041606E">
        <w:t>exaggeration was</w:t>
      </w:r>
      <w:r w:rsidR="00753CDA">
        <w:t xml:space="preserve"> </w:t>
      </w:r>
      <w:r w:rsidR="00367CD7">
        <w:t xml:space="preserve">also due in part to </w:t>
      </w:r>
      <w:r w:rsidR="00753CDA">
        <w:t xml:space="preserve">the conservative assumption </w:t>
      </w:r>
      <w:r w:rsidR="00367CD7">
        <w:t xml:space="preserve">ignoring </w:t>
      </w:r>
      <w:r w:rsidR="003A2315">
        <w:t>sawtimber merchantable height</w:t>
      </w:r>
      <w:r w:rsidR="00FD4AB0">
        <w:t xml:space="preserve"> growth before year 40 of the project, </w:t>
      </w:r>
      <w:r w:rsidR="0054734E">
        <w:t xml:space="preserve">primarily affecting </w:t>
      </w:r>
      <w:r w:rsidR="00FD4AB0">
        <w:t>the value of project scenario</w:t>
      </w:r>
      <w:r w:rsidR="0054734E">
        <w:t>’s second, third, and fourth</w:t>
      </w:r>
      <w:r w:rsidR="00FD4AB0">
        <w:t xml:space="preserve"> harvests in the third decade</w:t>
      </w:r>
      <w:r w:rsidR="00FD4AB0" w:rsidRPr="00367CD7">
        <w:rPr>
          <w:b/>
        </w:rPr>
        <w:t>.</w:t>
      </w:r>
      <w:r w:rsidR="0041606E" w:rsidRPr="00367CD7">
        <w:rPr>
          <w:b/>
        </w:rPr>
        <w:t xml:space="preserve">  </w:t>
      </w:r>
      <w:r w:rsidR="00B1782F">
        <w:t xml:space="preserve"> </w:t>
      </w:r>
      <w:r w:rsidR="00364F30">
        <w:t>While the</w:t>
      </w:r>
      <w:r w:rsidR="00B07312">
        <w:t xml:space="preserve"> BAU scenario’s</w:t>
      </w:r>
      <w:r w:rsidR="00B1782F">
        <w:t xml:space="preserve"> economic advantage over the project scenario</w:t>
      </w:r>
      <w:r w:rsidR="00364F30">
        <w:t xml:space="preserve"> may be overstated</w:t>
      </w:r>
      <w:r w:rsidR="00B07312">
        <w:t xml:space="preserve">, </w:t>
      </w:r>
      <w:r w:rsidR="00364F30">
        <w:t>the amount of such bias is not likely to be consequential</w:t>
      </w:r>
      <w:r w:rsidR="004B0894">
        <w:t xml:space="preserve"> </w:t>
      </w:r>
      <w:r w:rsidR="004B0894">
        <w:lastRenderedPageBreak/>
        <w:t>considering the size of the disparity in NPV</w:t>
      </w:r>
      <w:r w:rsidR="00B1782F">
        <w:t xml:space="preserve">.  </w:t>
      </w:r>
      <w:r w:rsidR="00591524">
        <w:t>Other augmented benefits not evaluated</w:t>
      </w:r>
      <w:r w:rsidR="00BC7177">
        <w:t xml:space="preserve"> here but that could be potential sources of increased </w:t>
      </w:r>
      <w:r w:rsidR="00B1782F">
        <w:t xml:space="preserve">project </w:t>
      </w:r>
      <w:r w:rsidR="00BC7177">
        <w:t>revenues include</w:t>
      </w:r>
      <w:r w:rsidR="00591524">
        <w:t xml:space="preserve"> more valuable hunting leases</w:t>
      </w:r>
      <w:r w:rsidR="004B0894">
        <w:t>, biomass energy markets,</w:t>
      </w:r>
      <w:r w:rsidR="00BC7177">
        <w:t xml:space="preserve"> and </w:t>
      </w:r>
      <w:r w:rsidR="009507B0">
        <w:t xml:space="preserve">transactions for water pollution credits </w:t>
      </w:r>
      <w:r w:rsidR="00591524">
        <w:t xml:space="preserve">in </w:t>
      </w:r>
      <w:r w:rsidR="00BC7177">
        <w:t>high conservation value watersheds.</w:t>
      </w:r>
    </w:p>
    <w:p w:rsidR="006F7FCF" w:rsidRDefault="00C4735B" w:rsidP="006F7FCF">
      <w:pPr>
        <w:numPr>
          <w:ilvl w:val="1"/>
          <w:numId w:val="21"/>
        </w:numPr>
        <w:spacing w:line="480" w:lineRule="auto"/>
        <w:ind w:left="450"/>
        <w:rPr>
          <w:b/>
          <w:i/>
        </w:rPr>
      </w:pPr>
      <w:r w:rsidRPr="002B58DD">
        <w:rPr>
          <w:b/>
          <w:i/>
        </w:rPr>
        <w:t>IFM financial feasibility under CAR</w:t>
      </w:r>
    </w:p>
    <w:p w:rsidR="00397846" w:rsidRPr="00315293" w:rsidRDefault="009E4DC2" w:rsidP="00143E4F">
      <w:pPr>
        <w:spacing w:line="480" w:lineRule="auto"/>
        <w:ind w:left="18" w:firstLine="702"/>
        <w:rPr>
          <w:b/>
        </w:rPr>
      </w:pPr>
      <w:r w:rsidRPr="00F34DD6">
        <w:t xml:space="preserve">Despite </w:t>
      </w:r>
      <w:r w:rsidR="00D86512" w:rsidRPr="00F34DD6">
        <w:t xml:space="preserve">early </w:t>
      </w:r>
      <w:r w:rsidRPr="00F34DD6">
        <w:t>expectations</w:t>
      </w:r>
      <w:r w:rsidR="003C24F9" w:rsidRPr="00F34DD6">
        <w:t xml:space="preserve">, the project management regime did not result in </w:t>
      </w:r>
      <w:r w:rsidR="009507B0" w:rsidRPr="00F34DD6">
        <w:t xml:space="preserve">any </w:t>
      </w:r>
      <w:r w:rsidRPr="00F34DD6">
        <w:t>carbon</w:t>
      </w:r>
      <w:r w:rsidR="001A7905" w:rsidRPr="00F34DD6">
        <w:t>-related</w:t>
      </w:r>
      <w:r w:rsidR="003C24F9" w:rsidRPr="00F34DD6">
        <w:t xml:space="preserve"> </w:t>
      </w:r>
      <w:r w:rsidR="00D47C88">
        <w:t xml:space="preserve">net </w:t>
      </w:r>
      <w:r w:rsidR="003C24F9" w:rsidRPr="00F34DD6">
        <w:t>benefits</w:t>
      </w:r>
      <w:r w:rsidR="006365AB" w:rsidRPr="00F34DD6">
        <w:t xml:space="preserve"> under the</w:t>
      </w:r>
      <w:r w:rsidR="00012772" w:rsidRPr="00F34DD6">
        <w:t xml:space="preserve"> CAR protocol</w:t>
      </w:r>
      <w:r w:rsidR="003C24F9" w:rsidRPr="00F34DD6">
        <w:t>.</w:t>
      </w:r>
      <w:r w:rsidR="00F1072A" w:rsidRPr="00F34DD6">
        <w:t xml:space="preserve"> </w:t>
      </w:r>
      <w:r w:rsidR="00012772" w:rsidRPr="00F34DD6">
        <w:t xml:space="preserve"> </w:t>
      </w:r>
      <w:r w:rsidR="00C03392" w:rsidRPr="00F34DD6">
        <w:t>Improved management practices included: an</w:t>
      </w:r>
      <w:r w:rsidR="00650454" w:rsidRPr="00F34DD6">
        <w:t xml:space="preserve"> appreciable</w:t>
      </w:r>
      <w:r w:rsidR="000A4AED" w:rsidRPr="00F34DD6">
        <w:t xml:space="preserve"> reduction in harvesting on </w:t>
      </w:r>
      <w:r w:rsidRPr="00F34DD6">
        <w:t xml:space="preserve">20 percent of project area </w:t>
      </w:r>
      <w:r w:rsidR="000A4AED" w:rsidRPr="00F34DD6">
        <w:t>(</w:t>
      </w:r>
      <w:r w:rsidR="00C03392" w:rsidRPr="00F34DD6">
        <w:t xml:space="preserve">two </w:t>
      </w:r>
      <w:r w:rsidR="000A4AED" w:rsidRPr="00F34DD6">
        <w:t>SMZ stands)</w:t>
      </w:r>
      <w:r w:rsidR="00C03392" w:rsidRPr="00F34DD6">
        <w:t>;</w:t>
      </w:r>
      <w:r w:rsidR="00574386" w:rsidRPr="00F34DD6">
        <w:t xml:space="preserve"> </w:t>
      </w:r>
      <w:r w:rsidR="00650454" w:rsidRPr="00F34DD6">
        <w:t>10</w:t>
      </w:r>
      <w:r w:rsidR="007C2ABA" w:rsidRPr="00F34DD6">
        <w:t xml:space="preserve">+ </w:t>
      </w:r>
      <w:r w:rsidR="00310DB3" w:rsidRPr="00F34DD6">
        <w:rPr>
          <w:rFonts w:asciiTheme="minorHAnsi" w:hAnsiTheme="minorHAnsi" w:cstheme="minorHAnsi"/>
        </w:rPr>
        <w:t>ft</w:t>
      </w:r>
      <w:r w:rsidR="00310DB3" w:rsidRPr="00F34DD6">
        <w:rPr>
          <w:rFonts w:asciiTheme="minorHAnsi" w:hAnsiTheme="minorHAnsi" w:cstheme="minorHAnsi"/>
          <w:vertAlign w:val="superscript"/>
        </w:rPr>
        <w:t>2</w:t>
      </w:r>
      <w:r w:rsidR="00310DB3" w:rsidRPr="00F34DD6">
        <w:t xml:space="preserve"> ac</w:t>
      </w:r>
      <w:r w:rsidR="00310DB3" w:rsidRPr="00F34DD6">
        <w:rPr>
          <w:vertAlign w:val="superscript"/>
        </w:rPr>
        <w:t>-1</w:t>
      </w:r>
      <w:r w:rsidR="007C2ABA" w:rsidRPr="00F34DD6">
        <w:rPr>
          <w:vertAlign w:val="superscript"/>
        </w:rPr>
        <w:t xml:space="preserve"> </w:t>
      </w:r>
      <w:r w:rsidR="00650454" w:rsidRPr="00F34DD6">
        <w:t>o</w:t>
      </w:r>
      <w:r w:rsidR="003F6F77" w:rsidRPr="00F34DD6">
        <w:t xml:space="preserve">f </w:t>
      </w:r>
      <w:r w:rsidR="00C03392" w:rsidRPr="00F34DD6">
        <w:t>BA</w:t>
      </w:r>
      <w:r w:rsidR="003F6F77" w:rsidRPr="00F34DD6">
        <w:t xml:space="preserve"> </w:t>
      </w:r>
      <w:r w:rsidR="007C2ABA" w:rsidRPr="00F34DD6">
        <w:t xml:space="preserve">retained for decades </w:t>
      </w:r>
      <w:r w:rsidR="003F6F77" w:rsidRPr="00F34DD6">
        <w:t xml:space="preserve">after </w:t>
      </w:r>
      <w:r w:rsidR="007C2ABA" w:rsidRPr="00F34DD6">
        <w:t>regeneration</w:t>
      </w:r>
      <w:r w:rsidR="00650454" w:rsidRPr="00F34DD6">
        <w:t xml:space="preserve"> harvest</w:t>
      </w:r>
      <w:r w:rsidR="00E72B0A" w:rsidRPr="00F34DD6">
        <w:t>s</w:t>
      </w:r>
      <w:r w:rsidR="00650454" w:rsidRPr="00F34DD6">
        <w:t xml:space="preserve"> </w:t>
      </w:r>
      <w:r w:rsidR="00E72B0A" w:rsidRPr="00F34DD6">
        <w:t xml:space="preserve">(except </w:t>
      </w:r>
      <w:r w:rsidR="00650454" w:rsidRPr="00F34DD6">
        <w:t>one</w:t>
      </w:r>
      <w:r w:rsidR="00E72B0A" w:rsidRPr="00F34DD6">
        <w:t>)</w:t>
      </w:r>
      <w:r w:rsidR="00C03392">
        <w:t>; thinnings to</w:t>
      </w:r>
      <w:r w:rsidR="007C2ABA">
        <w:t xml:space="preserve"> </w:t>
      </w:r>
      <w:r w:rsidR="00C03392">
        <w:t xml:space="preserve">maintain vigor and minimize </w:t>
      </w:r>
      <w:r w:rsidR="007C2ABA">
        <w:t>susceptibility to natural mortality</w:t>
      </w:r>
      <w:r w:rsidR="00C03392">
        <w:t>;</w:t>
      </w:r>
      <w:r w:rsidR="00910808" w:rsidRPr="00910BC1">
        <w:t xml:space="preserve"> </w:t>
      </w:r>
      <w:r w:rsidR="000A4AED" w:rsidRPr="00910BC1">
        <w:t xml:space="preserve">and </w:t>
      </w:r>
      <w:r w:rsidR="006365AB">
        <w:t>overstory</w:t>
      </w:r>
      <w:r w:rsidR="000A4AED" w:rsidRPr="00910BC1">
        <w:t xml:space="preserve"> harvest delays of 8, 18, 23, 25, 28, 48</w:t>
      </w:r>
      <w:r w:rsidR="006365AB">
        <w:t xml:space="preserve">, and 68 </w:t>
      </w:r>
      <w:r w:rsidR="000A4AED" w:rsidRPr="00910BC1">
        <w:t>years compared to the BAU management regime</w:t>
      </w:r>
      <w:r w:rsidR="00F83E64">
        <w:t>.  Regardless,</w:t>
      </w:r>
      <w:r w:rsidR="000A4AED" w:rsidRPr="00910BC1">
        <w:t xml:space="preserve"> </w:t>
      </w:r>
      <w:r w:rsidR="00910BC1">
        <w:t xml:space="preserve">the accrual of </w:t>
      </w:r>
      <w:r w:rsidR="00E52AB0" w:rsidRPr="00910BC1">
        <w:t>creditable</w:t>
      </w:r>
      <w:r w:rsidR="00F34DD6">
        <w:t>-</w:t>
      </w:r>
      <w:r w:rsidR="00E52AB0" w:rsidRPr="00910BC1">
        <w:t xml:space="preserve">carbon was </w:t>
      </w:r>
      <w:r w:rsidR="00280CD5" w:rsidRPr="00910BC1">
        <w:t xml:space="preserve">almost </w:t>
      </w:r>
      <w:r w:rsidR="00910BC1">
        <w:t>negligible</w:t>
      </w:r>
      <w:r w:rsidR="00F34DD6">
        <w:t xml:space="preserve"> as shown in figure </w:t>
      </w:r>
      <w:r w:rsidR="00B55293">
        <w:t>5</w:t>
      </w:r>
      <w:r w:rsidR="00E52AB0" w:rsidRPr="00910BC1">
        <w:t>.</w:t>
      </w:r>
      <w:r w:rsidR="00E52AB0" w:rsidRPr="006F7FCF">
        <w:rPr>
          <w:b/>
        </w:rPr>
        <w:t xml:space="preserve"> </w:t>
      </w:r>
      <w:r w:rsidR="00863C09">
        <w:rPr>
          <w:b/>
        </w:rPr>
        <w:t xml:space="preserve"> </w:t>
      </w:r>
      <w:r w:rsidR="00863C09" w:rsidRPr="00863C09">
        <w:t xml:space="preserve">The amount of carbon </w:t>
      </w:r>
      <w:r w:rsidR="005F3908">
        <w:rPr>
          <w:noProof/>
        </w:rPr>
        <w:drawing>
          <wp:inline distT="0" distB="0" distL="0" distR="0" wp14:anchorId="0ADF447B" wp14:editId="3252DDA7">
            <wp:extent cx="6350000" cy="3843866"/>
            <wp:effectExtent l="0" t="0" r="12700" b="234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0BC1" w:rsidRPr="00BB3AF2" w:rsidRDefault="00910BC1" w:rsidP="00910BC1">
      <w:pPr>
        <w:pStyle w:val="Caption"/>
      </w:pPr>
      <w:proofErr w:type="gramStart"/>
      <w:r w:rsidRPr="00BB3AF2">
        <w:t xml:space="preserve">Figure </w:t>
      </w:r>
      <w:r w:rsidR="00B55293">
        <w:t>5</w:t>
      </w:r>
      <w:r w:rsidR="00C01C98" w:rsidRPr="00BB3AF2">
        <w:t>.</w:t>
      </w:r>
      <w:proofErr w:type="gramEnd"/>
      <w:r w:rsidRPr="00BB3AF2">
        <w:t xml:space="preserve"> Cumulative creditable carbon</w:t>
      </w:r>
      <w:r w:rsidR="00F83E64" w:rsidRPr="00BB3AF2">
        <w:t xml:space="preserve"> and credit liabilities</w:t>
      </w:r>
      <w:r w:rsidRPr="00BB3AF2">
        <w:t xml:space="preserve"> </w:t>
      </w:r>
      <w:r w:rsidR="00556B1D" w:rsidRPr="00BB3AF2">
        <w:t>ac</w:t>
      </w:r>
      <w:r w:rsidR="00556B1D" w:rsidRPr="00BB3AF2">
        <w:rPr>
          <w:vertAlign w:val="superscript"/>
        </w:rPr>
        <w:t>-1</w:t>
      </w:r>
      <w:r w:rsidR="00556B1D" w:rsidRPr="00BB3AF2">
        <w:t xml:space="preserve"> </w:t>
      </w:r>
      <w:r w:rsidR="00C01C98" w:rsidRPr="00BB3AF2">
        <w:t xml:space="preserve">in </w:t>
      </w:r>
      <w:r w:rsidR="00C80735" w:rsidRPr="00BB3AF2">
        <w:t>verification</w:t>
      </w:r>
      <w:r w:rsidR="00C80735" w:rsidRPr="00BB3AF2">
        <w:rPr>
          <w:sz w:val="18"/>
        </w:rPr>
        <w:t xml:space="preserve"> </w:t>
      </w:r>
      <w:r w:rsidR="00C80735" w:rsidRPr="00BB3AF2">
        <w:t>years</w:t>
      </w:r>
    </w:p>
    <w:p w:rsidR="00B55293" w:rsidRPr="00B55293" w:rsidRDefault="00B55293" w:rsidP="00B55293">
      <w:pPr>
        <w:pStyle w:val="Caption"/>
        <w:spacing w:line="480" w:lineRule="auto"/>
        <w:rPr>
          <w:b w:val="0"/>
          <w:sz w:val="22"/>
        </w:rPr>
      </w:pPr>
      <w:proofErr w:type="gramStart"/>
      <w:r w:rsidRPr="00B55293">
        <w:rPr>
          <w:b w:val="0"/>
          <w:sz w:val="22"/>
        </w:rPr>
        <w:lastRenderedPageBreak/>
        <w:t>removals</w:t>
      </w:r>
      <w:proofErr w:type="gramEnd"/>
      <w:r w:rsidRPr="00B55293">
        <w:rPr>
          <w:b w:val="0"/>
          <w:sz w:val="22"/>
        </w:rPr>
        <w:t xml:space="preserve"> credited to the project can be perceived in figure </w:t>
      </w:r>
      <w:r>
        <w:rPr>
          <w:b w:val="0"/>
          <w:sz w:val="22"/>
        </w:rPr>
        <w:t>5</w:t>
      </w:r>
      <w:r w:rsidRPr="00B55293">
        <w:rPr>
          <w:b w:val="0"/>
          <w:sz w:val="22"/>
        </w:rPr>
        <w:t xml:space="preserve"> by the increments in cumulative creditable-carbon values, whereas reversals or credit-liabilities are characterized by decrements.  These increments and decrements signify the Carbon Reduction Tonnes (CRTs) ac</w:t>
      </w:r>
      <w:r w:rsidRPr="00B55293">
        <w:rPr>
          <w:b w:val="0"/>
          <w:sz w:val="22"/>
          <w:vertAlign w:val="superscript"/>
        </w:rPr>
        <w:t>-1</w:t>
      </w:r>
      <w:r w:rsidRPr="00B55293">
        <w:rPr>
          <w:b w:val="0"/>
          <w:sz w:val="22"/>
        </w:rPr>
        <w:t xml:space="preserve"> that can be sold or that must be surrendered, respectively, as portrayed in figure </w:t>
      </w:r>
      <w:r>
        <w:rPr>
          <w:b w:val="0"/>
          <w:sz w:val="22"/>
        </w:rPr>
        <w:t>6</w:t>
      </w:r>
      <w:r w:rsidRPr="00B55293">
        <w:rPr>
          <w:b w:val="0"/>
          <w:sz w:val="22"/>
        </w:rPr>
        <w:t xml:space="preserve"> in yellow.  However, those in red signify the true carbon credits/debits resulting from the project (i.e. ignoring the resale of credits that were purchased to compensate for reversals). </w:t>
      </w:r>
    </w:p>
    <w:p w:rsidR="0052321E" w:rsidRDefault="00863C09" w:rsidP="00C21739">
      <w:pPr>
        <w:pStyle w:val="Caption"/>
        <w:spacing w:line="480" w:lineRule="auto"/>
        <w:ind w:firstLine="720"/>
        <w:rPr>
          <w:b w:val="0"/>
          <w:sz w:val="22"/>
          <w:szCs w:val="22"/>
        </w:rPr>
      </w:pPr>
      <w:r w:rsidRPr="006F7FCF">
        <w:rPr>
          <w:b w:val="0"/>
          <w:sz w:val="22"/>
          <w:szCs w:val="22"/>
        </w:rPr>
        <w:t xml:space="preserve">The Jenkins et al. (2003) BGL-carbon deviation </w:t>
      </w:r>
      <w:r>
        <w:rPr>
          <w:b w:val="0"/>
          <w:sz w:val="22"/>
          <w:szCs w:val="22"/>
        </w:rPr>
        <w:t xml:space="preserve">generally </w:t>
      </w:r>
      <w:r w:rsidRPr="006F7FCF">
        <w:rPr>
          <w:b w:val="0"/>
          <w:sz w:val="22"/>
          <w:szCs w:val="22"/>
        </w:rPr>
        <w:t xml:space="preserve">had a marginal effect on </w:t>
      </w:r>
      <w:r w:rsidRPr="00AE5459">
        <w:rPr>
          <w:b w:val="0"/>
          <w:sz w:val="22"/>
          <w:szCs w:val="22"/>
        </w:rPr>
        <w:t>issued/surrendered</w:t>
      </w:r>
      <w:r>
        <w:rPr>
          <w:b w:val="0"/>
          <w:sz w:val="22"/>
          <w:szCs w:val="22"/>
        </w:rPr>
        <w:t xml:space="preserve"> CRTs</w:t>
      </w:r>
      <w:r w:rsidRPr="006F7FCF">
        <w:rPr>
          <w:b w:val="0"/>
          <w:sz w:val="22"/>
          <w:szCs w:val="22"/>
        </w:rPr>
        <w:t xml:space="preserve"> as shown in figure </w:t>
      </w:r>
      <w:r w:rsidR="00B55293">
        <w:rPr>
          <w:b w:val="0"/>
          <w:sz w:val="22"/>
          <w:szCs w:val="22"/>
        </w:rPr>
        <w:t>6</w:t>
      </w:r>
      <w:r>
        <w:rPr>
          <w:b w:val="0"/>
          <w:sz w:val="22"/>
          <w:szCs w:val="22"/>
        </w:rPr>
        <w:t xml:space="preserve"> (blue and yellow) but</w:t>
      </w:r>
      <w:r w:rsidRPr="006F7FCF">
        <w:rPr>
          <w:b w:val="0"/>
          <w:sz w:val="22"/>
          <w:szCs w:val="22"/>
        </w:rPr>
        <w:t xml:space="preserve"> </w:t>
      </w:r>
      <w:r>
        <w:rPr>
          <w:b w:val="0"/>
          <w:sz w:val="22"/>
          <w:szCs w:val="22"/>
        </w:rPr>
        <w:t>in</w:t>
      </w:r>
      <w:r w:rsidRPr="006F7FCF">
        <w:rPr>
          <w:b w:val="0"/>
          <w:sz w:val="22"/>
          <w:szCs w:val="22"/>
        </w:rPr>
        <w:t>creased the NPV of CAR engagement by $</w:t>
      </w:r>
      <w:r>
        <w:rPr>
          <w:b w:val="0"/>
          <w:sz w:val="22"/>
          <w:szCs w:val="22"/>
        </w:rPr>
        <w:t>1</w:t>
      </w:r>
      <w:r w:rsidRPr="006F7FCF">
        <w:rPr>
          <w:b w:val="0"/>
          <w:sz w:val="22"/>
          <w:szCs w:val="22"/>
        </w:rPr>
        <w:t>1</w:t>
      </w:r>
      <w:r w:rsidR="00006305">
        <w:rPr>
          <w:b w:val="0"/>
          <w:sz w:val="22"/>
          <w:szCs w:val="22"/>
        </w:rPr>
        <w:t>3</w:t>
      </w:r>
      <w:r w:rsidRPr="006F7FCF">
        <w:rPr>
          <w:b w:val="0"/>
          <w:sz w:val="22"/>
          <w:szCs w:val="22"/>
        </w:rPr>
        <w:t>ac</w:t>
      </w:r>
      <w:r w:rsidRPr="006F7FCF">
        <w:rPr>
          <w:b w:val="0"/>
          <w:sz w:val="22"/>
          <w:szCs w:val="22"/>
          <w:vertAlign w:val="superscript"/>
        </w:rPr>
        <w:t>-1</w:t>
      </w:r>
      <w:r>
        <w:rPr>
          <w:b w:val="0"/>
          <w:sz w:val="22"/>
          <w:szCs w:val="22"/>
        </w:rPr>
        <w:t xml:space="preserve"> to $1,</w:t>
      </w:r>
      <w:r w:rsidR="00AC4994">
        <w:rPr>
          <w:b w:val="0"/>
          <w:sz w:val="22"/>
          <w:szCs w:val="22"/>
        </w:rPr>
        <w:t>177</w:t>
      </w:r>
      <w:r w:rsidR="00962A72">
        <w:rPr>
          <w:b w:val="0"/>
          <w:sz w:val="22"/>
          <w:szCs w:val="22"/>
        </w:rPr>
        <w:t>-$1,822</w:t>
      </w:r>
      <w:r w:rsidRPr="006F7FCF">
        <w:rPr>
          <w:b w:val="0"/>
          <w:sz w:val="22"/>
          <w:szCs w:val="22"/>
        </w:rPr>
        <w:t>ac</w:t>
      </w:r>
      <w:r w:rsidRPr="006F7FCF">
        <w:rPr>
          <w:b w:val="0"/>
          <w:sz w:val="22"/>
          <w:szCs w:val="22"/>
          <w:vertAlign w:val="superscript"/>
        </w:rPr>
        <w:t>-1</w:t>
      </w:r>
      <w:r>
        <w:rPr>
          <w:b w:val="0"/>
          <w:sz w:val="22"/>
          <w:szCs w:val="22"/>
        </w:rPr>
        <w:t xml:space="preserve">, </w:t>
      </w:r>
      <w:r w:rsidRPr="006F7FCF">
        <w:rPr>
          <w:b w:val="0"/>
          <w:sz w:val="22"/>
          <w:szCs w:val="22"/>
        </w:rPr>
        <w:t>assuming $10 per metric ton CO</w:t>
      </w:r>
      <w:r w:rsidRPr="006F7FCF">
        <w:rPr>
          <w:b w:val="0"/>
          <w:sz w:val="22"/>
          <w:szCs w:val="22"/>
          <w:vertAlign w:val="subscript"/>
        </w:rPr>
        <w:t>2</w:t>
      </w:r>
      <w:r w:rsidRPr="006F7FCF">
        <w:rPr>
          <w:b w:val="0"/>
          <w:sz w:val="22"/>
          <w:szCs w:val="22"/>
        </w:rPr>
        <w:t xml:space="preserve"> </w:t>
      </w:r>
      <w:r>
        <w:rPr>
          <w:b w:val="0"/>
          <w:sz w:val="22"/>
          <w:szCs w:val="22"/>
        </w:rPr>
        <w:t xml:space="preserve">equivalent </w:t>
      </w:r>
      <w:r w:rsidRPr="006F7FCF">
        <w:rPr>
          <w:b w:val="0"/>
          <w:sz w:val="22"/>
          <w:szCs w:val="22"/>
        </w:rPr>
        <w:t>(Mt</w:t>
      </w:r>
      <w:r w:rsidRPr="006F7FCF">
        <w:rPr>
          <w:b w:val="0"/>
          <w:sz w:val="22"/>
          <w:szCs w:val="22"/>
          <w:vertAlign w:val="superscript"/>
        </w:rPr>
        <w:t>-1</w:t>
      </w:r>
      <w:r w:rsidRPr="006F7FCF">
        <w:rPr>
          <w:b w:val="0"/>
          <w:sz w:val="22"/>
          <w:szCs w:val="22"/>
        </w:rPr>
        <w:t>)</w:t>
      </w:r>
      <w:r w:rsidRPr="00705054">
        <w:rPr>
          <w:b w:val="0"/>
          <w:sz w:val="22"/>
          <w:szCs w:val="22"/>
        </w:rPr>
        <w:t>.</w:t>
      </w:r>
      <w:r>
        <w:rPr>
          <w:b w:val="0"/>
          <w:sz w:val="22"/>
          <w:szCs w:val="22"/>
        </w:rPr>
        <w:t xml:space="preserve">  </w:t>
      </w:r>
      <w:r w:rsidR="00F34DD6">
        <w:rPr>
          <w:b w:val="0"/>
          <w:sz w:val="22"/>
          <w:szCs w:val="22"/>
        </w:rPr>
        <w:t>Again, v</w:t>
      </w:r>
      <w:r w:rsidRPr="006F7FCF">
        <w:rPr>
          <w:b w:val="0"/>
          <w:sz w:val="22"/>
          <w:szCs w:val="22"/>
        </w:rPr>
        <w:t xml:space="preserve">aluing timber only, the NPV of the project scenario amounted to </w:t>
      </w:r>
      <w:r w:rsidR="00962A72" w:rsidRPr="00962A72">
        <w:rPr>
          <w:b w:val="0"/>
          <w:sz w:val="22"/>
          <w:szCs w:val="22"/>
        </w:rPr>
        <w:t>$1,342-$1,938ac</w:t>
      </w:r>
      <w:r w:rsidR="00962A72" w:rsidRPr="00962A72">
        <w:rPr>
          <w:b w:val="0"/>
          <w:sz w:val="22"/>
          <w:szCs w:val="22"/>
          <w:vertAlign w:val="superscript"/>
        </w:rPr>
        <w:t>-1</w:t>
      </w:r>
      <w:r>
        <w:rPr>
          <w:b w:val="0"/>
          <w:sz w:val="22"/>
          <w:szCs w:val="22"/>
        </w:rPr>
        <w:t>.</w:t>
      </w:r>
      <w:r w:rsidR="00F34DD6">
        <w:rPr>
          <w:b w:val="0"/>
          <w:sz w:val="22"/>
          <w:szCs w:val="22"/>
        </w:rPr>
        <w:t xml:space="preserve"> </w:t>
      </w:r>
      <w:r w:rsidRPr="006F7FCF">
        <w:rPr>
          <w:b w:val="0"/>
          <w:sz w:val="22"/>
          <w:szCs w:val="22"/>
        </w:rPr>
        <w:t xml:space="preserve"> </w:t>
      </w:r>
      <w:r>
        <w:rPr>
          <w:b w:val="0"/>
          <w:sz w:val="22"/>
          <w:szCs w:val="22"/>
        </w:rPr>
        <w:t>So notwithstanding</w:t>
      </w:r>
      <w:r w:rsidRPr="006F7FCF">
        <w:rPr>
          <w:b w:val="0"/>
          <w:sz w:val="22"/>
          <w:szCs w:val="22"/>
        </w:rPr>
        <w:t xml:space="preserve"> </w:t>
      </w:r>
      <w:r>
        <w:rPr>
          <w:b w:val="0"/>
          <w:sz w:val="22"/>
          <w:szCs w:val="22"/>
        </w:rPr>
        <w:t xml:space="preserve">the rise in </w:t>
      </w:r>
      <w:r w:rsidRPr="00705054">
        <w:rPr>
          <w:b w:val="0"/>
          <w:sz w:val="22"/>
          <w:szCs w:val="22"/>
        </w:rPr>
        <w:t xml:space="preserve">economic value </w:t>
      </w:r>
      <w:r>
        <w:rPr>
          <w:b w:val="0"/>
          <w:sz w:val="22"/>
          <w:szCs w:val="22"/>
        </w:rPr>
        <w:t xml:space="preserve">rendered by </w:t>
      </w:r>
      <w:r w:rsidRPr="00705054">
        <w:rPr>
          <w:b w:val="0"/>
          <w:sz w:val="22"/>
          <w:szCs w:val="22"/>
        </w:rPr>
        <w:t>th</w:t>
      </w:r>
      <w:r w:rsidR="00BB3AF2">
        <w:rPr>
          <w:b w:val="0"/>
          <w:sz w:val="22"/>
          <w:szCs w:val="22"/>
        </w:rPr>
        <w:t>e</w:t>
      </w:r>
      <w:r w:rsidRPr="00705054">
        <w:rPr>
          <w:b w:val="0"/>
          <w:sz w:val="22"/>
          <w:szCs w:val="22"/>
        </w:rPr>
        <w:t xml:space="preserve"> deviation</w:t>
      </w:r>
      <w:r>
        <w:rPr>
          <w:b w:val="0"/>
          <w:sz w:val="22"/>
          <w:szCs w:val="22"/>
        </w:rPr>
        <w:t xml:space="preserve"> in BGL-carbon accounting,</w:t>
      </w:r>
      <w:r w:rsidRPr="00705054">
        <w:rPr>
          <w:b w:val="0"/>
          <w:sz w:val="22"/>
          <w:szCs w:val="22"/>
        </w:rPr>
        <w:t xml:space="preserve"> </w:t>
      </w:r>
      <w:r w:rsidR="00BB3AF2">
        <w:rPr>
          <w:b w:val="0"/>
          <w:sz w:val="22"/>
          <w:szCs w:val="22"/>
        </w:rPr>
        <w:t xml:space="preserve">this </w:t>
      </w:r>
      <w:r w:rsidRPr="006F7FCF">
        <w:rPr>
          <w:b w:val="0"/>
          <w:sz w:val="22"/>
          <w:szCs w:val="22"/>
        </w:rPr>
        <w:t xml:space="preserve">CAR participation </w:t>
      </w:r>
      <w:r w:rsidR="00BB3AF2">
        <w:rPr>
          <w:b w:val="0"/>
          <w:sz w:val="22"/>
          <w:szCs w:val="22"/>
        </w:rPr>
        <w:t xml:space="preserve">base case </w:t>
      </w:r>
      <w:r>
        <w:rPr>
          <w:b w:val="0"/>
          <w:sz w:val="22"/>
          <w:szCs w:val="22"/>
        </w:rPr>
        <w:t xml:space="preserve">was </w:t>
      </w:r>
      <w:r w:rsidR="00962A72">
        <w:rPr>
          <w:b w:val="0"/>
          <w:sz w:val="22"/>
          <w:szCs w:val="22"/>
        </w:rPr>
        <w:t>$</w:t>
      </w:r>
      <w:r>
        <w:rPr>
          <w:b w:val="0"/>
          <w:sz w:val="22"/>
          <w:szCs w:val="22"/>
        </w:rPr>
        <w:t>165</w:t>
      </w:r>
      <w:r w:rsidRPr="006F7FCF">
        <w:rPr>
          <w:b w:val="0"/>
          <w:sz w:val="22"/>
          <w:szCs w:val="22"/>
        </w:rPr>
        <w:t>ac</w:t>
      </w:r>
      <w:r w:rsidRPr="006F7FCF">
        <w:rPr>
          <w:b w:val="0"/>
          <w:sz w:val="22"/>
          <w:szCs w:val="22"/>
          <w:vertAlign w:val="superscript"/>
        </w:rPr>
        <w:t>-1</w:t>
      </w:r>
      <w:r w:rsidRPr="006F7FCF">
        <w:rPr>
          <w:b w:val="0"/>
          <w:sz w:val="22"/>
          <w:szCs w:val="22"/>
        </w:rPr>
        <w:t xml:space="preserve"> </w:t>
      </w:r>
      <w:r>
        <w:rPr>
          <w:b w:val="0"/>
          <w:sz w:val="22"/>
          <w:szCs w:val="22"/>
        </w:rPr>
        <w:t>less</w:t>
      </w:r>
      <w:r w:rsidRPr="006F7FCF">
        <w:rPr>
          <w:b w:val="0"/>
          <w:sz w:val="22"/>
          <w:szCs w:val="22"/>
        </w:rPr>
        <w:t xml:space="preserve"> cost effective than</w:t>
      </w:r>
      <w:r>
        <w:rPr>
          <w:b w:val="0"/>
          <w:sz w:val="22"/>
          <w:szCs w:val="22"/>
        </w:rPr>
        <w:t xml:space="preserve"> the timber-only project scenario</w:t>
      </w:r>
      <w:r w:rsidR="00962A72">
        <w:rPr>
          <w:b w:val="0"/>
          <w:sz w:val="22"/>
          <w:szCs w:val="22"/>
        </w:rPr>
        <w:t xml:space="preserve"> under the low stumpage case but only </w:t>
      </w:r>
      <w:r w:rsidR="00962A72" w:rsidRPr="00962A72">
        <w:rPr>
          <w:b w:val="0"/>
          <w:sz w:val="22"/>
          <w:szCs w:val="22"/>
        </w:rPr>
        <w:t>$</w:t>
      </w:r>
      <w:r w:rsidR="00962A72">
        <w:rPr>
          <w:b w:val="0"/>
          <w:sz w:val="22"/>
          <w:szCs w:val="22"/>
        </w:rPr>
        <w:t>116</w:t>
      </w:r>
      <w:r w:rsidR="00962A72" w:rsidRPr="00962A72">
        <w:rPr>
          <w:bCs w:val="0"/>
          <w:sz w:val="22"/>
          <w:szCs w:val="22"/>
        </w:rPr>
        <w:t xml:space="preserve"> </w:t>
      </w:r>
      <w:r w:rsidR="00962A72" w:rsidRPr="00962A72">
        <w:rPr>
          <w:b w:val="0"/>
          <w:sz w:val="22"/>
          <w:szCs w:val="22"/>
        </w:rPr>
        <w:t>ac</w:t>
      </w:r>
      <w:r w:rsidR="00962A72" w:rsidRPr="00962A72">
        <w:rPr>
          <w:b w:val="0"/>
          <w:sz w:val="22"/>
          <w:szCs w:val="22"/>
          <w:vertAlign w:val="superscript"/>
        </w:rPr>
        <w:t>-1</w:t>
      </w:r>
      <w:r w:rsidR="00962A72" w:rsidRPr="00962A72">
        <w:rPr>
          <w:b w:val="0"/>
          <w:sz w:val="22"/>
          <w:szCs w:val="22"/>
        </w:rPr>
        <w:t xml:space="preserve"> less</w:t>
      </w:r>
      <w:r w:rsidR="00962A72">
        <w:rPr>
          <w:b w:val="0"/>
          <w:sz w:val="22"/>
          <w:szCs w:val="22"/>
        </w:rPr>
        <w:t xml:space="preserve"> under the high stumpage case</w:t>
      </w:r>
      <w:r w:rsidR="00C06ADF">
        <w:rPr>
          <w:b w:val="0"/>
          <w:sz w:val="22"/>
          <w:szCs w:val="22"/>
        </w:rPr>
        <w:t>.</w:t>
      </w:r>
      <w:r w:rsidRPr="006F7FCF">
        <w:rPr>
          <w:b w:val="0"/>
          <w:sz w:val="22"/>
          <w:szCs w:val="22"/>
        </w:rPr>
        <w:t xml:space="preserve"> </w:t>
      </w:r>
      <w:r w:rsidRPr="006F7FCF">
        <w:rPr>
          <w:rStyle w:val="apple-style-span"/>
          <w:b w:val="0"/>
          <w:color w:val="514D40"/>
          <w:sz w:val="22"/>
          <w:szCs w:val="22"/>
        </w:rPr>
        <w:t xml:space="preserve"> </w:t>
      </w:r>
      <w:r w:rsidRPr="006F7FCF">
        <w:rPr>
          <w:b w:val="0"/>
          <w:sz w:val="22"/>
          <w:szCs w:val="22"/>
        </w:rPr>
        <w:t xml:space="preserve"> </w:t>
      </w:r>
      <w:r w:rsidR="0052321E">
        <w:rPr>
          <w:b w:val="0"/>
          <w:sz w:val="22"/>
          <w:szCs w:val="22"/>
        </w:rPr>
        <w:t xml:space="preserve">This higher margin for the pessimistic stumpage case may be due to a shift in the pricing relationship between species that occurred </w:t>
      </w:r>
      <w:r w:rsidR="00911137">
        <w:rPr>
          <w:b w:val="0"/>
          <w:sz w:val="22"/>
          <w:szCs w:val="22"/>
        </w:rPr>
        <w:t>between the stumpage report publishing dates</w:t>
      </w:r>
      <w:r w:rsidR="0052321E">
        <w:rPr>
          <w:b w:val="0"/>
          <w:sz w:val="22"/>
          <w:szCs w:val="22"/>
        </w:rPr>
        <w:t xml:space="preserve">.  The </w:t>
      </w:r>
      <w:r w:rsidR="0052321E" w:rsidRPr="006F7FCF">
        <w:rPr>
          <w:b w:val="0"/>
          <w:sz w:val="22"/>
          <w:szCs w:val="22"/>
        </w:rPr>
        <w:t xml:space="preserve">Solver add-in for Microsoft Excel was used to try to find the carbon price required for CAR </w:t>
      </w:r>
      <w:r w:rsidR="0052321E">
        <w:rPr>
          <w:b w:val="0"/>
          <w:sz w:val="22"/>
          <w:szCs w:val="22"/>
        </w:rPr>
        <w:t>involvement</w:t>
      </w:r>
      <w:r w:rsidR="0052321E" w:rsidRPr="006F7FCF">
        <w:rPr>
          <w:b w:val="0"/>
          <w:sz w:val="22"/>
          <w:szCs w:val="22"/>
        </w:rPr>
        <w:t xml:space="preserve"> to merely break even with the timber-only project </w:t>
      </w:r>
      <w:r w:rsidR="0052321E" w:rsidRPr="00DC4C38">
        <w:rPr>
          <w:b w:val="0"/>
          <w:sz w:val="22"/>
          <w:szCs w:val="22"/>
        </w:rPr>
        <w:t>scenario but a NPV asymptote prevented a solution</w:t>
      </w:r>
      <w:r w:rsidR="0052321E">
        <w:rPr>
          <w:b w:val="0"/>
          <w:sz w:val="22"/>
          <w:szCs w:val="22"/>
        </w:rPr>
        <w:t>; t</w:t>
      </w:r>
      <w:r w:rsidR="0052321E" w:rsidRPr="00DC4C38">
        <w:rPr>
          <w:b w:val="0"/>
          <w:sz w:val="22"/>
          <w:szCs w:val="22"/>
        </w:rPr>
        <w:t>his asymptote was revealed as carbon price approached zero.  NPV actually exhibited a negative relationship with carbon price, peaking at near zero dollars Mt</w:t>
      </w:r>
      <w:r w:rsidR="0052321E" w:rsidRPr="00DC4C38">
        <w:rPr>
          <w:b w:val="0"/>
          <w:sz w:val="22"/>
          <w:szCs w:val="22"/>
          <w:vertAlign w:val="superscript"/>
        </w:rPr>
        <w:t>-1</w:t>
      </w:r>
      <w:r w:rsidR="0052321E" w:rsidRPr="00DC4C38">
        <w:rPr>
          <w:b w:val="0"/>
          <w:sz w:val="22"/>
          <w:szCs w:val="22"/>
        </w:rPr>
        <w:t xml:space="preserve"> and equaled $0 ac</w:t>
      </w:r>
      <w:r w:rsidR="0052321E" w:rsidRPr="00DC4C38">
        <w:rPr>
          <w:b w:val="0"/>
          <w:sz w:val="22"/>
          <w:szCs w:val="22"/>
          <w:vertAlign w:val="superscript"/>
        </w:rPr>
        <w:t>-1</w:t>
      </w:r>
      <w:r w:rsidR="0052321E" w:rsidRPr="00DC4C38">
        <w:rPr>
          <w:b w:val="0"/>
          <w:sz w:val="22"/>
          <w:szCs w:val="22"/>
        </w:rPr>
        <w:t xml:space="preserve"> at $</w:t>
      </w:r>
      <w:r w:rsidR="0052321E">
        <w:rPr>
          <w:b w:val="0"/>
          <w:sz w:val="22"/>
          <w:szCs w:val="22"/>
        </w:rPr>
        <w:t>344</w:t>
      </w:r>
      <w:r w:rsidR="0052321E" w:rsidRPr="00DC4C38">
        <w:rPr>
          <w:b w:val="0"/>
          <w:sz w:val="22"/>
          <w:szCs w:val="22"/>
        </w:rPr>
        <w:t xml:space="preserve"> Mt</w:t>
      </w:r>
      <w:r w:rsidR="0052321E" w:rsidRPr="00DC4C38">
        <w:rPr>
          <w:b w:val="0"/>
          <w:sz w:val="22"/>
          <w:szCs w:val="22"/>
          <w:vertAlign w:val="superscript"/>
        </w:rPr>
        <w:t>-1</w:t>
      </w:r>
      <w:r w:rsidR="0052321E" w:rsidRPr="00DC4C38">
        <w:rPr>
          <w:b w:val="0"/>
          <w:sz w:val="22"/>
          <w:szCs w:val="22"/>
        </w:rPr>
        <w:t>.</w:t>
      </w:r>
      <w:r w:rsidR="003806FF">
        <w:rPr>
          <w:b w:val="0"/>
          <w:sz w:val="22"/>
          <w:szCs w:val="22"/>
        </w:rPr>
        <w:t xml:space="preserve"> </w:t>
      </w:r>
      <w:r w:rsidR="0052321E" w:rsidRPr="001E223D">
        <w:t xml:space="preserve"> </w:t>
      </w:r>
      <w:r w:rsidR="0052321E" w:rsidRPr="00DC4C38">
        <w:rPr>
          <w:b w:val="0"/>
          <w:sz w:val="22"/>
          <w:szCs w:val="22"/>
        </w:rPr>
        <w:t xml:space="preserve">Figure </w:t>
      </w:r>
      <w:r w:rsidR="00B55293">
        <w:rPr>
          <w:b w:val="0"/>
          <w:sz w:val="22"/>
          <w:szCs w:val="22"/>
        </w:rPr>
        <w:t>5</w:t>
      </w:r>
      <w:r w:rsidR="0052321E">
        <w:rPr>
          <w:b w:val="0"/>
          <w:sz w:val="22"/>
          <w:szCs w:val="22"/>
        </w:rPr>
        <w:t xml:space="preserve"> depicts why this is the case; shortly after final harvests</w:t>
      </w:r>
      <w:r w:rsidR="0052321E" w:rsidRPr="00DC4C38">
        <w:rPr>
          <w:b w:val="0"/>
          <w:sz w:val="22"/>
          <w:szCs w:val="22"/>
        </w:rPr>
        <w:t xml:space="preserve"> commence, CRT liabilities dominate the projection.</w:t>
      </w:r>
    </w:p>
    <w:p w:rsidR="00C21739" w:rsidRDefault="00C21739" w:rsidP="00B55293">
      <w:pPr>
        <w:pStyle w:val="Caption"/>
        <w:spacing w:line="480" w:lineRule="auto"/>
      </w:pPr>
      <w:r>
        <w:rPr>
          <w:noProof/>
        </w:rPr>
        <w:lastRenderedPageBreak/>
        <w:drawing>
          <wp:inline distT="0" distB="0" distL="0" distR="0" wp14:anchorId="7623CF74" wp14:editId="56DA914C">
            <wp:extent cx="5939790" cy="4042410"/>
            <wp:effectExtent l="0" t="0" r="22860" b="1524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1739" w:rsidRPr="00A053D1" w:rsidRDefault="00C21739" w:rsidP="00C21739">
      <w:pPr>
        <w:pStyle w:val="Caption"/>
      </w:pPr>
      <w:proofErr w:type="gramStart"/>
      <w:r>
        <w:t xml:space="preserve">Figure </w:t>
      </w:r>
      <w:r w:rsidR="00B55293">
        <w:t>6</w:t>
      </w:r>
      <w:r>
        <w:t>.</w:t>
      </w:r>
      <w:proofErr w:type="gramEnd"/>
      <w:r>
        <w:t xml:space="preserve"> Carbon Reduction Tonnes ac</w:t>
      </w:r>
      <w:r w:rsidRPr="00A053D1">
        <w:rPr>
          <w:vertAlign w:val="superscript"/>
        </w:rPr>
        <w:t>-1</w:t>
      </w:r>
      <w:r>
        <w:rPr>
          <w:vertAlign w:val="superscript"/>
        </w:rPr>
        <w:t xml:space="preserve"> </w:t>
      </w:r>
      <w:r>
        <w:t xml:space="preserve">issued/surrendered in verification years </w:t>
      </w:r>
    </w:p>
    <w:p w:rsidR="001A549D" w:rsidRPr="00CB32C6" w:rsidRDefault="000E3213" w:rsidP="0077601B">
      <w:pPr>
        <w:spacing w:line="480" w:lineRule="auto"/>
        <w:ind w:firstLine="720"/>
      </w:pPr>
      <w:r w:rsidRPr="001A549D">
        <w:t>It should be noted that t</w:t>
      </w:r>
      <w:r w:rsidR="00615209" w:rsidRPr="001A549D">
        <w:t>h</w:t>
      </w:r>
      <w:r w:rsidRPr="001A549D">
        <w:t>e</w:t>
      </w:r>
      <w:r w:rsidR="00615209" w:rsidRPr="001A549D">
        <w:t xml:space="preserve"> quantity of </w:t>
      </w:r>
      <w:r w:rsidR="00EF17C9" w:rsidRPr="001A549D">
        <w:t xml:space="preserve">CRTs </w:t>
      </w:r>
      <w:r w:rsidR="00615209" w:rsidRPr="001A549D">
        <w:t>ac</w:t>
      </w:r>
      <w:r w:rsidR="00615209" w:rsidRPr="001A549D">
        <w:rPr>
          <w:vertAlign w:val="superscript"/>
        </w:rPr>
        <w:t xml:space="preserve">-1 </w:t>
      </w:r>
      <w:r w:rsidRPr="001A549D">
        <w:t>reported herein i</w:t>
      </w:r>
      <w:r w:rsidR="00607F18" w:rsidRPr="001A549D">
        <w:t xml:space="preserve">s specific to </w:t>
      </w:r>
      <w:r w:rsidR="00615209" w:rsidRPr="001A549D">
        <w:t>the management regime s</w:t>
      </w:r>
      <w:r w:rsidR="00607F18" w:rsidRPr="001A549D">
        <w:t xml:space="preserve">imulated so it does not vary with acreage.  </w:t>
      </w:r>
      <w:r w:rsidR="0026065E" w:rsidRPr="001A549D">
        <w:t>Yet</w:t>
      </w:r>
      <w:r w:rsidR="00607F18" w:rsidRPr="001A549D">
        <w:t xml:space="preserve">, project size strongly influences the financial prospects of a project as </w:t>
      </w:r>
      <w:r w:rsidR="00281747" w:rsidRPr="001A549D">
        <w:t>planning</w:t>
      </w:r>
      <w:r w:rsidRPr="001A549D">
        <w:t xml:space="preserve">, measurement, </w:t>
      </w:r>
      <w:r w:rsidR="00607F18" w:rsidRPr="001A549D">
        <w:t>and monitoring costs</w:t>
      </w:r>
      <w:r w:rsidR="009E54A6" w:rsidRPr="001A549D">
        <w:t xml:space="preserve"> ac</w:t>
      </w:r>
      <w:r w:rsidR="009E54A6" w:rsidRPr="001A549D">
        <w:rPr>
          <w:vertAlign w:val="superscript"/>
        </w:rPr>
        <w:t>-1</w:t>
      </w:r>
      <w:r w:rsidR="00607F18" w:rsidRPr="001A549D">
        <w:t xml:space="preserve"> are contingent on </w:t>
      </w:r>
      <w:r w:rsidR="006040F8" w:rsidRPr="001A549D">
        <w:t>project acreage</w:t>
      </w:r>
      <w:r w:rsidR="003908FA" w:rsidRPr="001A549D">
        <w:t xml:space="preserve"> </w:t>
      </w:r>
      <w:r w:rsidR="003908FA" w:rsidRPr="001A549D">
        <w:fldChar w:fldCharType="begin"/>
      </w:r>
      <w:r w:rsidR="00A87D07" w:rsidRPr="001A549D">
        <w:instrText xml:space="preserve"> ADDIN EN.CITE &lt;EndNote&gt;&lt;Cite&gt;&lt;Author&gt;Mooney&lt;/Author&gt;&lt;Year&gt;2004&lt;/Year&gt;&lt;RecNum&gt;258&lt;/RecNum&gt;&lt;Prefix&gt;e.g. &lt;/Prefix&gt;&lt;DisplayText&gt;(e.g. Mooney et al. 2004)&lt;/DisplayText&gt;&lt;record&gt;&lt;rec-number&gt;258&lt;/rec-number&gt;&lt;foreign-keys&gt;&lt;key app="EN" db-id="a90s5zadewrawxeer07v2f90xr5vxv022sat"&gt;258&lt;/key&gt;&lt;/foreign-keys&gt;&lt;ref-type name="Report"&gt;27&lt;/ref-type&gt;&lt;contributors&gt;&lt;authors&gt;&lt;author&gt;Siân Mooney&lt;/author&gt;&lt;author&gt;Sandra Brown&lt;/author&gt;&lt;author&gt;David Shoch&lt;/author&gt;&lt;/authors&gt;&lt;/contributors&gt;&lt;titles&gt;&lt;title&gt;Measurement and monitoring costs: Influence of parcel contiguity, carbon variability, project size and timing of measurement events&lt;/title&gt;&lt;/titles&gt;&lt;pages&gt;20&lt;/pages&gt;&lt;dates&gt;&lt;year&gt;2004&lt;/year&gt;&lt;/dates&gt;&lt;pub-location&gt;Arlington, VA&lt;/pub-location&gt;&lt;publisher&gt;Winrock International, Ecosystem Services Unit&lt;/publisher&gt;&lt;urls&gt;&lt;related-urls&gt;&lt;url&gt;http://www.winrock.org/ecosystems/files/Mooney_et_al_MMCosts-1-15-04.pdf&lt;/url&gt;&lt;/related-urls&gt;&lt;/urls&gt;&lt;/record&gt;&lt;/Cite&gt;&lt;/EndNote&gt;</w:instrText>
      </w:r>
      <w:r w:rsidR="003908FA" w:rsidRPr="001A549D">
        <w:fldChar w:fldCharType="separate"/>
      </w:r>
      <w:r w:rsidR="00A87D07" w:rsidRPr="001A549D">
        <w:rPr>
          <w:noProof/>
        </w:rPr>
        <w:t>(</w:t>
      </w:r>
      <w:hyperlink w:anchor="_ENREF_102" w:tooltip="Mooney, 2004 #258" w:history="1">
        <w:r w:rsidR="001E4C88" w:rsidRPr="001A549D">
          <w:rPr>
            <w:noProof/>
          </w:rPr>
          <w:t>e.g. Mooney et al. 2004</w:t>
        </w:r>
      </w:hyperlink>
      <w:r w:rsidR="00A87D07" w:rsidRPr="001A549D">
        <w:rPr>
          <w:noProof/>
        </w:rPr>
        <w:t>)</w:t>
      </w:r>
      <w:r w:rsidR="003908FA" w:rsidRPr="001A549D">
        <w:fldChar w:fldCharType="end"/>
      </w:r>
      <w:r w:rsidR="0026065E" w:rsidRPr="001A549D">
        <w:t xml:space="preserve">.  Such costs were difficult to obtain for more than one hypothetical project size, so project sizes </w:t>
      </w:r>
      <w:r w:rsidR="00961981" w:rsidRPr="001A549D">
        <w:t xml:space="preserve">smaller than 400ac </w:t>
      </w:r>
      <w:r w:rsidR="0026065E" w:rsidRPr="001A549D">
        <w:t>were not</w:t>
      </w:r>
      <w:r w:rsidR="00961981" w:rsidRPr="001A549D">
        <w:t xml:space="preserve"> evaluated</w:t>
      </w:r>
      <w:r w:rsidR="006040F8" w:rsidRPr="001A549D">
        <w:t>.</w:t>
      </w:r>
      <w:r w:rsidR="00615209" w:rsidRPr="001A549D">
        <w:t xml:space="preserve"> </w:t>
      </w:r>
      <w:r w:rsidR="00607F18" w:rsidRPr="001A549D">
        <w:t xml:space="preserve"> </w:t>
      </w:r>
      <w:r w:rsidR="00D95BA6" w:rsidRPr="001A549D">
        <w:t>Unless noted otherwise, the price of $10 Mt</w:t>
      </w:r>
      <w:r w:rsidR="00D95BA6" w:rsidRPr="001A549D">
        <w:rPr>
          <w:vertAlign w:val="superscript"/>
        </w:rPr>
        <w:t>-1</w:t>
      </w:r>
      <w:r w:rsidR="00D95BA6" w:rsidRPr="001A549D">
        <w:t xml:space="preserve"> is the basis of all </w:t>
      </w:r>
      <w:r w:rsidR="00A00EDC" w:rsidRPr="001A549D">
        <w:t>NPV</w:t>
      </w:r>
      <w:r w:rsidR="00D95BA6" w:rsidRPr="001A549D">
        <w:t xml:space="preserve"> calculations reported here</w:t>
      </w:r>
      <w:r w:rsidR="006B462E" w:rsidRPr="001A549D">
        <w:t>in</w:t>
      </w:r>
      <w:r w:rsidR="00D95BA6" w:rsidRPr="001A549D">
        <w:t xml:space="preserve">.  This price is considered high in today’s nascent U.S. offset market; on the other hand, it is assumed not to change throughout the 100 year projection.  Moreover, the high level of additionality assumed here and the value brought from sustaining the level of biodiversity in </w:t>
      </w:r>
      <w:r w:rsidR="009E54A6" w:rsidRPr="001A549D">
        <w:t xml:space="preserve">southern </w:t>
      </w:r>
      <w:r w:rsidR="00D95BA6" w:rsidRPr="001A549D">
        <w:t xml:space="preserve">Appalachian forests lends support to the use of a relatively high price; though it may not be </w:t>
      </w:r>
      <w:r w:rsidR="006B462E" w:rsidRPr="001A549D">
        <w:t xml:space="preserve">considered </w:t>
      </w:r>
      <w:r w:rsidR="00D95BA6" w:rsidRPr="001A549D">
        <w:t>so for long</w:t>
      </w:r>
      <w:r w:rsidR="000A2899" w:rsidRPr="001A549D">
        <w:t>,</w:t>
      </w:r>
      <w:r w:rsidR="00D95BA6" w:rsidRPr="001A549D">
        <w:t xml:space="preserve"> </w:t>
      </w:r>
      <w:r w:rsidR="000A2899" w:rsidRPr="001A549D">
        <w:t>as</w:t>
      </w:r>
      <w:r w:rsidR="00D95BA6" w:rsidRPr="001A549D">
        <w:t xml:space="preserve"> the first reported forward contract for California carbon emissions allowances was set at </w:t>
      </w:r>
      <w:r w:rsidR="00D95BA6" w:rsidRPr="001A549D">
        <w:rPr>
          <w:rStyle w:val="apple-style-span"/>
        </w:rPr>
        <w:t>$11.50</w:t>
      </w:r>
      <w:r w:rsidR="00D95BA6" w:rsidRPr="001A549D">
        <w:rPr>
          <w:rStyle w:val="apple-style-span"/>
          <w:color w:val="514D40"/>
        </w:rPr>
        <w:t xml:space="preserve"> </w:t>
      </w:r>
      <w:r w:rsidR="00D95BA6" w:rsidRPr="001A549D">
        <w:t>Mt</w:t>
      </w:r>
      <w:r w:rsidR="00D95BA6" w:rsidRPr="001A549D">
        <w:rPr>
          <w:vertAlign w:val="superscript"/>
        </w:rPr>
        <w:t xml:space="preserve">-1 </w:t>
      </w:r>
      <w:r w:rsidR="00CB32C6">
        <w:fldChar w:fldCharType="begin"/>
      </w:r>
      <w:r w:rsidR="00CE2DF2">
        <w:instrText xml:space="preserve"> ADDIN EN.CITE &lt;EndNote&gt;&lt;Cite ExcludeAuth="1"&gt;&lt;Year&gt;Carbon Positive, November 25, 2010&lt;/Year&gt;&lt;RecNum&gt;247&lt;/RecNum&gt;&lt;DisplayText&gt;(Carbon Positive, November 25, 2010)&lt;/DisplayText&gt;&lt;record&gt;&lt;rec-number&gt;247&lt;/rec-number&gt;&lt;foreign-keys&gt;&lt;key app="EN" db-id="a90s5zadewrawxeer07v2f90xr5vxv022sat"&gt;247&lt;/key&gt;&lt;/foreign-keys&gt;&lt;ref-type name="Web Page"&gt;12&lt;/ref-type&gt;&lt;contributors&gt;&lt;/contributors&gt;&lt;titles&gt;&lt;title&gt;First California carbon trade at $11.50&lt;/title&gt;&lt;/titles&gt;&lt;number&gt;December 2, 2010&lt;/number&gt;&lt;dates&gt;&lt;year&gt;Carbon Positive, November 25, 2010&lt;/year&gt;&lt;/dates&gt;&lt;urls&gt;&lt;related-urls&gt;&lt;url&gt;http://www.carbonpositive.net/viewarticle.aspx?articleID=2197&lt;/url&gt;&lt;/related-urls&gt;&lt;/urls&gt;&lt;/record&gt;&lt;/Cite&gt;&lt;/EndNote&gt;</w:instrText>
      </w:r>
      <w:r w:rsidR="00CB32C6">
        <w:fldChar w:fldCharType="separate"/>
      </w:r>
      <w:r w:rsidR="00CE2DF2">
        <w:rPr>
          <w:noProof/>
        </w:rPr>
        <w:t>(</w:t>
      </w:r>
      <w:hyperlink w:anchor="_ENREF_3" w:tooltip=", Carbon Positive, November 25, 2010 #247" w:history="1">
        <w:r w:rsidR="001E4C88">
          <w:rPr>
            <w:noProof/>
          </w:rPr>
          <w:t>Carbon Positive 2010</w:t>
        </w:r>
      </w:hyperlink>
      <w:r w:rsidR="00CE2DF2">
        <w:rPr>
          <w:noProof/>
        </w:rPr>
        <w:t>)</w:t>
      </w:r>
      <w:r w:rsidR="00CB32C6">
        <w:fldChar w:fldCharType="end"/>
      </w:r>
      <w:r w:rsidR="00D95BA6" w:rsidRPr="00CB32C6">
        <w:rPr>
          <w:rStyle w:val="apple-style-span"/>
        </w:rPr>
        <w:t>.</w:t>
      </w:r>
      <w:r w:rsidR="0077601B" w:rsidRPr="00CB32C6">
        <w:t xml:space="preserve"> </w:t>
      </w:r>
    </w:p>
    <w:p w:rsidR="00432EDB" w:rsidRPr="004914A5" w:rsidRDefault="0077601B" w:rsidP="00310EE8">
      <w:pPr>
        <w:spacing w:line="480" w:lineRule="auto"/>
        <w:ind w:firstLine="720"/>
        <w:rPr>
          <w:b/>
        </w:rPr>
      </w:pPr>
      <w:r>
        <w:lastRenderedPageBreak/>
        <w:t xml:space="preserve">New CAR aggregation rules will now render cost-effective IFM projects that would not otherwise be viable.  Many IFM project developers assume the up-front costs of project development, measurement and monitoring in exchange for a percentage of carbon credit sales.  As aggregators are likely to be the most generous in this regard, an extreme case of such an arrangement was tested in which all of these costs </w:t>
      </w:r>
      <w:r w:rsidR="00CB32C6">
        <w:t>t</w:t>
      </w:r>
      <w:r>
        <w:t xml:space="preserve">hroughout the 100 year period were ignored except CAR fees and </w:t>
      </w:r>
      <w:r w:rsidRPr="00947AED">
        <w:t xml:space="preserve">the aggregator’s percentage of sales of </w:t>
      </w:r>
      <w:r>
        <w:t>issued CRTs.</w:t>
      </w:r>
      <w:r w:rsidRPr="00947AED">
        <w:t xml:space="preserve"> </w:t>
      </w:r>
      <w:r>
        <w:t xml:space="preserve"> </w:t>
      </w:r>
      <w:r w:rsidRPr="00947AED">
        <w:t>The resulting NPV</w:t>
      </w:r>
      <w:r w:rsidR="0014327B">
        <w:t xml:space="preserve">s </w:t>
      </w:r>
      <w:r>
        <w:t>still fell short of the timber-only project; though, at a price of zero Mt</w:t>
      </w:r>
      <w:r w:rsidRPr="002925DE">
        <w:rPr>
          <w:vertAlign w:val="superscript"/>
        </w:rPr>
        <w:t>-1</w:t>
      </w:r>
      <w:r>
        <w:t xml:space="preserve">, they were roughly equal.  Thus, CAR participation would provide no additional value to the oak-management scenario even when assuming away implementation costs. </w:t>
      </w:r>
      <w:r w:rsidR="00A84068">
        <w:t xml:space="preserve"> In this case, results reflect the findings of </w:t>
      </w:r>
      <w:proofErr w:type="spellStart"/>
      <w:r w:rsidR="00A84068">
        <w:t>Galik</w:t>
      </w:r>
      <w:proofErr w:type="spellEnd"/>
      <w:r w:rsidR="00A84068">
        <w:t xml:space="preserve"> et al. </w:t>
      </w:r>
      <w:r w:rsidR="00CC15F4">
        <w:t xml:space="preserve">(2009b) </w:t>
      </w:r>
      <w:r w:rsidR="00A84068">
        <w:t xml:space="preserve">in that protocol accounting methods </w:t>
      </w:r>
      <w:r w:rsidR="00CC15F4">
        <w:t xml:space="preserve">are more consequential to project feasibility </w:t>
      </w:r>
      <w:r w:rsidR="00A84068">
        <w:t xml:space="preserve">than </w:t>
      </w:r>
      <w:r w:rsidR="00CC15F4">
        <w:t>implementation</w:t>
      </w:r>
      <w:r w:rsidR="00A84068">
        <w:t xml:space="preserve"> costs.</w:t>
      </w:r>
    </w:p>
    <w:p w:rsidR="00963270" w:rsidRPr="007523E9" w:rsidRDefault="007523E9" w:rsidP="00A91718">
      <w:pPr>
        <w:numPr>
          <w:ilvl w:val="1"/>
          <w:numId w:val="21"/>
        </w:numPr>
        <w:spacing w:line="480" w:lineRule="auto"/>
        <w:ind w:left="450"/>
        <w:rPr>
          <w:b/>
          <w:i/>
        </w:rPr>
      </w:pPr>
      <w:r>
        <w:rPr>
          <w:b/>
          <w:i/>
        </w:rPr>
        <w:t>Results from Potential Protocol Refinements</w:t>
      </w:r>
    </w:p>
    <w:p w:rsidR="001C09A7" w:rsidRDefault="00662190" w:rsidP="00E37230">
      <w:pPr>
        <w:spacing w:line="480" w:lineRule="auto"/>
        <w:ind w:firstLine="720"/>
      </w:pPr>
      <w:r>
        <w:t xml:space="preserve">If the CAR protocol is to be </w:t>
      </w:r>
      <w:r w:rsidR="009139A1">
        <w:t>workable for IFM projects</w:t>
      </w:r>
      <w:r w:rsidR="002223DC">
        <w:t xml:space="preserve"> that continue management for timber </w:t>
      </w:r>
      <w:r w:rsidR="00C33979">
        <w:t xml:space="preserve">products </w:t>
      </w:r>
      <w:r w:rsidR="002223DC">
        <w:t xml:space="preserve">after </w:t>
      </w:r>
      <w:r w:rsidR="00EB048A">
        <w:t>project registration</w:t>
      </w:r>
      <w:r>
        <w:t xml:space="preserve">, </w:t>
      </w:r>
      <w:r w:rsidRPr="009139A1">
        <w:t xml:space="preserve">it must not </w:t>
      </w:r>
      <w:r w:rsidR="009139A1" w:rsidRPr="009139A1">
        <w:t>inflate</w:t>
      </w:r>
      <w:r w:rsidRPr="009139A1">
        <w:t xml:space="preserve"> the tradeoff between timber and </w:t>
      </w:r>
      <w:r w:rsidR="009139A1" w:rsidRPr="009139A1">
        <w:t>carbon values</w:t>
      </w:r>
      <w:r w:rsidRPr="009139A1">
        <w:t xml:space="preserve"> </w:t>
      </w:r>
      <w:r>
        <w:t xml:space="preserve">as it appears to do.  </w:t>
      </w:r>
      <w:r w:rsidR="00E37158">
        <w:t>Thus, i</w:t>
      </w:r>
      <w:r>
        <w:t xml:space="preserve">n pursuit of the principal factors determining IFM feasibility under the circumstances herein, </w:t>
      </w:r>
      <w:r w:rsidR="00E37158">
        <w:t xml:space="preserve">reasoned </w:t>
      </w:r>
      <w:r>
        <w:t>adjustments to the baseline methodology and rules governing how reversals are resolved were tested to reveal the relative influence each adjustment had on the project’s economic performance.</w:t>
      </w:r>
      <w:r w:rsidR="00E37158">
        <w:t xml:space="preserve">  The first hypothetical modification was made to the rules governing compensation of reversals</w:t>
      </w:r>
      <w:r w:rsidR="002223DC">
        <w:t xml:space="preserve"> because they were</w:t>
      </w:r>
      <w:r w:rsidR="00947AED">
        <w:t xml:space="preserve"> hypothesized to be </w:t>
      </w:r>
      <w:r w:rsidR="00B91E95">
        <w:t>the cause of the negative</w:t>
      </w:r>
      <w:r w:rsidR="002223DC">
        <w:t xml:space="preserve"> relationship</w:t>
      </w:r>
      <w:r w:rsidR="008E2B4C">
        <w:t xml:space="preserve"> found</w:t>
      </w:r>
      <w:r w:rsidR="002223DC">
        <w:t xml:space="preserve"> between NPV and carbon price</w:t>
      </w:r>
      <w:r w:rsidR="00E04A9D">
        <w:t xml:space="preserve">.  </w:t>
      </w:r>
      <w:r w:rsidR="005F3908">
        <w:rPr>
          <w:noProof/>
        </w:rPr>
        <w:t>Note that p</w:t>
      </w:r>
      <w:r w:rsidR="005F3908" w:rsidRPr="00174CCD">
        <w:rPr>
          <w:noProof/>
        </w:rPr>
        <w:t xml:space="preserve">rojects under 1,000ac </w:t>
      </w:r>
      <w:r w:rsidR="005F3908">
        <w:rPr>
          <w:noProof/>
        </w:rPr>
        <w:t xml:space="preserve">are permitted </w:t>
      </w:r>
      <w:r w:rsidR="005F3908" w:rsidRPr="00174CCD">
        <w:rPr>
          <w:noProof/>
        </w:rPr>
        <w:t xml:space="preserve">to reduce AGL </w:t>
      </w:r>
      <w:r w:rsidR="005F3908">
        <w:rPr>
          <w:noProof/>
        </w:rPr>
        <w:t xml:space="preserve">carbon </w:t>
      </w:r>
      <w:r w:rsidR="005F3908" w:rsidRPr="00174CCD">
        <w:rPr>
          <w:noProof/>
        </w:rPr>
        <w:t xml:space="preserve">stocks </w:t>
      </w:r>
      <w:r w:rsidR="005F3908">
        <w:rPr>
          <w:noProof/>
        </w:rPr>
        <w:t xml:space="preserve">to 20 percent </w:t>
      </w:r>
      <w:r w:rsidR="005F3908" w:rsidRPr="00174CCD">
        <w:rPr>
          <w:noProof/>
        </w:rPr>
        <w:t xml:space="preserve">below </w:t>
      </w:r>
      <w:r w:rsidR="005F3908">
        <w:rPr>
          <w:noProof/>
        </w:rPr>
        <w:t>the minimum baseline level (MBL)</w:t>
      </w:r>
      <w:r w:rsidR="005F3908" w:rsidRPr="00174CCD">
        <w:rPr>
          <w:noProof/>
        </w:rPr>
        <w:t xml:space="preserve"> </w:t>
      </w:r>
      <w:r w:rsidR="005F3908">
        <w:rPr>
          <w:noProof/>
        </w:rPr>
        <w:t xml:space="preserve">of AGL carbon as part of normal </w:t>
      </w:r>
      <w:r w:rsidR="005F3908" w:rsidRPr="00174CCD">
        <w:rPr>
          <w:noProof/>
        </w:rPr>
        <w:t xml:space="preserve">silvicultural activities, </w:t>
      </w:r>
      <w:r w:rsidR="005F3908">
        <w:rPr>
          <w:noProof/>
        </w:rPr>
        <w:t xml:space="preserve">but as previously mentioned, the reversals must be fully compensated for.  </w:t>
      </w:r>
      <w:r w:rsidR="00141D96">
        <w:t>The NPV of the</w:t>
      </w:r>
      <w:r w:rsidR="00E04A9D">
        <w:t xml:space="preserve"> unadjusted</w:t>
      </w:r>
      <w:r w:rsidR="007523E9">
        <w:rPr>
          <w:rStyle w:val="FootnoteReference"/>
        </w:rPr>
        <w:footnoteReference w:id="30"/>
      </w:r>
      <w:r w:rsidR="00141D96">
        <w:t xml:space="preserve"> </w:t>
      </w:r>
      <w:r w:rsidR="000D15BB">
        <w:t>baseline</w:t>
      </w:r>
      <w:r w:rsidR="00E04A9D">
        <w:t xml:space="preserve"> </w:t>
      </w:r>
      <w:r w:rsidR="000251C3">
        <w:t>case</w:t>
      </w:r>
      <w:r w:rsidR="00141D96">
        <w:t xml:space="preserve"> </w:t>
      </w:r>
      <w:r w:rsidR="00CA0756">
        <w:t xml:space="preserve">grew by </w:t>
      </w:r>
      <w:r w:rsidR="000D15BB">
        <w:t xml:space="preserve">about </w:t>
      </w:r>
      <w:r w:rsidR="00CA0756">
        <w:t>$</w:t>
      </w:r>
      <w:r w:rsidR="00005160">
        <w:t>49</w:t>
      </w:r>
      <w:r w:rsidR="00CA0756">
        <w:t>ac</w:t>
      </w:r>
      <w:r w:rsidR="00CA0756" w:rsidRPr="004F0FEB">
        <w:rPr>
          <w:vertAlign w:val="superscript"/>
        </w:rPr>
        <w:t>-</w:t>
      </w:r>
      <w:r w:rsidR="00E04A9D">
        <w:rPr>
          <w:vertAlign w:val="superscript"/>
        </w:rPr>
        <w:t>1</w:t>
      </w:r>
      <w:r w:rsidR="00CA0756">
        <w:t xml:space="preserve"> </w:t>
      </w:r>
      <w:r w:rsidR="00EB048A">
        <w:t>($</w:t>
      </w:r>
      <w:r w:rsidR="00005160">
        <w:t>19</w:t>
      </w:r>
      <w:r w:rsidR="00EB048A">
        <w:t>,</w:t>
      </w:r>
      <w:r w:rsidR="00005160">
        <w:t>60</w:t>
      </w:r>
      <w:r w:rsidR="00EB048A">
        <w:t xml:space="preserve">0 total) </w:t>
      </w:r>
      <w:r w:rsidR="000251C3">
        <w:t xml:space="preserve">to </w:t>
      </w:r>
      <w:r w:rsidR="000251C3" w:rsidRPr="000251C3">
        <w:t>$</w:t>
      </w:r>
      <w:r w:rsidR="00005160" w:rsidRPr="00005160">
        <w:t>1</w:t>
      </w:r>
      <w:r w:rsidR="00005160">
        <w:t>,</w:t>
      </w:r>
      <w:r w:rsidR="00005160" w:rsidRPr="00005160">
        <w:t>225.7-</w:t>
      </w:r>
      <w:r w:rsidR="00005160">
        <w:lastRenderedPageBreak/>
        <w:t>$</w:t>
      </w:r>
      <w:r w:rsidR="00005160" w:rsidRPr="00005160">
        <w:t>1</w:t>
      </w:r>
      <w:r w:rsidR="00005160">
        <w:t>,</w:t>
      </w:r>
      <w:r w:rsidR="00005160" w:rsidRPr="00005160">
        <w:t>822.2</w:t>
      </w:r>
      <w:r w:rsidR="000251C3" w:rsidRPr="000251C3">
        <w:t>ac</w:t>
      </w:r>
      <w:r w:rsidR="000251C3" w:rsidRPr="000251C3">
        <w:rPr>
          <w:vertAlign w:val="superscript"/>
        </w:rPr>
        <w:t>-1</w:t>
      </w:r>
      <w:r w:rsidR="000251C3">
        <w:rPr>
          <w:b/>
          <w:vertAlign w:val="superscript"/>
        </w:rPr>
        <w:t xml:space="preserve"> </w:t>
      </w:r>
      <w:r w:rsidR="00141D96">
        <w:t>under the assumption that</w:t>
      </w:r>
      <w:r w:rsidR="004F0FEB">
        <w:t>,</w:t>
      </w:r>
      <w:r w:rsidR="00141D96">
        <w:t xml:space="preserve"> </w:t>
      </w:r>
      <w:r w:rsidR="004F0FEB">
        <w:t xml:space="preserve">in years in which reversals occurred, </w:t>
      </w:r>
      <w:r w:rsidR="00141D96">
        <w:t xml:space="preserve">project owners were only responsible for paying back </w:t>
      </w:r>
      <w:r w:rsidR="00141D96" w:rsidRPr="00FE0D16">
        <w:t>CRTs issued prior</w:t>
      </w:r>
      <w:r w:rsidR="004F0FEB" w:rsidRPr="00FE0D16">
        <w:t xml:space="preserve"> to that time</w:t>
      </w:r>
      <w:r w:rsidR="009B0915" w:rsidRPr="00FE0D16">
        <w:t>,</w:t>
      </w:r>
      <w:r w:rsidR="00CA0756" w:rsidRPr="00FE0D16">
        <w:t xml:space="preserve"> in lieu of </w:t>
      </w:r>
      <w:r w:rsidR="00D855AC" w:rsidRPr="00FE0D16">
        <w:t xml:space="preserve">the current rule that stipulates compensating for </w:t>
      </w:r>
      <w:r w:rsidR="00CA0756" w:rsidRPr="00FE0D16">
        <w:t>the entire reversal</w:t>
      </w:r>
      <w:r w:rsidR="00141D96" w:rsidRPr="00FE0D16">
        <w:t>.</w:t>
      </w:r>
      <w:r w:rsidR="00D855AC" w:rsidRPr="00FE0D16">
        <w:t xml:space="preserve">  </w:t>
      </w:r>
      <w:r w:rsidR="001C09A7">
        <w:t xml:space="preserve">The effect of this modification on the quantity of CRTs traded is demonstrated in figure </w:t>
      </w:r>
      <w:r w:rsidR="00B55293">
        <w:t>6</w:t>
      </w:r>
      <w:r w:rsidR="001C09A7">
        <w:t xml:space="preserve"> (in red) by the reduced amount of CRTs purchased for reversals and the subsequent disappearance of CRT trades.  </w:t>
      </w:r>
      <w:r w:rsidR="00E37230">
        <w:t>This change was examined because necessitating compensation fo</w:t>
      </w:r>
      <w:r w:rsidR="00CA64C4">
        <w:t xml:space="preserve">r negative carbon stock-changes </w:t>
      </w:r>
      <w:r w:rsidR="00E37230">
        <w:t>beyond the CRTs issued prior to the reversal seems t</w:t>
      </w:r>
      <w:r w:rsidR="00CA64C4">
        <w:t>o unnecessarily penalize</w:t>
      </w:r>
      <w:r w:rsidR="00E37230">
        <w:t xml:space="preserve"> owners that do not choose to sacrifice ti</w:t>
      </w:r>
      <w:r w:rsidR="00EB048A">
        <w:t xml:space="preserve">mber </w:t>
      </w:r>
      <w:r w:rsidR="00CA64C4">
        <w:t>value</w:t>
      </w:r>
      <w:r w:rsidR="00EB048A">
        <w:t xml:space="preserve"> for carbon value.</w:t>
      </w:r>
    </w:p>
    <w:p w:rsidR="005F3908" w:rsidRDefault="00E37230" w:rsidP="001C09A7">
      <w:pPr>
        <w:spacing w:line="480" w:lineRule="auto"/>
        <w:ind w:firstLine="720"/>
      </w:pPr>
      <w:r>
        <w:t>In fact, eliminating this punitive measure corrected the negative relationship between NPV and carbon price</w:t>
      </w:r>
      <w:r w:rsidR="00E4018F">
        <w:t xml:space="preserve"> </w:t>
      </w:r>
      <w:r>
        <w:t>and allowed an i</w:t>
      </w:r>
      <w:r w:rsidR="005343C9">
        <w:t>nitial break-even carbon price</w:t>
      </w:r>
      <w:r>
        <w:t xml:space="preserve"> to be found</w:t>
      </w:r>
      <w:r w:rsidR="001C09A7">
        <w:t xml:space="preserve">.  A price of at least </w:t>
      </w:r>
      <w:r w:rsidR="001C09A7" w:rsidRPr="000251C3">
        <w:t>$</w:t>
      </w:r>
      <w:r w:rsidR="00005160">
        <w:t>52.9</w:t>
      </w:r>
      <w:r w:rsidR="001C09A7" w:rsidRPr="000251C3">
        <w:t xml:space="preserve"> Mt</w:t>
      </w:r>
      <w:r w:rsidR="001C09A7" w:rsidRPr="000251C3">
        <w:rPr>
          <w:vertAlign w:val="superscript"/>
        </w:rPr>
        <w:t>-1</w:t>
      </w:r>
      <w:r w:rsidR="001C09A7" w:rsidRPr="000251C3">
        <w:t xml:space="preserve"> </w:t>
      </w:r>
      <w:r w:rsidR="001C09A7">
        <w:t>was necessary to render CAR participation favorable over the timber-only project scenario but assuming away implementation costs brought this down to $0.</w:t>
      </w:r>
      <w:r w:rsidR="00005160">
        <w:t>45</w:t>
      </w:r>
      <w:r w:rsidR="001C09A7">
        <w:t xml:space="preserve"> Mt</w:t>
      </w:r>
      <w:r w:rsidR="001C09A7" w:rsidRPr="002925DE">
        <w:rPr>
          <w:vertAlign w:val="superscript"/>
        </w:rPr>
        <w:t>-1</w:t>
      </w:r>
      <w:r w:rsidR="00005160">
        <w:rPr>
          <w:vertAlign w:val="superscript"/>
        </w:rPr>
        <w:t xml:space="preserve"> </w:t>
      </w:r>
      <w:r w:rsidR="00005160">
        <w:t>under the one</w:t>
      </w:r>
      <w:r w:rsidR="00FE0D16">
        <w:t xml:space="preserve"> per</w:t>
      </w:r>
      <w:r w:rsidR="006E5012">
        <w:t>cent growth rate in carbon price</w:t>
      </w:r>
      <w:r w:rsidR="0042249B" w:rsidRPr="001A549D">
        <w:rPr>
          <w:rStyle w:val="FootnoteReference"/>
        </w:rPr>
        <w:footnoteReference w:id="31"/>
      </w:r>
      <w:r w:rsidR="00005160">
        <w:t>.</w:t>
      </w:r>
      <w:r w:rsidR="00FE0D16">
        <w:t xml:space="preserve"> </w:t>
      </w:r>
      <w:r w:rsidR="001C09A7">
        <w:t>Although this adjustment to reversal compensation is economically desirable and is justified by these results, the consequent economic improvement of the IFM project case under realistic carbon prices was not enough to justify CAR engagement compared to the timber-only project case unless all implementation costs were assumed by the aggregator</w:t>
      </w:r>
      <w:r w:rsidR="00194290">
        <w:t>.</w:t>
      </w:r>
      <w:r w:rsidR="005F3908" w:rsidRPr="005F3908">
        <w:t xml:space="preserve"> </w:t>
      </w:r>
      <w:r w:rsidR="005F3908">
        <w:t xml:space="preserve"> </w:t>
      </w:r>
      <w:r w:rsidR="005F3908" w:rsidRPr="005F3908">
        <w:t>It should be noted that even under a minimal rate of increase, high initial carbon prices grow to unrealistic quantities in the latter part of the simulation, so the break-even prices assumed to grow are only realistic at relatively low initial prices.  Moreover, a growing carbon price yields higher year-one break-even prices than those assumed to be constant, owing to the fact that the number of CRTs sold are eventually repurchased at a hi</w:t>
      </w:r>
      <w:r w:rsidR="00911137">
        <w:t xml:space="preserve">gher price in reversal-years.  </w:t>
      </w:r>
      <w:r w:rsidR="005F3908" w:rsidRPr="005F3908">
        <w:t xml:space="preserve">Given that carbon offset prices are likely to increase in the future and that aggregators probably will not be able to cover costs as generously as the extreme example </w:t>
      </w:r>
      <w:r w:rsidR="005F3908" w:rsidRPr="005F3908">
        <w:lastRenderedPageBreak/>
        <w:t xml:space="preserve">tested, results generated under the 1 percent price growth and full cost assumptions deserve the most attention (see </w:t>
      </w:r>
      <w:r w:rsidR="00AD65FB">
        <w:t>a</w:t>
      </w:r>
      <w:r w:rsidR="005F3908" w:rsidRPr="005F3908">
        <w:t xml:space="preserve">ppendix </w:t>
      </w:r>
      <w:r w:rsidR="00AD65FB">
        <w:t>B</w:t>
      </w:r>
      <w:r w:rsidR="005F3908" w:rsidRPr="005F3908">
        <w:t xml:space="preserve">).  </w:t>
      </w:r>
    </w:p>
    <w:p w:rsidR="00143E4F" w:rsidRDefault="005343C9" w:rsidP="009D2A81">
      <w:pPr>
        <w:tabs>
          <w:tab w:val="left" w:pos="0"/>
        </w:tabs>
        <w:spacing w:line="480" w:lineRule="auto"/>
      </w:pPr>
      <w:r>
        <w:tab/>
      </w:r>
      <w:r w:rsidR="00194290">
        <w:t>In a second variation of the protocol, t</w:t>
      </w:r>
      <w:r w:rsidR="00F60D99">
        <w:t xml:space="preserve">he method to quantify annual changes in </w:t>
      </w:r>
      <w:r w:rsidR="006E5012">
        <w:t xml:space="preserve">baseline-HWP </w:t>
      </w:r>
      <w:r w:rsidR="00F60D99">
        <w:t xml:space="preserve">carbon stocks (after discounting by averaged </w:t>
      </w:r>
      <w:r w:rsidR="00845049">
        <w:t>100-year decay factors</w:t>
      </w:r>
      <w:r w:rsidR="00F60D99">
        <w:t xml:space="preserve">) was </w:t>
      </w:r>
      <w:r w:rsidR="00406F46">
        <w:t>adapted to account</w:t>
      </w:r>
      <w:r w:rsidR="00F60D99">
        <w:t xml:space="preserve"> for changes </w:t>
      </w:r>
      <w:r w:rsidR="00983181">
        <w:t xml:space="preserve">as harvests occurred </w:t>
      </w:r>
      <w:r w:rsidR="00F60D99">
        <w:t xml:space="preserve">on an annual basis (depicted at the bottom of figure </w:t>
      </w:r>
      <w:r w:rsidR="00FB3CAC">
        <w:t>7</w:t>
      </w:r>
      <w:r w:rsidR="00F60D99">
        <w:t>)</w:t>
      </w:r>
      <w:r w:rsidR="00406F46">
        <w:t xml:space="preserve">. </w:t>
      </w:r>
      <w:r w:rsidR="00F60D99">
        <w:t xml:space="preserve"> </w:t>
      </w:r>
      <w:r w:rsidR="006132A8">
        <w:t xml:space="preserve">The current method calls for </w:t>
      </w:r>
      <w:r w:rsidR="006E5012">
        <w:t>HWP stock-</w:t>
      </w:r>
      <w:r w:rsidR="00F60D99">
        <w:t xml:space="preserve">changes </w:t>
      </w:r>
      <w:r w:rsidR="00406F46">
        <w:t>over the project</w:t>
      </w:r>
      <w:r w:rsidR="00F60D99">
        <w:t xml:space="preserve"> </w:t>
      </w:r>
      <w:r w:rsidR="006132A8">
        <w:t>to be</w:t>
      </w:r>
      <w:r w:rsidR="00406F46">
        <w:t xml:space="preserve"> </w:t>
      </w:r>
      <w:r w:rsidR="00F60D99">
        <w:t>annualize</w:t>
      </w:r>
      <w:r w:rsidR="00406F46">
        <w:t xml:space="preserve">d (averaged over the 100 years) </w:t>
      </w:r>
      <w:r w:rsidR="00F60D99">
        <w:t xml:space="preserve">so that annual changes in HWP stocks </w:t>
      </w:r>
      <w:r w:rsidR="006132A8">
        <w:t>are</w:t>
      </w:r>
      <w:r w:rsidR="00F60D99">
        <w:t xml:space="preserve"> constant and applied in each year in the baseline</w:t>
      </w:r>
      <w:r w:rsidR="0096709C">
        <w:t xml:space="preserve"> (seen in black)</w:t>
      </w:r>
      <w:r w:rsidR="00F60D99">
        <w:t xml:space="preserve">.  </w:t>
      </w:r>
      <w:r w:rsidR="00845049">
        <w:t xml:space="preserve">Although the project scenario renders a HWP pool more than double the size of the baseline-HWP pool over the project term, baseline-HWP stock changes under the adjusted accounting method disproportionately affect the project in early years.  </w:t>
      </w:r>
      <w:r w:rsidR="00F60D99">
        <w:t>Th</w:t>
      </w:r>
      <w:r w:rsidR="00845049">
        <w:t>is adjustment</w:t>
      </w:r>
      <w:r w:rsidR="00F60D99">
        <w:t xml:space="preserve"> allow</w:t>
      </w:r>
      <w:r w:rsidR="006132A8">
        <w:t>ed</w:t>
      </w:r>
      <w:r w:rsidR="00F60D99">
        <w:t xml:space="preserve"> the project’s creditable carbon to be drawn down b</w:t>
      </w:r>
      <w:r w:rsidR="009E75FE">
        <w:t xml:space="preserve">y the </w:t>
      </w:r>
      <w:r w:rsidR="00EB048A">
        <w:t xml:space="preserve">simulated </w:t>
      </w:r>
      <w:r w:rsidR="009E75FE">
        <w:t>amount of baseline-</w:t>
      </w:r>
      <w:r w:rsidR="006E5012">
        <w:t>HWP stock-</w:t>
      </w:r>
      <w:r w:rsidR="00F60D99">
        <w:t xml:space="preserve">changes (shown in </w:t>
      </w:r>
      <w:r w:rsidR="00282AFF">
        <w:t xml:space="preserve">light </w:t>
      </w:r>
      <w:r w:rsidR="00F60D99">
        <w:t xml:space="preserve">orange in figure </w:t>
      </w:r>
      <w:r w:rsidR="00FB3CAC">
        <w:t>7</w:t>
      </w:r>
      <w:r w:rsidR="009E75FE">
        <w:t>,</w:t>
      </w:r>
      <w:r w:rsidR="00F60D99">
        <w:t xml:space="preserve"> before the requisite 20 percent market leakage discount), </w:t>
      </w:r>
    </w:p>
    <w:p w:rsidR="0096709C" w:rsidRDefault="009D1F9F" w:rsidP="009D2A81">
      <w:pPr>
        <w:tabs>
          <w:tab w:val="left" w:pos="0"/>
        </w:tabs>
        <w:spacing w:line="480" w:lineRule="auto"/>
      </w:pPr>
      <w:r>
        <w:rPr>
          <w:noProof/>
        </w:rPr>
        <w:drawing>
          <wp:inline distT="0" distB="0" distL="0" distR="0" wp14:anchorId="61BD662A" wp14:editId="51573A19">
            <wp:extent cx="6383867" cy="3488267"/>
            <wp:effectExtent l="0" t="0" r="17145"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0D99" w:rsidRDefault="0096709C" w:rsidP="0096709C">
      <w:pPr>
        <w:pStyle w:val="Caption"/>
      </w:pPr>
      <w:proofErr w:type="gramStart"/>
      <w:r>
        <w:t xml:space="preserve">Figure </w:t>
      </w:r>
      <w:r w:rsidR="00FB3CAC">
        <w:t>7</w:t>
      </w:r>
      <w:r>
        <w:t>.</w:t>
      </w:r>
      <w:proofErr w:type="gramEnd"/>
      <w:r>
        <w:t xml:space="preserve"> HWP carbon pool accumulation and </w:t>
      </w:r>
      <w:r w:rsidR="001B3723">
        <w:t xml:space="preserve">annual </w:t>
      </w:r>
      <w:r>
        <w:t xml:space="preserve">changes </w:t>
      </w:r>
      <w:r w:rsidR="00162725">
        <w:t>from</w:t>
      </w:r>
      <w:r w:rsidR="001B3723">
        <w:t xml:space="preserve"> </w:t>
      </w:r>
      <w:r>
        <w:t>project</w:t>
      </w:r>
      <w:r w:rsidR="00162725">
        <w:t xml:space="preserve"> and BAU s</w:t>
      </w:r>
      <w:r w:rsidR="001B3723">
        <w:t>cenarios</w:t>
      </w:r>
    </w:p>
    <w:p w:rsidR="00143E4F" w:rsidRPr="00143E4F" w:rsidRDefault="00143E4F" w:rsidP="00143E4F"/>
    <w:p w:rsidR="005F3908" w:rsidRDefault="00143E4F" w:rsidP="00A57400">
      <w:pPr>
        <w:tabs>
          <w:tab w:val="left" w:pos="0"/>
        </w:tabs>
        <w:spacing w:line="480" w:lineRule="auto"/>
      </w:pPr>
      <w:proofErr w:type="gramStart"/>
      <w:r w:rsidRPr="00143E4F">
        <w:t>which</w:t>
      </w:r>
      <w:proofErr w:type="gramEnd"/>
      <w:r w:rsidRPr="00143E4F">
        <w:t xml:space="preserve"> were not completely offset by actual project-HWP stock changes for 25 years (as displayed in figure </w:t>
      </w:r>
      <w:r w:rsidR="00FB3CAC">
        <w:t>7</w:t>
      </w:r>
      <w:r w:rsidRPr="00143E4F">
        <w:t xml:space="preserve"> in sky blue).  Because the benefits of project-HWP stock changes were delayed in comparison, they were substantially reduced by time-discounting (not illustrated in figure).  The resulting NPVs ($986-$1,582.40ac</w:t>
      </w:r>
      <w:r w:rsidRPr="00143E4F">
        <w:rPr>
          <w:vertAlign w:val="superscript"/>
        </w:rPr>
        <w:t>-1</w:t>
      </w:r>
      <w:r w:rsidRPr="00143E4F">
        <w:t xml:space="preserve">) were much less than the unadjusted cases and swelled the NPV shortfall of CAR engagement.  The difference in verified removals and reversals between this alternative HWP accounting case and the unadjusted case can be </w:t>
      </w:r>
      <w:r w:rsidR="003678BB" w:rsidRPr="003678BB">
        <w:t xml:space="preserve">seen in figure </w:t>
      </w:r>
      <w:r w:rsidR="00FB3CAC">
        <w:t>8</w:t>
      </w:r>
      <w:r w:rsidR="003678BB" w:rsidRPr="003678BB">
        <w:t>,</w:t>
      </w:r>
      <w:r w:rsidR="003678BB">
        <w:t xml:space="preserve"> </w:t>
      </w:r>
      <w:r w:rsidR="00A57400" w:rsidRPr="00A57400">
        <w:t>which is almost entirely manifested in the first verification year.  The negative impact of baseline-HWP carbon on creditable carbon early in the project term is significantly lessened by the default HWP carbon accounting method.  These findings support the rationale of reducing the baseline’s sensitivity to speculative harvest</w:t>
      </w:r>
      <w:r w:rsidR="00004FB7">
        <w:t>s</w:t>
      </w:r>
      <w:r w:rsidR="00A57400" w:rsidRPr="00A57400">
        <w:t xml:space="preserve"> by annualizing baseline HWP-carbon changes. </w:t>
      </w:r>
    </w:p>
    <w:p w:rsidR="00A57400" w:rsidRDefault="00A57400" w:rsidP="00A57400">
      <w:pPr>
        <w:tabs>
          <w:tab w:val="left" w:pos="0"/>
        </w:tabs>
        <w:spacing w:line="480" w:lineRule="auto"/>
      </w:pPr>
      <w:r>
        <w:rPr>
          <w:noProof/>
        </w:rPr>
        <w:drawing>
          <wp:inline distT="0" distB="0" distL="0" distR="0" wp14:anchorId="27AE2379" wp14:editId="5E939559">
            <wp:extent cx="6332220" cy="3794760"/>
            <wp:effectExtent l="0" t="0" r="1143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6FA6" w:rsidRDefault="00A57400" w:rsidP="00004FB7">
      <w:pPr>
        <w:pStyle w:val="Caption"/>
        <w:ind w:left="810" w:hanging="810"/>
      </w:pPr>
      <w:proofErr w:type="gramStart"/>
      <w:r>
        <w:t xml:space="preserve">Figure </w:t>
      </w:r>
      <w:r w:rsidR="00FB3CAC">
        <w:t>8</w:t>
      </w:r>
      <w:r>
        <w:t>.</w:t>
      </w:r>
      <w:proofErr w:type="gramEnd"/>
      <w:r>
        <w:t xml:space="preserve"> </w:t>
      </w:r>
      <w:r w:rsidRPr="00F915D0">
        <w:t>CRTs acre</w:t>
      </w:r>
      <w:r w:rsidRPr="00004FB7">
        <w:rPr>
          <w:vertAlign w:val="superscript"/>
        </w:rPr>
        <w:t>-1</w:t>
      </w:r>
      <w:r w:rsidRPr="00F915D0">
        <w:t xml:space="preserve"> issued/surrendered in verification years resulting from adjustment to </w:t>
      </w:r>
      <w:r w:rsidR="0062247D">
        <w:t>HWP carbon accounting</w:t>
      </w:r>
    </w:p>
    <w:p w:rsidR="006C75F7" w:rsidRDefault="00C2362F" w:rsidP="00FD6A2E">
      <w:pPr>
        <w:tabs>
          <w:tab w:val="left" w:pos="0"/>
        </w:tabs>
        <w:spacing w:line="480" w:lineRule="auto"/>
        <w:ind w:firstLine="720"/>
      </w:pPr>
      <w:r w:rsidRPr="009F3DF1">
        <w:lastRenderedPageBreak/>
        <w:t>In light of the</w:t>
      </w:r>
      <w:r w:rsidR="003107D6" w:rsidRPr="009F3DF1">
        <w:t xml:space="preserve"> unfavorable</w:t>
      </w:r>
      <w:r w:rsidRPr="009F3DF1">
        <w:t xml:space="preserve"> findings heretofore, </w:t>
      </w:r>
      <w:r w:rsidR="003107D6" w:rsidRPr="009F3DF1">
        <w:t>a</w:t>
      </w:r>
      <w:r w:rsidR="009F3DF1">
        <w:t>n</w:t>
      </w:r>
      <w:r w:rsidR="003107D6" w:rsidRPr="009F3DF1">
        <w:t xml:space="preserve"> alternative baseline </w:t>
      </w:r>
      <w:r w:rsidR="008B3F2D" w:rsidRPr="009F3DF1">
        <w:t>scenario</w:t>
      </w:r>
      <w:r w:rsidR="003107D6" w:rsidRPr="009F3DF1">
        <w:t xml:space="preserve"> was constructed that expresses a nexus with the BAU management scenario modeled and counteracts the</w:t>
      </w:r>
      <w:r w:rsidR="00282E99" w:rsidRPr="009F3DF1">
        <w:t xml:space="preserve"> evident</w:t>
      </w:r>
      <w:r w:rsidR="003107D6" w:rsidRPr="009F3DF1">
        <w:t xml:space="preserve"> disadvantage of starting with AGL stocks near but below the </w:t>
      </w:r>
      <w:r w:rsidR="00305B43" w:rsidRPr="009F3DF1">
        <w:t>CP</w:t>
      </w:r>
      <w:r w:rsidR="003107D6" w:rsidRPr="009F3DF1">
        <w:t xml:space="preserve"> </w:t>
      </w:r>
      <w:r w:rsidR="00305B43" w:rsidRPr="009F3DF1">
        <w:t>statistic</w:t>
      </w:r>
      <w:r w:rsidR="003107D6" w:rsidRPr="009F3DF1">
        <w:t>.  I</w:t>
      </w:r>
      <w:r w:rsidR="003107D6">
        <w:t xml:space="preserve">nstead of a static baseline AGL carbon stock </w:t>
      </w:r>
      <w:r w:rsidR="00004FB7">
        <w:t xml:space="preserve">based on a </w:t>
      </w:r>
      <w:r w:rsidR="003678BB">
        <w:t>1</w:t>
      </w:r>
      <w:r w:rsidR="00004FB7">
        <w:t>00 year average</w:t>
      </w:r>
      <w:r w:rsidR="00EA1717">
        <w:rPr>
          <w:rStyle w:val="FootnoteReference"/>
        </w:rPr>
        <w:footnoteReference w:id="32"/>
      </w:r>
      <w:r w:rsidR="003107D6">
        <w:t xml:space="preserve">, </w:t>
      </w:r>
      <w:r w:rsidR="008B3F2D">
        <w:t xml:space="preserve">this alternative baseline determination method relied on computing a </w:t>
      </w:r>
      <w:r w:rsidR="00470D67">
        <w:t>ten</w:t>
      </w:r>
      <w:r w:rsidR="008B3F2D">
        <w:t xml:space="preserve"> year moving average of AGL stocks across the projection period</w:t>
      </w:r>
      <w:r w:rsidR="00004FB7">
        <w:t xml:space="preserve">.  </w:t>
      </w:r>
      <w:r w:rsidR="00267DFD">
        <w:t xml:space="preserve">A 5 year basis for the moving average was not used because a ten year moving average was found to be more conservative.  </w:t>
      </w:r>
      <w:r w:rsidR="00004FB7">
        <w:t>H</w:t>
      </w:r>
      <w:r w:rsidR="007802A6">
        <w:t>owever</w:t>
      </w:r>
      <w:r w:rsidR="00DB60F2">
        <w:t xml:space="preserve">, </w:t>
      </w:r>
      <w:r w:rsidR="00AC018F">
        <w:t>th</w:t>
      </w:r>
      <w:r w:rsidR="00004FB7">
        <w:t xml:space="preserve">e moving average </w:t>
      </w:r>
      <w:r w:rsidR="00AC018F">
        <w:t>was only applied during and after the year that the BAU scenario’s AGL stocks first decrease</w:t>
      </w:r>
      <w:r w:rsidR="00EA1717">
        <w:t>d</w:t>
      </w:r>
      <w:r w:rsidR="008B3F2D">
        <w:t xml:space="preserve">.  </w:t>
      </w:r>
      <w:r w:rsidR="00282E99">
        <w:t>Hence, t</w:t>
      </w:r>
      <w:r w:rsidR="00AC018F">
        <w:t xml:space="preserve">he initial AGL stocks were set as the </w:t>
      </w:r>
      <w:r w:rsidR="009903AC">
        <w:t xml:space="preserve">baseline </w:t>
      </w:r>
      <w:r w:rsidR="00AC018F">
        <w:t xml:space="preserve">AGL stocks in </w:t>
      </w:r>
      <w:r w:rsidR="009903AC">
        <w:t>keeping</w:t>
      </w:r>
      <w:r w:rsidR="00AC018F">
        <w:t xml:space="preserve"> with the unadjusted baseline methodology until th</w:t>
      </w:r>
      <w:r w:rsidR="004117FD">
        <w:t>e</w:t>
      </w:r>
      <w:r w:rsidR="00AC018F">
        <w:t xml:space="preserve"> first </w:t>
      </w:r>
      <w:r w:rsidR="009E64D5">
        <w:t>simulated harvest</w:t>
      </w:r>
      <w:r w:rsidR="00AC018F">
        <w:t xml:space="preserve"> occurred.  </w:t>
      </w:r>
      <w:r w:rsidR="00EA1717">
        <w:t>Afterward</w:t>
      </w:r>
      <w:r w:rsidR="00AC018F">
        <w:t>, t</w:t>
      </w:r>
      <w:r w:rsidR="008B3F2D">
        <w:t>he product of</w:t>
      </w:r>
      <w:r w:rsidR="009F3DF1">
        <w:t xml:space="preserve"> the CP statistic </w:t>
      </w:r>
      <w:r w:rsidR="008B3F2D">
        <w:t xml:space="preserve">and the ratio of the </w:t>
      </w:r>
      <w:r w:rsidR="00470D67">
        <w:t>ten</w:t>
      </w:r>
      <w:r w:rsidR="008B3F2D">
        <w:t xml:space="preserve"> year moving average </w:t>
      </w:r>
      <w:r w:rsidR="00B60BBE">
        <w:t>to</w:t>
      </w:r>
      <w:r w:rsidR="008B3F2D">
        <w:t xml:space="preserve"> the initial AGL </w:t>
      </w:r>
      <w:r w:rsidR="009903AC">
        <w:t xml:space="preserve">carbon </w:t>
      </w:r>
      <w:r w:rsidR="008B3F2D">
        <w:t xml:space="preserve">stock </w:t>
      </w:r>
      <w:proofErr w:type="gramStart"/>
      <w:r w:rsidR="008B3F2D">
        <w:t>was</w:t>
      </w:r>
      <w:proofErr w:type="gramEnd"/>
      <w:r w:rsidR="008B3F2D">
        <w:t xml:space="preserve"> treated</w:t>
      </w:r>
      <w:r w:rsidR="009F3DF1">
        <w:t xml:space="preserve"> as the </w:t>
      </w:r>
      <w:r w:rsidR="009903AC">
        <w:t xml:space="preserve">AGL baseline </w:t>
      </w:r>
      <w:r w:rsidR="008B3F2D">
        <w:t>except for years in which this exceed</w:t>
      </w:r>
      <w:r w:rsidR="009F3DF1">
        <w:t>ed CP</w:t>
      </w:r>
      <w:r w:rsidR="008B3F2D">
        <w:t>, which in such cases</w:t>
      </w:r>
      <w:r w:rsidR="009F3DF1">
        <w:t xml:space="preserve"> the CP </w:t>
      </w:r>
      <w:r w:rsidR="006C75F7">
        <w:t>s</w:t>
      </w:r>
      <w:r w:rsidR="009F3DF1">
        <w:t>tatistic</w:t>
      </w:r>
      <w:r w:rsidR="008B3F2D">
        <w:t xml:space="preserve"> was</w:t>
      </w:r>
      <w:r w:rsidR="009F3DF1">
        <w:t xml:space="preserve"> made the </w:t>
      </w:r>
      <w:r w:rsidR="009903AC">
        <w:t>AGL baseline</w:t>
      </w:r>
      <w:r w:rsidR="008B3F2D">
        <w:t xml:space="preserve">, as expressed in equation </w:t>
      </w:r>
      <w:r w:rsidR="000C4928">
        <w:t>4</w:t>
      </w:r>
      <w:r w:rsidR="008B3F2D">
        <w:t>.</w:t>
      </w:r>
      <w:r w:rsidR="00AC018F">
        <w:t xml:space="preserve">  </w:t>
      </w:r>
    </w:p>
    <w:p w:rsidR="00FD6A2E" w:rsidRDefault="001F0B95" w:rsidP="006C75F7">
      <w:pPr>
        <w:tabs>
          <w:tab w:val="left" w:pos="0"/>
        </w:tabs>
        <w:spacing w:line="480" w:lineRule="auto"/>
      </w:pPr>
      <w:r w:rsidRPr="001F0B95">
        <w:rPr>
          <w:noProof/>
        </w:rPr>
        <mc:AlternateContent>
          <mc:Choice Requires="wps">
            <w:drawing>
              <wp:inline distT="0" distB="0" distL="0" distR="0" wp14:anchorId="77DDA429" wp14:editId="0CEFA71E">
                <wp:extent cx="6205540" cy="526211"/>
                <wp:effectExtent l="0" t="0" r="0" b="0"/>
                <wp:docPr id="17" name="TextBox 2"/>
                <wp:cNvGraphicFramePr/>
                <a:graphic xmlns:a="http://schemas.openxmlformats.org/drawingml/2006/main">
                  <a:graphicData uri="http://schemas.microsoft.com/office/word/2010/wordprocessingShape">
                    <wps:wsp>
                      <wps:cNvSpPr txBox="1"/>
                      <wps:spPr>
                        <a:xfrm>
                          <a:off x="0" y="0"/>
                          <a:ext cx="6205540" cy="52621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16BE1" w:rsidRDefault="00816BE1" w:rsidP="001F0B95">
                            <w:pPr>
                              <w:pStyle w:val="NormalWeb"/>
                              <w:spacing w:before="0" w:beforeAutospacing="0" w:after="0" w:afterAutospacing="0"/>
                            </w:pPr>
                            <w:r w:rsidRPr="00967A6A">
                              <w:rPr>
                                <w:rFonts w:asciiTheme="minorHAnsi" w:hAnsi="Calibri" w:cstheme="minorBidi"/>
                                <w:i/>
                                <w:color w:val="000000" w:themeColor="text1"/>
                              </w:rPr>
                              <w:t xml:space="preserve">Equation </w:t>
                            </w:r>
                            <w:r>
                              <w:rPr>
                                <w:rFonts w:asciiTheme="minorHAnsi" w:hAnsi="Calibri" w:cstheme="minorBidi"/>
                                <w:i/>
                                <w:color w:val="000000" w:themeColor="text1"/>
                              </w:rPr>
                              <w:t>4</w:t>
                            </w:r>
                            <w:r>
                              <w:rPr>
                                <w:rFonts w:asciiTheme="minorHAnsi" w:hAnsi="Calibri" w:cstheme="minorBidi"/>
                                <w:color w:val="000000" w:themeColor="text1"/>
                              </w:rPr>
                              <w:t xml:space="preserve">:        Aboveground live carbon baseline = Max </w:t>
                            </w:r>
                            <m:oMath>
                              <m:d>
                                <m:dPr>
                                  <m:ctrlPr>
                                    <w:rPr>
                                      <w:rFonts w:ascii="Cambria Math" w:hAnsi="Cambria Math" w:cstheme="minorBidi"/>
                                      <w:i/>
                                      <w:color w:val="000000" w:themeColor="text1"/>
                                    </w:rPr>
                                  </m:ctrlPr>
                                </m:dPr>
                                <m:e>
                                  <m:d>
                                    <m:dPr>
                                      <m:ctrlPr>
                                        <w:rPr>
                                          <w:rFonts w:ascii="Cambria Math" w:hAnsi="Cambria Math" w:cstheme="minorBidi"/>
                                          <w:i/>
                                          <w:color w:val="000000" w:themeColor="text1"/>
                                        </w:rPr>
                                      </m:ctrlPr>
                                    </m:dPr>
                                    <m:e>
                                      <m:f>
                                        <m:fPr>
                                          <m:ctrlPr>
                                            <w:rPr>
                                              <w:rFonts w:ascii="Cambria Math" w:eastAsiaTheme="minorEastAsia" w:hAnsi="Cambria Math" w:cstheme="minorBidi"/>
                                              <w:i/>
                                              <w:iCs/>
                                              <w:color w:val="000000" w:themeColor="text1"/>
                                              <w:sz w:val="28"/>
                                              <w:szCs w:val="21"/>
                                            </w:rPr>
                                          </m:ctrlPr>
                                        </m:fPr>
                                        <m:num>
                                          <m:r>
                                            <w:rPr>
                                              <w:rFonts w:ascii="Cambria Math" w:hAnsi="Cambria Math" w:cstheme="minorBidi"/>
                                              <w:color w:val="000000" w:themeColor="text1"/>
                                              <w:sz w:val="28"/>
                                              <w:szCs w:val="21"/>
                                            </w:rPr>
                                            <m:t>(</m:t>
                                          </m:r>
                                          <m:nary>
                                            <m:naryPr>
                                              <m:chr m:val="∑"/>
                                              <m:ctrlPr>
                                                <w:rPr>
                                                  <w:rFonts w:ascii="Cambria Math" w:eastAsiaTheme="minorEastAsia" w:hAnsi="Cambria Math" w:cstheme="minorBidi"/>
                                                  <w:i/>
                                                  <w:iCs/>
                                                  <w:color w:val="000000" w:themeColor="text1"/>
                                                  <w:sz w:val="28"/>
                                                  <w:szCs w:val="21"/>
                                                </w:rPr>
                                              </m:ctrlPr>
                                            </m:naryPr>
                                            <m:sub>
                                              <m:r>
                                                <w:rPr>
                                                  <w:rFonts w:ascii="Cambria Math" w:hAnsi="Cambria Math" w:cstheme="minorBidi"/>
                                                  <w:color w:val="000000" w:themeColor="text1"/>
                                                  <w:sz w:val="28"/>
                                                  <w:szCs w:val="21"/>
                                                </w:rPr>
                                                <m:t>t=yr</m:t>
                                              </m:r>
                                            </m:sub>
                                            <m:sup>
                                              <m:r>
                                                <w:rPr>
                                                  <w:rFonts w:ascii="Cambria Math" w:hAnsi="Cambria Math" w:cstheme="minorBidi"/>
                                                  <w:color w:val="000000" w:themeColor="text1"/>
                                                  <w:sz w:val="28"/>
                                                  <w:szCs w:val="21"/>
                                                </w:rPr>
                                                <m:t>t+9</m:t>
                                              </m:r>
                                            </m:sup>
                                            <m:e>
                                              <m:r>
                                                <m:rPr>
                                                  <m:sty m:val="p"/>
                                                </m:rPr>
                                                <w:rPr>
                                                  <w:rFonts w:ascii="Cambria Math" w:hAnsi="Cambria Math" w:cstheme="minorBidi"/>
                                                  <w:color w:val="000000" w:themeColor="text1"/>
                                                  <w:sz w:val="28"/>
                                                  <w:szCs w:val="21"/>
                                                </w:rPr>
                                                <m:t xml:space="preserve"> AGL </m:t>
                                              </m:r>
                                              <m:r>
                                                <m:rPr>
                                                  <m:sty m:val="p"/>
                                                </m:rPr>
                                                <w:rPr>
                                                  <w:rFonts w:ascii="Cambria Math" w:hAnsi="Cambria Math" w:cstheme="minorBidi"/>
                                                  <w:color w:val="000000" w:themeColor="text1"/>
                                                  <w:sz w:val="32"/>
                                                  <w:szCs w:val="21"/>
                                                </w:rPr>
                                                <m:t>carbon,</m:t>
                                              </m:r>
                                              <m:r>
                                                <m:rPr>
                                                  <m:sty m:val="p"/>
                                                </m:rPr>
                                                <w:rPr>
                                                  <w:rFonts w:ascii="Cambria Math" w:hAnsi="Cambria Math" w:cstheme="minorBidi"/>
                                                  <w:color w:val="000000" w:themeColor="text1"/>
                                                  <w:sz w:val="28"/>
                                                  <w:szCs w:val="21"/>
                                                </w:rPr>
                                                <m:t> </m:t>
                                              </m:r>
                                              <m:r>
                                                <m:rPr>
                                                  <m:sty m:val="p"/>
                                                </m:rPr>
                                                <w:rPr>
                                                  <w:rFonts w:ascii="Cambria Math" w:hAnsi="Cambria Math" w:cstheme="minorBidi"/>
                                                  <w:color w:val="000000" w:themeColor="text1"/>
                                                  <w:position w:val="-5"/>
                                                  <w:sz w:val="28"/>
                                                  <w:szCs w:val="21"/>
                                                  <w:vertAlign w:val="subscript"/>
                                                </w:rPr>
                                                <m:t xml:space="preserve">t </m:t>
                                              </m:r>
                                              <m:r>
                                                <m:rPr>
                                                  <m:sty m:val="p"/>
                                                </m:rPr>
                                                <w:rPr>
                                                  <w:rFonts w:ascii="Cambria Math" w:hAnsi="Cambria Math" w:cstheme="minorBidi"/>
                                                  <w:color w:val="000000" w:themeColor="text1"/>
                                                  <w:sz w:val="28"/>
                                                  <w:szCs w:val="21"/>
                                                </w:rPr>
                                                <m:t>)/10</m:t>
                                              </m:r>
                                            </m:e>
                                          </m:nary>
                                        </m:num>
                                        <m:den>
                                          <m:r>
                                            <m:rPr>
                                              <m:sty m:val="p"/>
                                            </m:rPr>
                                            <w:rPr>
                                              <w:rFonts w:ascii="Cambria Math" w:hAnsi="Cambria Math" w:cstheme="minorBidi"/>
                                              <w:color w:val="000000" w:themeColor="text1"/>
                                              <w:sz w:val="28"/>
                                              <w:szCs w:val="21"/>
                                            </w:rPr>
                                            <m:t>AGL</m:t>
                                          </m:r>
                                          <m:r>
                                            <m:rPr>
                                              <m:sty m:val="p"/>
                                            </m:rPr>
                                            <w:rPr>
                                              <w:rFonts w:asciiTheme="minorHAnsi" w:hAnsi="Calibri" w:cstheme="minorBidi"/>
                                              <w:color w:val="000000" w:themeColor="text1"/>
                                              <w:sz w:val="28"/>
                                              <w:szCs w:val="21"/>
                                            </w:rPr>
                                            <m:t> </m:t>
                                          </m:r>
                                          <m:r>
                                            <m:rPr>
                                              <m:sty m:val="p"/>
                                            </m:rPr>
                                            <w:rPr>
                                              <w:rFonts w:ascii="Cambria Math" w:hAnsi="Cambria Math" w:cstheme="minorBidi"/>
                                              <w:color w:val="000000" w:themeColor="text1"/>
                                              <w:sz w:val="28"/>
                                              <w:szCs w:val="21"/>
                                            </w:rPr>
                                            <m:t>carbon,</m:t>
                                          </m:r>
                                          <m:r>
                                            <m:rPr>
                                              <m:sty m:val="p"/>
                                            </m:rPr>
                                            <w:rPr>
                                              <w:rFonts w:asciiTheme="minorHAnsi" w:hAnsi="Calibri" w:cstheme="minorBidi"/>
                                              <w:color w:val="000000" w:themeColor="text1"/>
                                              <w:sz w:val="28"/>
                                              <w:szCs w:val="21"/>
                                            </w:rPr>
                                            <m:t> </m:t>
                                          </m:r>
                                          <m:r>
                                            <m:rPr>
                                              <m:sty m:val="p"/>
                                            </m:rPr>
                                            <w:rPr>
                                              <w:rFonts w:ascii="Cambria Math" w:hAnsi="Cambria Math" w:cstheme="minorBidi"/>
                                              <w:color w:val="000000" w:themeColor="text1"/>
                                              <w:position w:val="-2"/>
                                              <w:sz w:val="28"/>
                                              <w:szCs w:val="21"/>
                                              <w:vertAlign w:val="subscript"/>
                                            </w:rPr>
                                            <m:t>t</m:t>
                                          </m:r>
                                          <m:r>
                                            <m:rPr>
                                              <m:sty m:val="p"/>
                                            </m:rPr>
                                            <w:rPr>
                                              <w:rFonts w:ascii="Cambria Math" w:hAnsi="Cambria Math" w:cstheme="minorBidi"/>
                                              <w:color w:val="000000" w:themeColor="text1"/>
                                              <w:position w:val="-8"/>
                                              <w:sz w:val="28"/>
                                              <w:szCs w:val="21"/>
                                              <w:vertAlign w:val="subscript"/>
                                            </w:rPr>
                                            <m:t>0</m:t>
                                          </m:r>
                                        </m:den>
                                      </m:f>
                                      <m:r>
                                        <w:rPr>
                                          <w:rFonts w:ascii="Cambria Math" w:eastAsiaTheme="minorEastAsia" w:hAnsi="Cambria Math" w:cstheme="minorBidi"/>
                                          <w:color w:val="000000" w:themeColor="text1"/>
                                          <w:sz w:val="28"/>
                                          <w:szCs w:val="21"/>
                                        </w:rPr>
                                        <m:t>∙</m:t>
                                      </m:r>
                                      <m:r>
                                        <m:rPr>
                                          <m:sty m:val="p"/>
                                        </m:rPr>
                                        <w:rPr>
                                          <w:rFonts w:ascii="Cambria Math" w:hAnsi="Cambria Math" w:cstheme="minorBidi"/>
                                          <w:color w:val="000000" w:themeColor="text1"/>
                                        </w:rPr>
                                        <m:t>CP</m:t>
                                      </m:r>
                                    </m:e>
                                  </m:d>
                                  <m:r>
                                    <m:rPr>
                                      <m:sty m:val="p"/>
                                    </m:rPr>
                                    <w:rPr>
                                      <w:rFonts w:ascii="Cambria Math" w:hAnsi="Cambria Math" w:cstheme="minorBidi"/>
                                      <w:color w:val="000000" w:themeColor="text1"/>
                                    </w:rPr>
                                    <m:t>,  CP</m:t>
                                  </m:r>
                                </m:e>
                              </m:d>
                            </m:oMath>
                            <w:r>
                              <w:rPr>
                                <w:rFonts w:asciiTheme="minorHAnsi" w:hAnsi="Calibri" w:cstheme="minorBidi"/>
                                <w:color w:val="000000" w:themeColor="text1"/>
                              </w:rPr>
                              <w:t xml:space="preserve">              </w:t>
                            </w:r>
                          </w:p>
                        </w:txbxContent>
                      </wps:txbx>
                      <wps:bodyPr vertOverflow="clip" horzOverflow="clip" wrap="square" rtlCol="0" anchor="t">
                        <a:noAutofit/>
                      </wps:bodyPr>
                    </wps:wsp>
                  </a:graphicData>
                </a:graphic>
              </wp:inline>
            </w:drawing>
          </mc:Choice>
          <mc:Fallback>
            <w:pict>
              <v:shape id="TextBox 2" o:spid="_x0000_s1028" type="#_x0000_t202" style="width:488.65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" filled="f" stroked="f">
                <v:textbox>
                  <w:txbxContent>
                    <w:p w:rsidR="00816BE1" w:rsidRDefault="00816BE1" w:rsidP="001F0B95">
                      <w:pPr>
                        <w:pStyle w:val="NormalWeb"/>
                        <w:spacing w:before="0" w:beforeAutospacing="0" w:after="0" w:afterAutospacing="0"/>
                      </w:pPr>
                      <w:r w:rsidRPr="00967A6A">
                        <w:rPr>
                          <w:rFonts w:asciiTheme="minorHAnsi" w:hAnsi="Calibri" w:cstheme="minorBidi"/>
                          <w:i/>
                          <w:color w:val="000000" w:themeColor="text1"/>
                        </w:rPr>
                        <w:t xml:space="preserve">Equation </w:t>
                      </w:r>
                      <w:r>
                        <w:rPr>
                          <w:rFonts w:asciiTheme="minorHAnsi" w:hAnsi="Calibri" w:cstheme="minorBidi"/>
                          <w:i/>
                          <w:color w:val="000000" w:themeColor="text1"/>
                        </w:rPr>
                        <w:t>4</w:t>
                      </w:r>
                      <w:r>
                        <w:rPr>
                          <w:rFonts w:asciiTheme="minorHAnsi" w:hAnsi="Calibri" w:cstheme="minorBidi"/>
                          <w:color w:val="000000" w:themeColor="text1"/>
                        </w:rPr>
                        <w:t xml:space="preserve">:        Aboveground live carbon baseline = Max </w:t>
                      </w:r>
                      <m:oMath>
                        <m:d>
                          <m:dPr>
                            <m:ctrlPr>
                              <w:rPr>
                                <w:rFonts w:ascii="Cambria Math" w:hAnsi="Cambria Math" w:cstheme="minorBidi"/>
                                <w:i/>
                                <w:color w:val="000000" w:themeColor="text1"/>
                              </w:rPr>
                            </m:ctrlPr>
                          </m:dPr>
                          <m:e>
                            <m:d>
                              <m:dPr>
                                <m:ctrlPr>
                                  <w:rPr>
                                    <w:rFonts w:ascii="Cambria Math" w:hAnsi="Cambria Math" w:cstheme="minorBidi"/>
                                    <w:i/>
                                    <w:color w:val="000000" w:themeColor="text1"/>
                                  </w:rPr>
                                </m:ctrlPr>
                              </m:dPr>
                              <m:e>
                                <m:f>
                                  <m:fPr>
                                    <m:ctrlPr>
                                      <w:rPr>
                                        <w:rFonts w:ascii="Cambria Math" w:eastAsiaTheme="minorEastAsia" w:hAnsi="Cambria Math" w:cstheme="minorBidi"/>
                                        <w:i/>
                                        <w:iCs/>
                                        <w:color w:val="000000" w:themeColor="text1"/>
                                        <w:sz w:val="28"/>
                                        <w:szCs w:val="21"/>
                                      </w:rPr>
                                    </m:ctrlPr>
                                  </m:fPr>
                                  <m:num>
                                    <m:r>
                                      <w:rPr>
                                        <w:rFonts w:ascii="Cambria Math" w:hAnsi="Cambria Math" w:cstheme="minorBidi"/>
                                        <w:color w:val="000000" w:themeColor="text1"/>
                                        <w:sz w:val="28"/>
                                        <w:szCs w:val="21"/>
                                      </w:rPr>
                                      <m:t>(</m:t>
                                    </m:r>
                                    <m:nary>
                                      <m:naryPr>
                                        <m:chr m:val="∑"/>
                                        <m:ctrlPr>
                                          <w:rPr>
                                            <w:rFonts w:ascii="Cambria Math" w:eastAsiaTheme="minorEastAsia" w:hAnsi="Cambria Math" w:cstheme="minorBidi"/>
                                            <w:i/>
                                            <w:iCs/>
                                            <w:color w:val="000000" w:themeColor="text1"/>
                                            <w:sz w:val="28"/>
                                            <w:szCs w:val="21"/>
                                          </w:rPr>
                                        </m:ctrlPr>
                                      </m:naryPr>
                                      <m:sub>
                                        <m:r>
                                          <w:rPr>
                                            <w:rFonts w:ascii="Cambria Math" w:hAnsi="Cambria Math" w:cstheme="minorBidi"/>
                                            <w:color w:val="000000" w:themeColor="text1"/>
                                            <w:sz w:val="28"/>
                                            <w:szCs w:val="21"/>
                                          </w:rPr>
                                          <m:t>t=yr</m:t>
                                        </m:r>
                                      </m:sub>
                                      <m:sup>
                                        <m:r>
                                          <w:rPr>
                                            <w:rFonts w:ascii="Cambria Math" w:hAnsi="Cambria Math" w:cstheme="minorBidi"/>
                                            <w:color w:val="000000" w:themeColor="text1"/>
                                            <w:sz w:val="28"/>
                                            <w:szCs w:val="21"/>
                                          </w:rPr>
                                          <m:t>t+9</m:t>
                                        </m:r>
                                      </m:sup>
                                      <m:e>
                                        <m:r>
                                          <m:rPr>
                                            <m:sty m:val="p"/>
                                          </m:rPr>
                                          <w:rPr>
                                            <w:rFonts w:ascii="Cambria Math" w:hAnsi="Cambria Math" w:cstheme="minorBidi"/>
                                            <w:color w:val="000000" w:themeColor="text1"/>
                                            <w:sz w:val="28"/>
                                            <w:szCs w:val="21"/>
                                          </w:rPr>
                                          <m:t xml:space="preserve"> AGL </m:t>
                                        </m:r>
                                        <m:r>
                                          <m:rPr>
                                            <m:sty m:val="p"/>
                                          </m:rPr>
                                          <w:rPr>
                                            <w:rFonts w:ascii="Cambria Math" w:hAnsi="Cambria Math" w:cstheme="minorBidi"/>
                                            <w:color w:val="000000" w:themeColor="text1"/>
                                            <w:sz w:val="32"/>
                                            <w:szCs w:val="21"/>
                                          </w:rPr>
                                          <m:t>carbon,</m:t>
                                        </m:r>
                                        <m:r>
                                          <m:rPr>
                                            <m:sty m:val="p"/>
                                          </m:rPr>
                                          <w:rPr>
                                            <w:rFonts w:ascii="Cambria Math" w:hAnsi="Cambria Math" w:cstheme="minorBidi"/>
                                            <w:color w:val="000000" w:themeColor="text1"/>
                                            <w:sz w:val="28"/>
                                            <w:szCs w:val="21"/>
                                          </w:rPr>
                                          <m:t> </m:t>
                                        </m:r>
                                        <m:r>
                                          <m:rPr>
                                            <m:sty m:val="p"/>
                                          </m:rPr>
                                          <w:rPr>
                                            <w:rFonts w:ascii="Cambria Math" w:hAnsi="Cambria Math" w:cstheme="minorBidi"/>
                                            <w:color w:val="000000" w:themeColor="text1"/>
                                            <w:position w:val="-5"/>
                                            <w:sz w:val="28"/>
                                            <w:szCs w:val="21"/>
                                            <w:vertAlign w:val="subscript"/>
                                          </w:rPr>
                                          <m:t xml:space="preserve">t </m:t>
                                        </m:r>
                                        <m:r>
                                          <m:rPr>
                                            <m:sty m:val="p"/>
                                          </m:rPr>
                                          <w:rPr>
                                            <w:rFonts w:ascii="Cambria Math" w:hAnsi="Cambria Math" w:cstheme="minorBidi"/>
                                            <w:color w:val="000000" w:themeColor="text1"/>
                                            <w:sz w:val="28"/>
                                            <w:szCs w:val="21"/>
                                          </w:rPr>
                                          <m:t>)/10</m:t>
                                        </m:r>
                                      </m:e>
                                    </m:nary>
                                  </m:num>
                                  <m:den>
                                    <m:r>
                                      <m:rPr>
                                        <m:sty m:val="p"/>
                                      </m:rPr>
                                      <w:rPr>
                                        <w:rFonts w:ascii="Cambria Math" w:hAnsi="Cambria Math" w:cstheme="minorBidi"/>
                                        <w:color w:val="000000" w:themeColor="text1"/>
                                        <w:sz w:val="28"/>
                                        <w:szCs w:val="21"/>
                                      </w:rPr>
                                      <m:t>AGL</m:t>
                                    </m:r>
                                    <m:r>
                                      <m:rPr>
                                        <m:sty m:val="p"/>
                                      </m:rPr>
                                      <w:rPr>
                                        <w:rFonts w:asciiTheme="minorHAnsi" w:hAnsi="Calibri" w:cstheme="minorBidi"/>
                                        <w:color w:val="000000" w:themeColor="text1"/>
                                        <w:sz w:val="28"/>
                                        <w:szCs w:val="21"/>
                                      </w:rPr>
                                      <m:t> </m:t>
                                    </m:r>
                                    <m:r>
                                      <m:rPr>
                                        <m:sty m:val="p"/>
                                      </m:rPr>
                                      <w:rPr>
                                        <w:rFonts w:ascii="Cambria Math" w:hAnsi="Cambria Math" w:cstheme="minorBidi"/>
                                        <w:color w:val="000000" w:themeColor="text1"/>
                                        <w:sz w:val="28"/>
                                        <w:szCs w:val="21"/>
                                      </w:rPr>
                                      <m:t>carbon,</m:t>
                                    </m:r>
                                    <m:r>
                                      <m:rPr>
                                        <m:sty m:val="p"/>
                                      </m:rPr>
                                      <w:rPr>
                                        <w:rFonts w:asciiTheme="minorHAnsi" w:hAnsi="Calibri" w:cstheme="minorBidi"/>
                                        <w:color w:val="000000" w:themeColor="text1"/>
                                        <w:sz w:val="28"/>
                                        <w:szCs w:val="21"/>
                                      </w:rPr>
                                      <m:t> </m:t>
                                    </m:r>
                                    <m:r>
                                      <m:rPr>
                                        <m:sty m:val="p"/>
                                      </m:rPr>
                                      <w:rPr>
                                        <w:rFonts w:ascii="Cambria Math" w:hAnsi="Cambria Math" w:cstheme="minorBidi"/>
                                        <w:color w:val="000000" w:themeColor="text1"/>
                                        <w:position w:val="-2"/>
                                        <w:sz w:val="28"/>
                                        <w:szCs w:val="21"/>
                                        <w:vertAlign w:val="subscript"/>
                                      </w:rPr>
                                      <m:t>t</m:t>
                                    </m:r>
                                    <m:r>
                                      <m:rPr>
                                        <m:sty m:val="p"/>
                                      </m:rPr>
                                      <w:rPr>
                                        <w:rFonts w:ascii="Cambria Math" w:hAnsi="Cambria Math" w:cstheme="minorBidi"/>
                                        <w:color w:val="000000" w:themeColor="text1"/>
                                        <w:position w:val="-8"/>
                                        <w:sz w:val="28"/>
                                        <w:szCs w:val="21"/>
                                        <w:vertAlign w:val="subscript"/>
                                      </w:rPr>
                                      <m:t>0</m:t>
                                    </m:r>
                                  </m:den>
                                </m:f>
                                <m:r>
                                  <w:rPr>
                                    <w:rFonts w:ascii="Cambria Math" w:eastAsiaTheme="minorEastAsia" w:hAnsi="Cambria Math" w:cstheme="minorBidi"/>
                                    <w:color w:val="000000" w:themeColor="text1"/>
                                    <w:sz w:val="28"/>
                                    <w:szCs w:val="21"/>
                                  </w:rPr>
                                  <m:t>∙</m:t>
                                </m:r>
                                <m:r>
                                  <m:rPr>
                                    <m:sty m:val="p"/>
                                  </m:rPr>
                                  <w:rPr>
                                    <w:rFonts w:ascii="Cambria Math" w:hAnsi="Cambria Math" w:cstheme="minorBidi"/>
                                    <w:color w:val="000000" w:themeColor="text1"/>
                                  </w:rPr>
                                  <m:t>CP</m:t>
                                </m:r>
                              </m:e>
                            </m:d>
                            <m:r>
                              <m:rPr>
                                <m:sty m:val="p"/>
                              </m:rPr>
                              <w:rPr>
                                <w:rFonts w:ascii="Cambria Math" w:hAnsi="Cambria Math" w:cstheme="minorBidi"/>
                                <w:color w:val="000000" w:themeColor="text1"/>
                              </w:rPr>
                              <m:t>,  CP</m:t>
                            </m:r>
                          </m:e>
                        </m:d>
                      </m:oMath>
                      <w:r>
                        <w:rPr>
                          <w:rFonts w:asciiTheme="minorHAnsi" w:hAnsi="Calibri" w:cstheme="minorBidi"/>
                          <w:color w:val="000000" w:themeColor="text1"/>
                        </w:rPr>
                        <w:t xml:space="preserve">              </w:t>
                      </w:r>
                    </w:p>
                  </w:txbxContent>
                </v:textbox>
                <w10:anchorlock/>
              </v:shape>
            </w:pict>
          </mc:Fallback>
        </mc:AlternateContent>
      </w:r>
    </w:p>
    <w:p w:rsidR="00C32A5C" w:rsidRDefault="00456AD8" w:rsidP="00FD6A2E">
      <w:pPr>
        <w:tabs>
          <w:tab w:val="left" w:pos="0"/>
        </w:tabs>
        <w:spacing w:line="480" w:lineRule="auto"/>
        <w:ind w:firstLine="720"/>
      </w:pPr>
      <w:r>
        <w:t>L</w:t>
      </w:r>
      <w:r w:rsidR="00963538">
        <w:t>inking the AGL stock’s moving average (nominator in equation</w:t>
      </w:r>
      <w:r w:rsidR="000C4928">
        <w:t xml:space="preserve"> 4</w:t>
      </w:r>
      <w:r w:rsidR="00963538">
        <w:t xml:space="preserve">) to </w:t>
      </w:r>
      <w:r w:rsidR="001738D9">
        <w:t>the CP statistic</w:t>
      </w:r>
      <w:r>
        <w:t xml:space="preserve"> in this way </w:t>
      </w:r>
      <w:r w:rsidR="00EA1717">
        <w:t xml:space="preserve">made the </w:t>
      </w:r>
      <w:r w:rsidR="009903AC">
        <w:t>AGL baseline</w:t>
      </w:r>
      <w:r w:rsidR="00EA1717">
        <w:t xml:space="preserve"> higher than would be the case if </w:t>
      </w:r>
      <w:r w:rsidR="009903AC">
        <w:t>it was</w:t>
      </w:r>
      <w:r w:rsidR="00EA1717">
        <w:t xml:space="preserve"> set directly to the moving average</w:t>
      </w:r>
      <w:r w:rsidR="004A146A">
        <w:t xml:space="preserve">, which </w:t>
      </w:r>
      <w:r w:rsidR="00800E6D">
        <w:t>rendered more conservative</w:t>
      </w:r>
      <w:r w:rsidR="004A146A">
        <w:t xml:space="preserve"> amount</w:t>
      </w:r>
      <w:r w:rsidR="00800E6D">
        <w:t>s</w:t>
      </w:r>
      <w:r w:rsidR="004A146A">
        <w:t xml:space="preserve"> of creditable carbon</w:t>
      </w:r>
      <w:r w:rsidR="00EA1717">
        <w:t xml:space="preserve">. </w:t>
      </w:r>
      <w:r w:rsidR="00963538">
        <w:t xml:space="preserve"> </w:t>
      </w:r>
      <w:r w:rsidR="00267DFD">
        <w:t>B</w:t>
      </w:r>
      <w:r w:rsidR="00963538">
        <w:t xml:space="preserve">ecause </w:t>
      </w:r>
      <w:r w:rsidR="004A146A">
        <w:t xml:space="preserve">the </w:t>
      </w:r>
      <w:r w:rsidR="009903AC">
        <w:t>AGL baseline</w:t>
      </w:r>
      <w:r w:rsidR="004A146A">
        <w:t xml:space="preserve"> is based on the size o</w:t>
      </w:r>
      <w:r w:rsidR="00C32A5C">
        <w:t xml:space="preserve">f the moving average AGL </w:t>
      </w:r>
      <w:r w:rsidR="009903AC">
        <w:t xml:space="preserve">carbon </w:t>
      </w:r>
      <w:r w:rsidR="00C32A5C">
        <w:t>stock</w:t>
      </w:r>
      <w:r w:rsidR="006A41D4">
        <w:t xml:space="preserve"> </w:t>
      </w:r>
      <w:r w:rsidR="004A146A">
        <w:t xml:space="preserve">in relation to </w:t>
      </w:r>
      <w:r w:rsidR="00963538">
        <w:t>initial AGL stocks</w:t>
      </w:r>
      <w:r w:rsidR="004A146A">
        <w:t xml:space="preserve">, projects with less mature initial forest conditions (i.e. further from the relevant </w:t>
      </w:r>
      <w:r w:rsidR="00A2158B">
        <w:t>CP</w:t>
      </w:r>
      <w:r w:rsidR="004A146A">
        <w:t xml:space="preserve"> statistic) are benefited less from this accounting technique</w:t>
      </w:r>
      <w:r w:rsidR="006A41D4">
        <w:t>, owing to the fact that this ratio is likely to be greater</w:t>
      </w:r>
      <w:r w:rsidR="004A146A">
        <w:t xml:space="preserve"> </w:t>
      </w:r>
      <w:r w:rsidR="006A41D4">
        <w:t>for IFM projects</w:t>
      </w:r>
      <w:r w:rsidR="00267DFD">
        <w:t xml:space="preserve"> largely made up of stands</w:t>
      </w:r>
      <w:r w:rsidR="006A41D4">
        <w:t xml:space="preserve"> </w:t>
      </w:r>
      <w:r w:rsidR="00267DFD">
        <w:t>at</w:t>
      </w:r>
      <w:r w:rsidR="006A41D4">
        <w:t xml:space="preserve"> younger stages of </w:t>
      </w:r>
      <w:r w:rsidR="00443A97">
        <w:t xml:space="preserve">forest </w:t>
      </w:r>
      <w:r w:rsidR="006A41D4">
        <w:t>development</w:t>
      </w:r>
      <w:r w:rsidR="00443A97">
        <w:t xml:space="preserve">.  As a result, a higher percentage of the </w:t>
      </w:r>
      <w:r w:rsidR="001738D9">
        <w:t>CP</w:t>
      </w:r>
      <w:r w:rsidR="00443A97">
        <w:t xml:space="preserve"> statistic becomes the </w:t>
      </w:r>
      <w:r w:rsidR="009903AC">
        <w:t>AGL baseline</w:t>
      </w:r>
      <w:r w:rsidR="002A4A92">
        <w:t xml:space="preserve"> in such cases</w:t>
      </w:r>
      <w:r w:rsidR="00443A97">
        <w:t xml:space="preserve">.  This </w:t>
      </w:r>
      <w:r w:rsidR="00443A97">
        <w:lastRenderedPageBreak/>
        <w:t xml:space="preserve">function therefore </w:t>
      </w:r>
      <w:r w:rsidR="002A4A92">
        <w:t xml:space="preserve">would </w:t>
      </w:r>
      <w:r w:rsidR="00443A97">
        <w:t>increasingly d</w:t>
      </w:r>
      <w:r w:rsidR="002A4A92">
        <w:t>isfavor</w:t>
      </w:r>
      <w:r w:rsidR="00443A97">
        <w:t xml:space="preserve"> project proponents that </w:t>
      </w:r>
      <w:r w:rsidR="00CE73B3">
        <w:t>would try to game this</w:t>
      </w:r>
      <w:r w:rsidR="00443A97">
        <w:t xml:space="preserve"> system by simulating harvests </w:t>
      </w:r>
      <w:r w:rsidR="002A4A92">
        <w:t xml:space="preserve">prematurely </w:t>
      </w:r>
      <w:r w:rsidR="00443A97">
        <w:t xml:space="preserve">in the </w:t>
      </w:r>
      <w:r w:rsidR="002A4A92">
        <w:t xml:space="preserve">BAU </w:t>
      </w:r>
      <w:r w:rsidR="00443A97">
        <w:t xml:space="preserve">management </w:t>
      </w:r>
      <w:r w:rsidR="002A4A92">
        <w:t xml:space="preserve">scenario as a means </w:t>
      </w:r>
      <w:r w:rsidR="00267DFD">
        <w:t>of</w:t>
      </w:r>
      <w:r w:rsidR="002A4A92">
        <w:t xml:space="preserve"> dampen</w:t>
      </w:r>
      <w:r w:rsidR="00267DFD">
        <w:t>ing</w:t>
      </w:r>
      <w:r w:rsidR="002A4A92">
        <w:t xml:space="preserve"> the </w:t>
      </w:r>
      <w:r w:rsidR="00B047F2">
        <w:t>baseline</w:t>
      </w:r>
      <w:r w:rsidR="00CE73B3">
        <w:t xml:space="preserve">.  </w:t>
      </w:r>
      <w:r w:rsidR="00AB63C4">
        <w:t>Furthermore</w:t>
      </w:r>
      <w:r w:rsidR="00F02F9E">
        <w:t xml:space="preserve">, the standardized </w:t>
      </w:r>
      <w:r w:rsidR="001738D9">
        <w:t>ceiling</w:t>
      </w:r>
      <w:r w:rsidR="00F02F9E">
        <w:t xml:space="preserve"> of the </w:t>
      </w:r>
      <w:r w:rsidR="00B047F2">
        <w:t>AGL baseline</w:t>
      </w:r>
      <w:r w:rsidR="00F02F9E">
        <w:t xml:space="preserve"> </w:t>
      </w:r>
      <w:r w:rsidR="00874BAD">
        <w:t xml:space="preserve">as illustrated in figure </w:t>
      </w:r>
      <w:r w:rsidR="00FB3CAC">
        <w:t>9</w:t>
      </w:r>
      <w:r w:rsidR="00874BAD">
        <w:t xml:space="preserve"> </w:t>
      </w:r>
      <w:r w:rsidR="00F02F9E">
        <w:t xml:space="preserve">would </w:t>
      </w:r>
      <w:r w:rsidR="0091181B">
        <w:t>grow more conservative</w:t>
      </w:r>
      <w:r w:rsidR="00F02F9E">
        <w:t xml:space="preserve"> </w:t>
      </w:r>
      <w:r w:rsidR="001738D9">
        <w:t xml:space="preserve">over the course of </w:t>
      </w:r>
      <w:r w:rsidR="00D80802">
        <w:t>a</w:t>
      </w:r>
      <w:r w:rsidR="001738D9">
        <w:t xml:space="preserve"> project </w:t>
      </w:r>
      <w:r w:rsidR="0091181B">
        <w:t xml:space="preserve">rising </w:t>
      </w:r>
      <w:r w:rsidR="001738D9">
        <w:t>from the initial AGL</w:t>
      </w:r>
      <w:r w:rsidR="00B047F2">
        <w:t xml:space="preserve"> carbon</w:t>
      </w:r>
      <w:r w:rsidR="001738D9">
        <w:t xml:space="preserve"> stock to the CP statistic, </w:t>
      </w:r>
      <w:r w:rsidR="0091181B">
        <w:t xml:space="preserve">and in effect </w:t>
      </w:r>
      <w:r w:rsidR="00874BAD">
        <w:t>decreasing</w:t>
      </w:r>
      <w:r w:rsidR="00CE73B3">
        <w:t xml:space="preserve"> </w:t>
      </w:r>
      <w:r w:rsidR="0091181B">
        <w:t>(</w:t>
      </w:r>
      <w:r w:rsidR="00CE73B3">
        <w:t>somewhat</w:t>
      </w:r>
      <w:r w:rsidR="0091181B">
        <w:t>)</w:t>
      </w:r>
      <w:r w:rsidR="00874BAD">
        <w:t xml:space="preserve"> the </w:t>
      </w:r>
      <w:r w:rsidR="00C77C6A">
        <w:t>likelihood of</w:t>
      </w:r>
      <w:r w:rsidR="00874BAD">
        <w:t xml:space="preserve"> non-additional</w:t>
      </w:r>
      <w:r w:rsidR="00C77C6A">
        <w:t xml:space="preserve"> </w:t>
      </w:r>
      <w:r w:rsidR="00874BAD">
        <w:t>CRTs</w:t>
      </w:r>
      <w:r w:rsidR="00C77C6A">
        <w:t xml:space="preserve"> being</w:t>
      </w:r>
      <w:r w:rsidR="00874BAD">
        <w:t xml:space="preserve"> issued</w:t>
      </w:r>
      <w:r w:rsidR="001738D9">
        <w:t xml:space="preserve">.  </w:t>
      </w:r>
      <w:r w:rsidR="00046BA5">
        <w:t xml:space="preserve">As shown in figure </w:t>
      </w:r>
      <w:r w:rsidR="00FB3CAC">
        <w:t>9</w:t>
      </w:r>
      <w:r w:rsidR="00046BA5">
        <w:t xml:space="preserve">, this hybrid alternative baseline more closely reflects the simulated BAU regime while also encompassing </w:t>
      </w:r>
      <w:r w:rsidR="00D110A8">
        <w:t>the CP benchmark</w:t>
      </w:r>
      <w:r w:rsidR="004B27CE">
        <w:t>,</w:t>
      </w:r>
      <w:r w:rsidR="00D110A8">
        <w:t xml:space="preserve"> </w:t>
      </w:r>
      <w:r w:rsidR="00046BA5">
        <w:t xml:space="preserve">a standardized benchmark common to all projects in a given </w:t>
      </w:r>
      <w:r w:rsidR="004B27CE">
        <w:t>ecoregion</w:t>
      </w:r>
      <w:r w:rsidR="00046BA5">
        <w:t xml:space="preserve">.  Consequently, carbon removals in early years of this projection are significantly larger than those generated from other baseline variations but come with similarly sized reversals (see figure </w:t>
      </w:r>
      <w:r w:rsidR="00FB3CAC">
        <w:t>10</w:t>
      </w:r>
      <w:r w:rsidR="00046BA5">
        <w:t xml:space="preserve">).  </w:t>
      </w:r>
      <w:r w:rsidR="00D110A8">
        <w:t xml:space="preserve">Figure </w:t>
      </w:r>
      <w:r w:rsidR="00FB3CAC">
        <w:t>9</w:t>
      </w:r>
      <w:r w:rsidR="00D110A8">
        <w:t xml:space="preserve"> also depicts the irony of DL harvesting with regard to BAU AGL-carbon stocks, in that BAU stocks rise over time despite the magnitude of AGL-carbon diminutions while residual timber quality and biodiversity deteriorate.</w:t>
      </w:r>
    </w:p>
    <w:p w:rsidR="007C205E" w:rsidRDefault="0015025B" w:rsidP="00C32A5C">
      <w:pPr>
        <w:tabs>
          <w:tab w:val="left" w:pos="0"/>
        </w:tabs>
        <w:spacing w:line="480" w:lineRule="auto"/>
      </w:pPr>
      <w:r>
        <w:rPr>
          <w:noProof/>
        </w:rPr>
        <w:drawing>
          <wp:inline distT="0" distB="0" distL="0" distR="0" wp14:anchorId="5DBD2361" wp14:editId="3C0339FF">
            <wp:extent cx="6366933" cy="3649134"/>
            <wp:effectExtent l="0" t="0" r="15240" b="2794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C205E" w:rsidRDefault="007C205E" w:rsidP="007C205E">
      <w:pPr>
        <w:pStyle w:val="Caption"/>
        <w:rPr>
          <w:noProof/>
        </w:rPr>
      </w:pPr>
      <w:proofErr w:type="gramStart"/>
      <w:r>
        <w:t xml:space="preserve">Figure </w:t>
      </w:r>
      <w:r w:rsidR="00FB3CAC">
        <w:t>9</w:t>
      </w:r>
      <w:r>
        <w:t>.</w:t>
      </w:r>
      <w:proofErr w:type="gramEnd"/>
      <w:r>
        <w:t xml:space="preserve">  Modeled AGL carbon stocks ac</w:t>
      </w:r>
      <w:r w:rsidRPr="00F02F9E">
        <w:rPr>
          <w:vertAlign w:val="superscript"/>
        </w:rPr>
        <w:t>-1</w:t>
      </w:r>
      <w:r>
        <w:t xml:space="preserve"> for BAU management, the hypothetical CAR baseline, and the project scenario</w:t>
      </w:r>
    </w:p>
    <w:p w:rsidR="001C4AD9" w:rsidRDefault="00111C6D" w:rsidP="00FB3CAC">
      <w:pPr>
        <w:keepNext/>
        <w:tabs>
          <w:tab w:val="left" w:pos="0"/>
        </w:tabs>
        <w:spacing w:line="480" w:lineRule="auto"/>
        <w:ind w:firstLine="720"/>
      </w:pPr>
      <w:r>
        <w:lastRenderedPageBreak/>
        <w:t>Incorporating th</w:t>
      </w:r>
      <w:r w:rsidR="0091181B">
        <w:t>is</w:t>
      </w:r>
      <w:r w:rsidR="00B916BA">
        <w:t xml:space="preserve"> hybrid alternative baseline </w:t>
      </w:r>
      <w:r w:rsidR="00582D83">
        <w:t>produced a</w:t>
      </w:r>
      <w:r w:rsidR="007C205E">
        <w:t xml:space="preserve"> NPV of </w:t>
      </w:r>
      <w:r w:rsidR="000B35D4">
        <w:t>$</w:t>
      </w:r>
      <w:r w:rsidR="000B35D4" w:rsidRPr="000B35D4">
        <w:t>1,322.20</w:t>
      </w:r>
      <w:r w:rsidR="000B35D4">
        <w:t>-</w:t>
      </w:r>
      <w:r w:rsidR="000B35D4" w:rsidRPr="000B35D4">
        <w:t>$1,918.70</w:t>
      </w:r>
      <w:r w:rsidR="007C205E">
        <w:t>ac</w:t>
      </w:r>
      <w:r w:rsidR="007C205E" w:rsidRPr="007C205E">
        <w:rPr>
          <w:vertAlign w:val="superscript"/>
        </w:rPr>
        <w:t>-1</w:t>
      </w:r>
      <w:r w:rsidR="000B35D4">
        <w:t>.  Although it still fell short, this</w:t>
      </w:r>
      <w:r w:rsidR="00E57112">
        <w:t xml:space="preserve"> was </w:t>
      </w:r>
      <w:r w:rsidR="00681D93">
        <w:t>the only protocol modification to</w:t>
      </w:r>
      <w:r w:rsidR="000B35D4">
        <w:t xml:space="preserve"> come close to</w:t>
      </w:r>
      <w:r w:rsidR="00681D93">
        <w:t xml:space="preserve"> generat</w:t>
      </w:r>
      <w:r w:rsidR="000B35D4">
        <w:t>ing</w:t>
      </w:r>
      <w:r w:rsidR="00681D93">
        <w:t xml:space="preserve"> value </w:t>
      </w:r>
      <w:r w:rsidR="001A13B2">
        <w:t>from CAR registration</w:t>
      </w:r>
      <w:r w:rsidR="000B35D4">
        <w:t xml:space="preserve"> at a year-one price of </w:t>
      </w:r>
      <w:r w:rsidR="000B35D4" w:rsidRPr="000B35D4">
        <w:t>$</w:t>
      </w:r>
      <w:r w:rsidR="000B35D4">
        <w:t>10</w:t>
      </w:r>
      <w:r w:rsidR="000B35D4" w:rsidRPr="000B35D4">
        <w:t xml:space="preserve"> Mt</w:t>
      </w:r>
      <w:r w:rsidR="000B35D4" w:rsidRPr="000B35D4">
        <w:rPr>
          <w:vertAlign w:val="superscript"/>
        </w:rPr>
        <w:t>-1</w:t>
      </w:r>
      <w:r w:rsidR="001A13B2">
        <w:t>.</w:t>
      </w:r>
      <w:r w:rsidR="00E57112">
        <w:t xml:space="preserve">  </w:t>
      </w:r>
      <w:r w:rsidR="001876A1">
        <w:t>Aside f</w:t>
      </w:r>
      <w:r w:rsidR="001A13B2">
        <w:t xml:space="preserve">rom the </w:t>
      </w:r>
      <w:r w:rsidR="00151280">
        <w:t xml:space="preserve">baseline </w:t>
      </w:r>
      <w:r w:rsidR="001A13B2">
        <w:t>modifi</w:t>
      </w:r>
      <w:r w:rsidR="00151280">
        <w:t>cation</w:t>
      </w:r>
      <w:r w:rsidR="001A13B2">
        <w:t xml:space="preserve">, this case </w:t>
      </w:r>
      <w:r w:rsidR="001876A1">
        <w:t xml:space="preserve">also </w:t>
      </w:r>
      <w:r w:rsidR="001A13B2">
        <w:t>ignored</w:t>
      </w:r>
      <w:r w:rsidR="001876A1">
        <w:t xml:space="preserve"> the obligation to undergo a site-verification every year a reversal occurs, since reversals </w:t>
      </w:r>
      <w:r w:rsidR="00A375B9">
        <w:t xml:space="preserve">in this case </w:t>
      </w:r>
      <w:r w:rsidR="001876A1">
        <w:t>are sporadic and depend on movements in both project and baseline AGL carbon stocks</w:t>
      </w:r>
      <w:r w:rsidR="00151280">
        <w:t xml:space="preserve">; this is why the verification years between assessment cases do not match in figure </w:t>
      </w:r>
      <w:r w:rsidR="00FB3CAC">
        <w:t>10</w:t>
      </w:r>
      <w:r w:rsidR="00151280">
        <w:t xml:space="preserve">.  </w:t>
      </w:r>
      <w:r w:rsidR="00AC6026">
        <w:t xml:space="preserve">Nevertheless, </w:t>
      </w:r>
      <w:r w:rsidR="0078355F">
        <w:t xml:space="preserve">desk-reviews scheduled in between site-verifications were changed to site-audits if a harvest was undertaken during the relevant verification period.  </w:t>
      </w:r>
      <w:r w:rsidR="00B916BA">
        <w:t>U</w:t>
      </w:r>
      <w:r w:rsidR="00876434">
        <w:t xml:space="preserve">nder the carbon price growth assumption, </w:t>
      </w:r>
      <w:r w:rsidR="00E57112">
        <w:t>a year-one price of</w:t>
      </w:r>
      <w:r w:rsidR="00955D23">
        <w:t xml:space="preserve"> </w:t>
      </w:r>
      <w:r w:rsidR="000F5BAB">
        <w:t xml:space="preserve">at least </w:t>
      </w:r>
      <w:r w:rsidR="00E57112">
        <w:t>$</w:t>
      </w:r>
      <w:r w:rsidR="003F2595">
        <w:t>49</w:t>
      </w:r>
      <w:r w:rsidR="000B35D4">
        <w:t>.</w:t>
      </w:r>
      <w:r w:rsidR="003F2595">
        <w:t>8</w:t>
      </w:r>
      <w:r w:rsidR="00E57112">
        <w:t xml:space="preserve"> Mt</w:t>
      </w:r>
      <w:r w:rsidR="00E57112" w:rsidRPr="007C205E">
        <w:rPr>
          <w:vertAlign w:val="superscript"/>
        </w:rPr>
        <w:t>-1</w:t>
      </w:r>
      <w:r w:rsidR="00E57112">
        <w:t xml:space="preserve"> </w:t>
      </w:r>
      <w:r w:rsidR="0072529D">
        <w:t>wa</w:t>
      </w:r>
      <w:r w:rsidR="005F6FB2">
        <w:t>s necessary</w:t>
      </w:r>
      <w:r w:rsidR="00131859">
        <w:t xml:space="preserve"> </w:t>
      </w:r>
      <w:r w:rsidR="005F6FB2">
        <w:t xml:space="preserve">to </w:t>
      </w:r>
      <w:r w:rsidR="00B916BA">
        <w:t>a</w:t>
      </w:r>
      <w:r w:rsidR="005F6FB2">
        <w:t>ch</w:t>
      </w:r>
      <w:r w:rsidR="00B916BA">
        <w:t xml:space="preserve">ieve </w:t>
      </w:r>
      <w:r w:rsidR="00131859">
        <w:t>NPV</w:t>
      </w:r>
      <w:r w:rsidR="0072529D">
        <w:t>s that me</w:t>
      </w:r>
      <w:r w:rsidR="00B916BA">
        <w:t>t or exceed</w:t>
      </w:r>
      <w:r w:rsidR="0072529D">
        <w:t>ed those</w:t>
      </w:r>
      <w:r w:rsidR="00E57112">
        <w:t xml:space="preserve"> of the timber-only </w:t>
      </w:r>
      <w:r w:rsidR="00B916BA">
        <w:t>project scenario</w:t>
      </w:r>
      <w:r w:rsidR="005F6FB2">
        <w:t>.</w:t>
      </w:r>
      <w:r w:rsidR="00FD487E">
        <w:t xml:space="preserve"> </w:t>
      </w:r>
      <w:r w:rsidR="00B35D3B">
        <w:t xml:space="preserve"> </w:t>
      </w:r>
      <w:r w:rsidR="00471894">
        <w:t xml:space="preserve">The outcome </w:t>
      </w:r>
      <w:r w:rsidR="00A24145">
        <w:t>improve</w:t>
      </w:r>
      <w:r w:rsidR="0072529D">
        <w:t>d</w:t>
      </w:r>
      <w:r w:rsidR="00A24145">
        <w:t xml:space="preserve"> after assuming adjusted </w:t>
      </w:r>
      <w:r w:rsidR="00471894">
        <w:t xml:space="preserve">reversal </w:t>
      </w:r>
      <w:r w:rsidR="00A24145">
        <w:t>compensation</w:t>
      </w:r>
      <w:r w:rsidR="0072529D">
        <w:t xml:space="preserve">, which rendered </w:t>
      </w:r>
      <w:r w:rsidR="00471894" w:rsidRPr="00521F3F">
        <w:t>$1,</w:t>
      </w:r>
      <w:r w:rsidR="008F4408">
        <w:t>326.5-$1,</w:t>
      </w:r>
      <w:r w:rsidR="000D46A6">
        <w:t>9</w:t>
      </w:r>
      <w:r w:rsidR="008F4408">
        <w:t>22.9</w:t>
      </w:r>
      <w:r w:rsidR="00471894" w:rsidRPr="00521F3F">
        <w:t>ac</w:t>
      </w:r>
      <w:r w:rsidR="00471894" w:rsidRPr="007C205E">
        <w:rPr>
          <w:vertAlign w:val="superscript"/>
        </w:rPr>
        <w:t>-1</w:t>
      </w:r>
      <w:r w:rsidR="0072529D">
        <w:rPr>
          <w:vertAlign w:val="superscript"/>
        </w:rPr>
        <w:t xml:space="preserve"> </w:t>
      </w:r>
      <w:r w:rsidR="0072529D">
        <w:t>in NPV</w:t>
      </w:r>
      <w:r w:rsidR="00471894">
        <w:t xml:space="preserve">.  </w:t>
      </w:r>
      <w:r w:rsidR="000D46A6">
        <w:t>T</w:t>
      </w:r>
      <w:r w:rsidR="00035075">
        <w:t xml:space="preserve">he year-one price </w:t>
      </w:r>
      <w:r w:rsidR="00574CDA">
        <w:t xml:space="preserve">needed to add carbon value </w:t>
      </w:r>
      <w:r w:rsidR="0072529D">
        <w:t xml:space="preserve">to the project </w:t>
      </w:r>
      <w:r w:rsidR="00955D23">
        <w:t>dropped to $</w:t>
      </w:r>
      <w:r w:rsidR="008F4408">
        <w:t>11</w:t>
      </w:r>
      <w:r w:rsidR="00955D23" w:rsidRPr="00521F3F">
        <w:t>.</w:t>
      </w:r>
      <w:r w:rsidR="008F4408">
        <w:t>1</w:t>
      </w:r>
      <w:r w:rsidR="00035075">
        <w:t xml:space="preserve"> Mt</w:t>
      </w:r>
      <w:r w:rsidR="00035075" w:rsidRPr="007C205E">
        <w:rPr>
          <w:vertAlign w:val="superscript"/>
        </w:rPr>
        <w:t>-1</w:t>
      </w:r>
      <w:r w:rsidR="00112DC2">
        <w:t>, whereas</w:t>
      </w:r>
      <w:r w:rsidR="00035075">
        <w:t xml:space="preserve"> </w:t>
      </w:r>
      <w:r w:rsidR="000D46A6" w:rsidRPr="008F4408">
        <w:t>the year-one price needed to totally compensate for abandoning BAU management (i.e. opportunity costs) was $85.7-$118.7 Mt</w:t>
      </w:r>
      <w:r w:rsidR="000D46A6" w:rsidRPr="008F4408">
        <w:rPr>
          <w:vertAlign w:val="superscript"/>
        </w:rPr>
        <w:t>-1</w:t>
      </w:r>
      <w:r w:rsidR="000D46A6" w:rsidRPr="008F4408">
        <w:t>.  Hence, only with the adjustment to reversal compensation does even this</w:t>
      </w:r>
      <w:r w:rsidR="00854B96">
        <w:t xml:space="preserve"> hybrid baseline case provide an acceptable </w:t>
      </w:r>
      <w:r w:rsidR="000D46A6" w:rsidRPr="008F4408">
        <w:t xml:space="preserve">break-even price relative to the timber-only case.  </w:t>
      </w:r>
      <w:r w:rsidR="000D46A6">
        <w:t xml:space="preserve">The primary reason for this was the fact that enough carbon value was realized early in the project (as indicated in figure </w:t>
      </w:r>
      <w:r w:rsidR="00FB3CAC">
        <w:t>10</w:t>
      </w:r>
      <w:r w:rsidR="000D46A6">
        <w:t xml:space="preserve">) to offset all management and project implementation costs incurred throughout the project term.  However, these hypothetical adjustments to the protocol did not generate enough carbon value </w:t>
      </w:r>
      <w:r w:rsidR="00486575">
        <w:t xml:space="preserve">at foreseeable prices </w:t>
      </w:r>
      <w:r w:rsidR="000D46A6">
        <w:t>to also offset the opportunity costs of harvesting delays</w:t>
      </w:r>
      <w:r w:rsidR="00267DFD">
        <w:t xml:space="preserve"> relative to BAU</w:t>
      </w:r>
      <w:r w:rsidR="004B173E">
        <w:t xml:space="preserve">.  Incidentally, the same was true for the case-study involving version 2.1 of the protocol by </w:t>
      </w:r>
      <w:proofErr w:type="spellStart"/>
      <w:r w:rsidR="004B173E">
        <w:t>Galik</w:t>
      </w:r>
      <w:proofErr w:type="spellEnd"/>
      <w:r w:rsidR="004B173E">
        <w:t xml:space="preserve"> et al. (2009b)</w:t>
      </w:r>
      <w:r w:rsidR="000D46A6">
        <w:t xml:space="preserve">.  Still, </w:t>
      </w:r>
      <w:r w:rsidR="004B173E">
        <w:t xml:space="preserve">this </w:t>
      </w:r>
      <w:r w:rsidR="0023242C">
        <w:t xml:space="preserve">hybrid baseline case with limited reversal liability was the only </w:t>
      </w:r>
      <w:r w:rsidR="000D46A6">
        <w:t xml:space="preserve">case in which </w:t>
      </w:r>
      <w:r w:rsidR="00854B96">
        <w:t xml:space="preserve">CAR involvement could pay for itself and </w:t>
      </w:r>
      <w:r w:rsidR="000D46A6">
        <w:t>the oak-sustaining management regime</w:t>
      </w:r>
      <w:r w:rsidR="00854B96">
        <w:t xml:space="preserve"> at foreseeable prices</w:t>
      </w:r>
      <w:r w:rsidR="000D46A6">
        <w:t>.</w:t>
      </w:r>
      <w:r w:rsidR="006978F0">
        <w:t xml:space="preserve"> </w:t>
      </w:r>
      <w:r w:rsidR="006978F0" w:rsidRPr="006978F0">
        <w:t xml:space="preserve"> </w:t>
      </w:r>
    </w:p>
    <w:p w:rsidR="0091181B" w:rsidRDefault="004A6C47" w:rsidP="0091181B">
      <w:pPr>
        <w:keepNext/>
        <w:tabs>
          <w:tab w:val="left" w:pos="0"/>
        </w:tabs>
        <w:spacing w:line="480" w:lineRule="auto"/>
      </w:pPr>
      <w:r>
        <w:rPr>
          <w:noProof/>
        </w:rPr>
        <w:lastRenderedPageBreak/>
        <w:drawing>
          <wp:inline distT="0" distB="0" distL="0" distR="0" wp14:anchorId="42D985DC" wp14:editId="78BA8F34">
            <wp:extent cx="6366933" cy="4004733"/>
            <wp:effectExtent l="0" t="0" r="152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46E2" w:rsidRDefault="0091181B" w:rsidP="00FB3CAC">
      <w:pPr>
        <w:pStyle w:val="Caption"/>
        <w:ind w:left="900" w:hanging="900"/>
      </w:pPr>
      <w:proofErr w:type="gramStart"/>
      <w:r>
        <w:t xml:space="preserve">Figure </w:t>
      </w:r>
      <w:r w:rsidR="00FB3CAC">
        <w:t>10</w:t>
      </w:r>
      <w:r>
        <w:t>.</w:t>
      </w:r>
      <w:proofErr w:type="gramEnd"/>
      <w:r>
        <w:t xml:space="preserve">  </w:t>
      </w:r>
      <w:r w:rsidRPr="00661659">
        <w:t>CRTs acre</w:t>
      </w:r>
      <w:r w:rsidRPr="00282E99">
        <w:rPr>
          <w:vertAlign w:val="superscript"/>
        </w:rPr>
        <w:t>-1</w:t>
      </w:r>
      <w:r w:rsidRPr="00661659">
        <w:t xml:space="preserve"> issued/sur</w:t>
      </w:r>
      <w:r>
        <w:t xml:space="preserve">rendered resulting </w:t>
      </w:r>
      <w:r w:rsidRPr="00661659">
        <w:t xml:space="preserve">from </w:t>
      </w:r>
      <w:r>
        <w:t xml:space="preserve">a </w:t>
      </w:r>
      <w:r w:rsidR="00FB3CAC">
        <w:t>major</w:t>
      </w:r>
      <w:r>
        <w:t xml:space="preserve"> revision </w:t>
      </w:r>
      <w:r w:rsidR="00FB3CAC">
        <w:t>of</w:t>
      </w:r>
      <w:r w:rsidRPr="00661659">
        <w:t xml:space="preserve"> the current CAR baseline methodology</w:t>
      </w:r>
    </w:p>
    <w:p w:rsidR="00B744C4" w:rsidRPr="00CA4802" w:rsidRDefault="008A3933" w:rsidP="00ED3A9B">
      <w:pPr>
        <w:pStyle w:val="Caption"/>
        <w:spacing w:line="480" w:lineRule="auto"/>
        <w:ind w:firstLine="720"/>
        <w:rPr>
          <w:rFonts w:cs="Calibri"/>
          <w:b w:val="0"/>
          <w:sz w:val="22"/>
          <w:szCs w:val="22"/>
        </w:rPr>
      </w:pPr>
      <w:r>
        <w:rPr>
          <w:b w:val="0"/>
          <w:sz w:val="22"/>
        </w:rPr>
        <w:t>For this adjusted baseline and reversal rules case, t</w:t>
      </w:r>
      <w:r w:rsidR="0036771F" w:rsidRPr="009146E2">
        <w:rPr>
          <w:b w:val="0"/>
          <w:sz w:val="22"/>
        </w:rPr>
        <w:t xml:space="preserve">he </w:t>
      </w:r>
      <w:r w:rsidR="00987CC1" w:rsidRPr="009146E2">
        <w:rPr>
          <w:b w:val="0"/>
          <w:sz w:val="22"/>
        </w:rPr>
        <w:t>$</w:t>
      </w:r>
      <w:r>
        <w:rPr>
          <w:b w:val="0"/>
          <w:sz w:val="22"/>
        </w:rPr>
        <w:t>10</w:t>
      </w:r>
      <w:r w:rsidR="009146E2">
        <w:rPr>
          <w:b w:val="0"/>
          <w:sz w:val="22"/>
        </w:rPr>
        <w:t>.</w:t>
      </w:r>
      <w:r>
        <w:rPr>
          <w:b w:val="0"/>
          <w:sz w:val="22"/>
        </w:rPr>
        <w:t>4</w:t>
      </w:r>
      <w:r w:rsidR="00987CC1" w:rsidRPr="009146E2">
        <w:rPr>
          <w:b w:val="0"/>
          <w:sz w:val="22"/>
        </w:rPr>
        <w:t>0 Mt</w:t>
      </w:r>
      <w:r w:rsidR="00987CC1" w:rsidRPr="009146E2">
        <w:rPr>
          <w:b w:val="0"/>
          <w:sz w:val="22"/>
          <w:vertAlign w:val="superscript"/>
        </w:rPr>
        <w:t xml:space="preserve">-1 </w:t>
      </w:r>
      <w:r w:rsidR="0036771F" w:rsidRPr="009146E2">
        <w:rPr>
          <w:b w:val="0"/>
          <w:sz w:val="22"/>
        </w:rPr>
        <w:t xml:space="preserve">difference found between the </w:t>
      </w:r>
      <w:r w:rsidR="000F489B" w:rsidRPr="009146E2">
        <w:rPr>
          <w:b w:val="0"/>
          <w:sz w:val="22"/>
        </w:rPr>
        <w:t xml:space="preserve">break-even price resulting from inclusion of all implementation costs and that based on no implementation costs is </w:t>
      </w:r>
      <w:r w:rsidR="00F16418">
        <w:rPr>
          <w:b w:val="0"/>
          <w:sz w:val="22"/>
        </w:rPr>
        <w:t xml:space="preserve">markedly </w:t>
      </w:r>
      <w:r w:rsidR="005B0315" w:rsidRPr="009146E2">
        <w:rPr>
          <w:b w:val="0"/>
          <w:sz w:val="22"/>
        </w:rPr>
        <w:t>smal</w:t>
      </w:r>
      <w:r w:rsidR="005B0315">
        <w:rPr>
          <w:b w:val="0"/>
          <w:sz w:val="22"/>
        </w:rPr>
        <w:t>ler than</w:t>
      </w:r>
      <w:r w:rsidR="005B0315" w:rsidRPr="009146E2">
        <w:rPr>
          <w:b w:val="0"/>
          <w:sz w:val="22"/>
        </w:rPr>
        <w:t xml:space="preserve"> that </w:t>
      </w:r>
      <w:r w:rsidR="005B0315">
        <w:rPr>
          <w:b w:val="0"/>
          <w:sz w:val="22"/>
        </w:rPr>
        <w:t>($52.45</w:t>
      </w:r>
      <w:r w:rsidR="004143FC" w:rsidRPr="004143FC">
        <w:rPr>
          <w:bCs w:val="0"/>
          <w:sz w:val="22"/>
          <w:szCs w:val="22"/>
        </w:rPr>
        <w:t xml:space="preserve"> </w:t>
      </w:r>
      <w:r w:rsidR="004143FC" w:rsidRPr="004143FC">
        <w:rPr>
          <w:b w:val="0"/>
          <w:sz w:val="22"/>
        </w:rPr>
        <w:t>Mt</w:t>
      </w:r>
      <w:r w:rsidR="004143FC" w:rsidRPr="004143FC">
        <w:rPr>
          <w:b w:val="0"/>
          <w:sz w:val="22"/>
          <w:vertAlign w:val="superscript"/>
        </w:rPr>
        <w:t>-1</w:t>
      </w:r>
      <w:r w:rsidR="005B0315">
        <w:rPr>
          <w:b w:val="0"/>
          <w:sz w:val="22"/>
        </w:rPr>
        <w:t xml:space="preserve">) </w:t>
      </w:r>
      <w:r w:rsidR="005B0315" w:rsidRPr="009146E2">
        <w:rPr>
          <w:b w:val="0"/>
          <w:sz w:val="22"/>
        </w:rPr>
        <w:t>fo</w:t>
      </w:r>
      <w:r w:rsidR="005B0315">
        <w:rPr>
          <w:b w:val="0"/>
          <w:sz w:val="22"/>
        </w:rPr>
        <w:t>und in the earlier assessment</w:t>
      </w:r>
      <w:r w:rsidR="003347DC" w:rsidRPr="009146E2">
        <w:rPr>
          <w:b w:val="0"/>
          <w:sz w:val="22"/>
        </w:rPr>
        <w:t xml:space="preserve">.  </w:t>
      </w:r>
      <w:r w:rsidR="008B44F9" w:rsidRPr="009146E2">
        <w:rPr>
          <w:b w:val="0"/>
          <w:sz w:val="22"/>
        </w:rPr>
        <w:t>Th</w:t>
      </w:r>
      <w:r w:rsidR="004E775C">
        <w:rPr>
          <w:b w:val="0"/>
          <w:sz w:val="22"/>
        </w:rPr>
        <w:t>is</w:t>
      </w:r>
      <w:r w:rsidR="008B44F9" w:rsidRPr="009146E2">
        <w:rPr>
          <w:b w:val="0"/>
          <w:sz w:val="22"/>
        </w:rPr>
        <w:t xml:space="preserve"> </w:t>
      </w:r>
      <w:r w:rsidR="004E775C">
        <w:rPr>
          <w:b w:val="0"/>
          <w:sz w:val="22"/>
        </w:rPr>
        <w:t xml:space="preserve">constitutes a 94 percent </w:t>
      </w:r>
      <w:r w:rsidR="003806FF">
        <w:rPr>
          <w:b w:val="0"/>
          <w:sz w:val="22"/>
        </w:rPr>
        <w:t xml:space="preserve">difference </w:t>
      </w:r>
      <w:r w:rsidR="005A5333">
        <w:rPr>
          <w:b w:val="0"/>
          <w:sz w:val="22"/>
        </w:rPr>
        <w:t>and can be interpreted as</w:t>
      </w:r>
      <w:r w:rsidR="008B44F9" w:rsidRPr="009146E2">
        <w:rPr>
          <w:b w:val="0"/>
          <w:sz w:val="22"/>
        </w:rPr>
        <w:t xml:space="preserve"> the percentage of the </w:t>
      </w:r>
      <w:r w:rsidR="005A5333">
        <w:rPr>
          <w:b w:val="0"/>
          <w:sz w:val="22"/>
        </w:rPr>
        <w:t xml:space="preserve">project’s </w:t>
      </w:r>
      <w:r w:rsidR="000D7922">
        <w:rPr>
          <w:b w:val="0"/>
          <w:sz w:val="22"/>
        </w:rPr>
        <w:t>earnings</w:t>
      </w:r>
      <w:r w:rsidR="008B44F9" w:rsidRPr="009146E2">
        <w:rPr>
          <w:b w:val="0"/>
          <w:sz w:val="22"/>
        </w:rPr>
        <w:t xml:space="preserve"> that </w:t>
      </w:r>
      <w:r w:rsidR="00797D7F" w:rsidRPr="009146E2">
        <w:rPr>
          <w:b w:val="0"/>
          <w:sz w:val="22"/>
        </w:rPr>
        <w:t>is spent on implementation costs</w:t>
      </w:r>
      <w:r w:rsidR="000D7922">
        <w:rPr>
          <w:b w:val="0"/>
          <w:sz w:val="22"/>
        </w:rPr>
        <w:t xml:space="preserve"> at this break-even point.  This relative difference </w:t>
      </w:r>
      <w:r w:rsidR="002E0DF8" w:rsidRPr="009146E2">
        <w:rPr>
          <w:b w:val="0"/>
          <w:sz w:val="22"/>
        </w:rPr>
        <w:t>indicat</w:t>
      </w:r>
      <w:r w:rsidR="00F16418">
        <w:rPr>
          <w:b w:val="0"/>
          <w:sz w:val="22"/>
        </w:rPr>
        <w:t>e</w:t>
      </w:r>
      <w:r w:rsidR="009E4494">
        <w:rPr>
          <w:b w:val="0"/>
          <w:sz w:val="22"/>
        </w:rPr>
        <w:t>s</w:t>
      </w:r>
      <w:r w:rsidR="005B0315">
        <w:rPr>
          <w:b w:val="0"/>
          <w:sz w:val="22"/>
        </w:rPr>
        <w:t xml:space="preserve"> a</w:t>
      </w:r>
      <w:r w:rsidR="002E0DF8" w:rsidRPr="009146E2">
        <w:rPr>
          <w:b w:val="0"/>
          <w:sz w:val="22"/>
        </w:rPr>
        <w:t xml:space="preserve"> greater potential for profitability</w:t>
      </w:r>
      <w:r w:rsidR="000D7922">
        <w:rPr>
          <w:b w:val="0"/>
          <w:sz w:val="22"/>
        </w:rPr>
        <w:t xml:space="preserve"> but </w:t>
      </w:r>
      <w:r w:rsidR="00E16582" w:rsidRPr="000D7922">
        <w:rPr>
          <w:b w:val="0"/>
          <w:sz w:val="22"/>
        </w:rPr>
        <w:t>s</w:t>
      </w:r>
      <w:r w:rsidR="00F16418">
        <w:rPr>
          <w:b w:val="0"/>
          <w:sz w:val="22"/>
        </w:rPr>
        <w:t>hows</w:t>
      </w:r>
      <w:r w:rsidR="00E16582" w:rsidRPr="000D7922">
        <w:rPr>
          <w:b w:val="0"/>
          <w:sz w:val="22"/>
        </w:rPr>
        <w:t xml:space="preserve"> that these costs </w:t>
      </w:r>
      <w:r w:rsidR="00D17B45" w:rsidRPr="000D7922">
        <w:rPr>
          <w:b w:val="0"/>
          <w:sz w:val="22"/>
        </w:rPr>
        <w:t xml:space="preserve">continue to </w:t>
      </w:r>
      <w:r w:rsidR="00CE7172" w:rsidRPr="000D7922">
        <w:rPr>
          <w:b w:val="0"/>
          <w:sz w:val="22"/>
        </w:rPr>
        <w:t>strong</w:t>
      </w:r>
      <w:r w:rsidR="00D17B45" w:rsidRPr="000D7922">
        <w:rPr>
          <w:b w:val="0"/>
          <w:sz w:val="22"/>
        </w:rPr>
        <w:t xml:space="preserve">ly </w:t>
      </w:r>
      <w:r w:rsidR="00D17B45" w:rsidRPr="000D7922">
        <w:rPr>
          <w:b w:val="0"/>
          <w:sz w:val="22"/>
          <w:szCs w:val="22"/>
        </w:rPr>
        <w:t>influence</w:t>
      </w:r>
      <w:r w:rsidR="00CE7172" w:rsidRPr="000D7922">
        <w:rPr>
          <w:b w:val="0"/>
          <w:sz w:val="22"/>
          <w:szCs w:val="22"/>
        </w:rPr>
        <w:t xml:space="preserve"> ec</w:t>
      </w:r>
      <w:r w:rsidR="00D17B45" w:rsidRPr="000D7922">
        <w:rPr>
          <w:b w:val="0"/>
          <w:sz w:val="22"/>
          <w:szCs w:val="22"/>
        </w:rPr>
        <w:t>onomic viability</w:t>
      </w:r>
      <w:r w:rsidR="00E16582" w:rsidRPr="000D7922">
        <w:rPr>
          <w:b w:val="0"/>
          <w:sz w:val="22"/>
          <w:szCs w:val="22"/>
        </w:rPr>
        <w:t xml:space="preserve"> under the</w:t>
      </w:r>
      <w:r w:rsidR="00CE7172" w:rsidRPr="000D7922">
        <w:rPr>
          <w:b w:val="0"/>
          <w:sz w:val="22"/>
          <w:szCs w:val="22"/>
        </w:rPr>
        <w:t xml:space="preserve"> alternative baseline scenario</w:t>
      </w:r>
      <w:r w:rsidR="00FE58AB" w:rsidRPr="000D7922">
        <w:rPr>
          <w:b w:val="0"/>
          <w:sz w:val="22"/>
          <w:szCs w:val="22"/>
        </w:rPr>
        <w:t xml:space="preserve">, </w:t>
      </w:r>
      <w:r w:rsidR="00E16582" w:rsidRPr="000D7922">
        <w:rPr>
          <w:b w:val="0"/>
          <w:sz w:val="22"/>
          <w:szCs w:val="22"/>
        </w:rPr>
        <w:t xml:space="preserve">as is </w:t>
      </w:r>
      <w:r w:rsidR="00D17B45" w:rsidRPr="000D7922">
        <w:rPr>
          <w:b w:val="0"/>
          <w:sz w:val="22"/>
          <w:szCs w:val="22"/>
        </w:rPr>
        <w:t xml:space="preserve">generally </w:t>
      </w:r>
      <w:r w:rsidR="00E16582" w:rsidRPr="000D7922">
        <w:rPr>
          <w:b w:val="0"/>
          <w:sz w:val="22"/>
          <w:szCs w:val="22"/>
        </w:rPr>
        <w:t>expected for</w:t>
      </w:r>
      <w:r w:rsidR="00FE58AB" w:rsidRPr="000D7922">
        <w:rPr>
          <w:b w:val="0"/>
          <w:sz w:val="22"/>
          <w:szCs w:val="22"/>
        </w:rPr>
        <w:t xml:space="preserve"> small</w:t>
      </w:r>
      <w:r w:rsidR="009E4494">
        <w:rPr>
          <w:b w:val="0"/>
          <w:sz w:val="22"/>
          <w:szCs w:val="22"/>
        </w:rPr>
        <w:t>er</w:t>
      </w:r>
      <w:r w:rsidR="00FE58AB" w:rsidRPr="000D7922">
        <w:rPr>
          <w:b w:val="0"/>
          <w:sz w:val="22"/>
          <w:szCs w:val="22"/>
        </w:rPr>
        <w:t xml:space="preserve"> project</w:t>
      </w:r>
      <w:r w:rsidR="00E16582" w:rsidRPr="000D7922">
        <w:rPr>
          <w:b w:val="0"/>
          <w:sz w:val="22"/>
          <w:szCs w:val="22"/>
        </w:rPr>
        <w:t>s.</w:t>
      </w:r>
      <w:r w:rsidR="00F21F8B">
        <w:rPr>
          <w:b w:val="0"/>
          <w:sz w:val="22"/>
          <w:szCs w:val="22"/>
        </w:rPr>
        <w:t xml:space="preserve">  </w:t>
      </w:r>
      <w:r w:rsidR="00EA40C1">
        <w:rPr>
          <w:rFonts w:cs="Calibri"/>
          <w:b w:val="0"/>
          <w:sz w:val="22"/>
          <w:szCs w:val="22"/>
        </w:rPr>
        <w:t>Indeed</w:t>
      </w:r>
      <w:r w:rsidR="00EA40C1" w:rsidRPr="00EA40C1">
        <w:rPr>
          <w:rFonts w:cs="Calibri"/>
          <w:b w:val="0"/>
          <w:sz w:val="22"/>
          <w:szCs w:val="22"/>
        </w:rPr>
        <w:t>, the additional certifi</w:t>
      </w:r>
      <w:r w:rsidR="00EA40C1">
        <w:rPr>
          <w:rFonts w:cs="Calibri"/>
          <w:b w:val="0"/>
          <w:sz w:val="22"/>
          <w:szCs w:val="22"/>
        </w:rPr>
        <w:t>cation cost assessment case further increased the influence of these costs (by $1.90</w:t>
      </w:r>
      <w:r w:rsidR="004143FC" w:rsidRPr="004143FC">
        <w:rPr>
          <w:bCs w:val="0"/>
          <w:sz w:val="22"/>
          <w:szCs w:val="22"/>
        </w:rPr>
        <w:t xml:space="preserve"> </w:t>
      </w:r>
      <w:r w:rsidR="004143FC" w:rsidRPr="004143FC">
        <w:rPr>
          <w:rFonts w:cs="Calibri"/>
          <w:b w:val="0"/>
          <w:sz w:val="22"/>
          <w:szCs w:val="22"/>
        </w:rPr>
        <w:t>Mt</w:t>
      </w:r>
      <w:r w:rsidR="004143FC" w:rsidRPr="004143FC">
        <w:rPr>
          <w:rFonts w:cs="Calibri"/>
          <w:b w:val="0"/>
          <w:sz w:val="22"/>
          <w:szCs w:val="22"/>
          <w:vertAlign w:val="superscript"/>
        </w:rPr>
        <w:t>-1</w:t>
      </w:r>
      <w:r w:rsidR="00EA40C1">
        <w:rPr>
          <w:rFonts w:cs="Calibri"/>
          <w:b w:val="0"/>
          <w:sz w:val="22"/>
          <w:szCs w:val="22"/>
        </w:rPr>
        <w:t xml:space="preserve">), rendering implementation costs even </w:t>
      </w:r>
      <w:r w:rsidR="004143FC">
        <w:rPr>
          <w:rFonts w:cs="Calibri"/>
          <w:b w:val="0"/>
          <w:sz w:val="22"/>
          <w:szCs w:val="22"/>
        </w:rPr>
        <w:t>more consequential in project feasibility under this hypothetical protocol revision</w:t>
      </w:r>
      <w:r w:rsidR="00EA40C1">
        <w:rPr>
          <w:rFonts w:cs="Calibri"/>
          <w:b w:val="0"/>
          <w:sz w:val="22"/>
          <w:szCs w:val="22"/>
        </w:rPr>
        <w:t xml:space="preserve">.  </w:t>
      </w:r>
      <w:r w:rsidR="00827953">
        <w:rPr>
          <w:rFonts w:cs="Calibri"/>
          <w:b w:val="0"/>
          <w:sz w:val="22"/>
          <w:szCs w:val="22"/>
        </w:rPr>
        <w:t xml:space="preserve">Yet, treating this variable instead as annual property taxes, assuming as before that certification costs were covered by other aggregator fees, gives a sense </w:t>
      </w:r>
      <w:r w:rsidR="00827953">
        <w:rPr>
          <w:rFonts w:cs="Calibri"/>
          <w:b w:val="0"/>
          <w:sz w:val="22"/>
          <w:szCs w:val="22"/>
        </w:rPr>
        <w:lastRenderedPageBreak/>
        <w:t xml:space="preserve">of what carbon price is required to generate enough of a return to pay for property taxes.  </w:t>
      </w:r>
      <w:r w:rsidR="00F21F8B">
        <w:rPr>
          <w:b w:val="0"/>
          <w:sz w:val="22"/>
          <w:szCs w:val="22"/>
        </w:rPr>
        <w:t xml:space="preserve">Raising the </w:t>
      </w:r>
      <w:r w:rsidR="00E137A5">
        <w:rPr>
          <w:rFonts w:cs="Calibri"/>
          <w:b w:val="0"/>
          <w:sz w:val="22"/>
          <w:szCs w:val="22"/>
        </w:rPr>
        <w:t>discount r</w:t>
      </w:r>
      <w:r w:rsidR="00F21F8B">
        <w:rPr>
          <w:rFonts w:cs="Calibri"/>
          <w:b w:val="0"/>
          <w:sz w:val="22"/>
          <w:szCs w:val="22"/>
        </w:rPr>
        <w:t>ate also gave results that were expected in that the detrimental impact of doing so had a greater effect on the optimistic stumpage price scenario</w:t>
      </w:r>
      <w:r w:rsidR="00425905">
        <w:rPr>
          <w:rFonts w:cs="Calibri"/>
          <w:b w:val="0"/>
          <w:sz w:val="22"/>
          <w:szCs w:val="22"/>
        </w:rPr>
        <w:t xml:space="preserve"> in which the </w:t>
      </w:r>
      <w:r w:rsidR="00F21F8B">
        <w:rPr>
          <w:rFonts w:cs="Calibri"/>
          <w:b w:val="0"/>
          <w:sz w:val="22"/>
          <w:szCs w:val="22"/>
        </w:rPr>
        <w:t>opportunity cost</w:t>
      </w:r>
      <w:r w:rsidR="00425905">
        <w:rPr>
          <w:rFonts w:cs="Calibri"/>
          <w:b w:val="0"/>
          <w:sz w:val="22"/>
          <w:szCs w:val="22"/>
        </w:rPr>
        <w:t xml:space="preserve">s were already inflated </w:t>
      </w:r>
      <w:r w:rsidR="00425905" w:rsidRPr="00425905">
        <w:rPr>
          <w:rFonts w:cs="Calibri"/>
          <w:b w:val="0"/>
          <w:sz w:val="22"/>
          <w:szCs w:val="22"/>
        </w:rPr>
        <w:t>(see appendix B)</w:t>
      </w:r>
      <w:r w:rsidR="00F21F8B">
        <w:rPr>
          <w:rFonts w:cs="Calibri"/>
          <w:b w:val="0"/>
          <w:sz w:val="22"/>
          <w:szCs w:val="22"/>
        </w:rPr>
        <w:t xml:space="preserve">. </w:t>
      </w:r>
      <w:r w:rsidR="00EA40C1">
        <w:rPr>
          <w:rFonts w:cs="Calibri"/>
          <w:b w:val="0"/>
          <w:sz w:val="22"/>
          <w:szCs w:val="22"/>
        </w:rPr>
        <w:t xml:space="preserve"> </w:t>
      </w:r>
    </w:p>
    <w:p w:rsidR="00ED3A9B" w:rsidRPr="008F4408" w:rsidRDefault="00ED3A9B" w:rsidP="008F4408">
      <w:pPr>
        <w:pStyle w:val="Caption"/>
        <w:spacing w:line="480" w:lineRule="auto"/>
        <w:ind w:firstLine="720"/>
        <w:rPr>
          <w:rFonts w:cs="Calibri"/>
          <w:b w:val="0"/>
          <w:sz w:val="22"/>
          <w:szCs w:val="22"/>
        </w:rPr>
      </w:pPr>
      <w:r w:rsidRPr="00CA4802">
        <w:rPr>
          <w:rFonts w:cs="Calibri"/>
          <w:b w:val="0"/>
          <w:sz w:val="22"/>
          <w:szCs w:val="22"/>
        </w:rPr>
        <w:t xml:space="preserve">It should be noted that all variations of the </w:t>
      </w:r>
      <w:r w:rsidR="00827953">
        <w:rPr>
          <w:rFonts w:cs="Calibri"/>
          <w:b w:val="0"/>
          <w:sz w:val="22"/>
          <w:szCs w:val="22"/>
        </w:rPr>
        <w:t>protocol</w:t>
      </w:r>
      <w:r w:rsidRPr="00CA4802">
        <w:rPr>
          <w:rFonts w:cs="Calibri"/>
          <w:b w:val="0"/>
          <w:sz w:val="22"/>
          <w:szCs w:val="22"/>
        </w:rPr>
        <w:t xml:space="preserve"> could be even less cost-effective if a considerable amount of road/landing construction (additional to that assumed in the BMP costs and </w:t>
      </w:r>
      <w:r w:rsidR="008F4408">
        <w:rPr>
          <w:rFonts w:cs="Calibri"/>
          <w:b w:val="0"/>
          <w:sz w:val="22"/>
          <w:szCs w:val="22"/>
        </w:rPr>
        <w:t xml:space="preserve">low </w:t>
      </w:r>
      <w:r w:rsidRPr="00CA4802">
        <w:rPr>
          <w:rFonts w:cs="Calibri"/>
          <w:b w:val="0"/>
          <w:sz w:val="22"/>
          <w:szCs w:val="22"/>
        </w:rPr>
        <w:t xml:space="preserve">stumpage rates) was necessary.  </w:t>
      </w:r>
      <w:r w:rsidR="00FD3485">
        <w:rPr>
          <w:rFonts w:cs="Calibri"/>
          <w:b w:val="0"/>
          <w:sz w:val="22"/>
          <w:szCs w:val="22"/>
        </w:rPr>
        <w:t>D</w:t>
      </w:r>
      <w:r w:rsidR="00FD3485" w:rsidRPr="00CA4802">
        <w:rPr>
          <w:rFonts w:cs="Calibri"/>
          <w:b w:val="0"/>
          <w:sz w:val="22"/>
          <w:szCs w:val="22"/>
        </w:rPr>
        <w:t>epending on the assumed accessibility of each stand</w:t>
      </w:r>
      <w:r w:rsidR="00FD3485">
        <w:rPr>
          <w:rFonts w:cs="Calibri"/>
          <w:b w:val="0"/>
          <w:sz w:val="22"/>
          <w:szCs w:val="22"/>
        </w:rPr>
        <w:t>, t</w:t>
      </w:r>
      <w:r w:rsidRPr="00CA4802">
        <w:rPr>
          <w:rFonts w:cs="Calibri"/>
          <w:b w:val="0"/>
          <w:sz w:val="22"/>
          <w:szCs w:val="22"/>
        </w:rPr>
        <w:t xml:space="preserve">he opposite could also be true given that such costs could be more heavily discounted with regard to the time value of money under the project scenario </w:t>
      </w:r>
      <w:r w:rsidR="00FD3485">
        <w:rPr>
          <w:rFonts w:cs="Calibri"/>
          <w:b w:val="0"/>
          <w:sz w:val="22"/>
          <w:szCs w:val="22"/>
        </w:rPr>
        <w:t>in comparison</w:t>
      </w:r>
      <w:r w:rsidRPr="00CA4802">
        <w:rPr>
          <w:rFonts w:cs="Calibri"/>
          <w:b w:val="0"/>
          <w:sz w:val="22"/>
          <w:szCs w:val="22"/>
        </w:rPr>
        <w:t xml:space="preserve"> to the </w:t>
      </w:r>
      <w:r w:rsidR="00FD3485">
        <w:rPr>
          <w:rFonts w:cs="Calibri"/>
          <w:b w:val="0"/>
          <w:sz w:val="22"/>
          <w:szCs w:val="22"/>
        </w:rPr>
        <w:t>BAU scenario</w:t>
      </w:r>
      <w:r w:rsidRPr="00CA4802">
        <w:rPr>
          <w:rFonts w:cs="Calibri"/>
          <w:b w:val="0"/>
          <w:sz w:val="22"/>
          <w:szCs w:val="22"/>
        </w:rPr>
        <w:t xml:space="preserve">.  </w:t>
      </w:r>
      <w:r w:rsidR="00827953">
        <w:rPr>
          <w:rFonts w:cs="Calibri"/>
          <w:b w:val="0"/>
          <w:sz w:val="22"/>
          <w:szCs w:val="22"/>
        </w:rPr>
        <w:t>At the same time, these results are likely conservative considering th</w:t>
      </w:r>
      <w:r w:rsidR="007C7EE1">
        <w:rPr>
          <w:rFonts w:cs="Calibri"/>
          <w:b w:val="0"/>
          <w:sz w:val="22"/>
          <w:szCs w:val="22"/>
        </w:rPr>
        <w:t>e conservative approach undertaken in the modeling</w:t>
      </w:r>
      <w:r w:rsidR="00827953">
        <w:rPr>
          <w:rFonts w:cs="Calibri"/>
          <w:b w:val="0"/>
          <w:sz w:val="22"/>
          <w:szCs w:val="22"/>
        </w:rPr>
        <w:t xml:space="preserve">.  </w:t>
      </w:r>
      <w:r w:rsidR="000E24C8" w:rsidRPr="00CA4802">
        <w:rPr>
          <w:b w:val="0"/>
          <w:sz w:val="22"/>
          <w:szCs w:val="22"/>
        </w:rPr>
        <w:t xml:space="preserve">The profitability of the project scenario would further improve if the area converted to roads and landings during harvests could be significantly and cost-effectively reduced.  </w:t>
      </w:r>
      <w:r w:rsidR="000E24C8" w:rsidRPr="00CA4802">
        <w:rPr>
          <w:rFonts w:cs="Calibri"/>
          <w:b w:val="0"/>
          <w:sz w:val="22"/>
          <w:szCs w:val="22"/>
        </w:rPr>
        <w:t xml:space="preserve">Wang et al. </w:t>
      </w:r>
      <w:r w:rsidR="00420A2C" w:rsidRPr="00CA4802">
        <w:rPr>
          <w:rFonts w:cs="Calibri"/>
          <w:b w:val="0"/>
          <w:sz w:val="22"/>
          <w:szCs w:val="22"/>
        </w:rPr>
        <w:fldChar w:fldCharType="begin"/>
      </w:r>
      <w:r w:rsidR="00B96AA3" w:rsidRPr="00CA4802">
        <w:rPr>
          <w:rFonts w:cs="Calibri"/>
          <w:b w:val="0"/>
          <w:sz w:val="22"/>
          <w:szCs w:val="22"/>
        </w:rPr>
        <w:instrText xml:space="preserve"> ADDIN EN.CITE &lt;EndNote&gt;&lt;Cite ExcludeAuth="1"&gt;&lt;Author&gt;Wang&lt;/Author&gt;&lt;Year&gt;2005&lt;/Year&gt;&lt;RecNum&gt;289&lt;/RecNum&gt;&lt;DisplayText&gt;(2005)&lt;/DisplayText&gt;&lt;record&gt;&lt;rec-number&gt;289&lt;/rec-number&gt;&lt;foreign-keys&gt;&lt;key app="EN" db-id="a90s5zadewrawxeer07v2f90xr5vxv022sat"&gt;289&lt;/key&gt;&lt;/foreign-keys&gt;&lt;ref-type name="Journal Article"&gt;17&lt;/ref-type&gt;&lt;contributors&gt;&lt;authors&gt;&lt;author&gt;Wang, J.&lt;/author&gt;&lt;author&gt;Grushecky, S. T.&lt;/author&gt;&lt;author&gt;McNeel, J.&lt;/author&gt;&lt;/authors&gt;&lt;/contributors&gt;&lt;titles&gt;&lt;title&gt;Production analysis of helicopter logging in West Virginia: a preliminary case study&lt;/title&gt;&lt;secondary-title&gt;Forest Products Journal&lt;/secondary-title&gt;&lt;/titles&gt;&lt;periodical&gt;&lt;full-title&gt;Forest Products Journal&lt;/full-title&gt;&lt;abbr-1&gt;For. Prod. J.&lt;/abbr-1&gt;&lt;/periodical&gt;&lt;pages&gt;71-76&lt;/pages&gt;&lt;volume&gt;55&lt;/volume&gt;&lt;number&gt;12&lt;/number&gt;&lt;dates&gt;&lt;year&gt;2005&lt;/year&gt;&lt;/dates&gt;&lt;urls&gt;&lt;/urls&gt;&lt;/record&gt;&lt;/Cite&gt;&lt;/EndNote&gt;</w:instrText>
      </w:r>
      <w:r w:rsidR="00420A2C" w:rsidRPr="00CA4802">
        <w:rPr>
          <w:rFonts w:cs="Calibri"/>
          <w:b w:val="0"/>
          <w:sz w:val="22"/>
          <w:szCs w:val="22"/>
        </w:rPr>
        <w:fldChar w:fldCharType="separate"/>
      </w:r>
      <w:r w:rsidR="00B96AA3" w:rsidRPr="00CA4802">
        <w:rPr>
          <w:rFonts w:cs="Calibri"/>
          <w:b w:val="0"/>
          <w:noProof/>
          <w:sz w:val="22"/>
          <w:szCs w:val="22"/>
        </w:rPr>
        <w:t>(</w:t>
      </w:r>
      <w:hyperlink w:anchor="_ENREF_144" w:tooltip="Wang, 2005 #289" w:history="1">
        <w:r w:rsidR="001E4C88" w:rsidRPr="00CA4802">
          <w:rPr>
            <w:rFonts w:cs="Calibri"/>
            <w:b w:val="0"/>
            <w:noProof/>
            <w:sz w:val="22"/>
            <w:szCs w:val="22"/>
          </w:rPr>
          <w:t>2005</w:t>
        </w:r>
      </w:hyperlink>
      <w:r w:rsidR="00B96AA3" w:rsidRPr="00CA4802">
        <w:rPr>
          <w:rFonts w:cs="Calibri"/>
          <w:b w:val="0"/>
          <w:noProof/>
          <w:sz w:val="22"/>
          <w:szCs w:val="22"/>
        </w:rPr>
        <w:t>)</w:t>
      </w:r>
      <w:r w:rsidR="00420A2C" w:rsidRPr="00CA4802">
        <w:rPr>
          <w:rFonts w:cs="Calibri"/>
          <w:b w:val="0"/>
          <w:sz w:val="22"/>
          <w:szCs w:val="22"/>
        </w:rPr>
        <w:fldChar w:fldCharType="end"/>
      </w:r>
      <w:r w:rsidR="000E24C8" w:rsidRPr="00CA4802">
        <w:rPr>
          <w:rFonts w:cs="Calibri"/>
          <w:b w:val="0"/>
          <w:sz w:val="22"/>
          <w:szCs w:val="22"/>
        </w:rPr>
        <w:t xml:space="preserve"> </w:t>
      </w:r>
      <w:r w:rsidR="00FD3485">
        <w:rPr>
          <w:rFonts w:cs="Calibri"/>
          <w:b w:val="0"/>
          <w:sz w:val="22"/>
          <w:szCs w:val="22"/>
        </w:rPr>
        <w:t>imply</w:t>
      </w:r>
      <w:r w:rsidR="008F4408">
        <w:rPr>
          <w:rFonts w:cs="Calibri"/>
          <w:b w:val="0"/>
          <w:sz w:val="22"/>
          <w:szCs w:val="22"/>
        </w:rPr>
        <w:t xml:space="preserve"> that a benefit of about $90 </w:t>
      </w:r>
      <w:r w:rsidR="000E24C8" w:rsidRPr="00CA4802">
        <w:rPr>
          <w:rFonts w:cs="Calibri"/>
          <w:b w:val="0"/>
          <w:sz w:val="22"/>
          <w:szCs w:val="22"/>
        </w:rPr>
        <w:t>ac</w:t>
      </w:r>
      <w:r w:rsidR="008F4408" w:rsidRPr="00A67834">
        <w:rPr>
          <w:rFonts w:cs="Calibri"/>
          <w:b w:val="0"/>
          <w:sz w:val="22"/>
          <w:szCs w:val="22"/>
          <w:vertAlign w:val="superscript"/>
        </w:rPr>
        <w:t>-1</w:t>
      </w:r>
      <w:r w:rsidR="000E24C8" w:rsidRPr="00CA4802">
        <w:rPr>
          <w:rFonts w:cs="Calibri"/>
          <w:b w:val="0"/>
          <w:sz w:val="22"/>
          <w:szCs w:val="22"/>
        </w:rPr>
        <w:t xml:space="preserve"> could be realized from decreasing the area in primary skid roads and landings from 10 percent to 6 percent for a 383ac harvest; though it remains to be seen if such a scenario would be cost-effective in practice and at a smaller scale.  </w:t>
      </w:r>
      <w:r w:rsidRPr="00CA4802">
        <w:rPr>
          <w:rFonts w:cs="Calibri"/>
          <w:b w:val="0"/>
          <w:sz w:val="22"/>
          <w:szCs w:val="22"/>
        </w:rPr>
        <w:t>Such scenarios were not evaluated because they would have made results less interpretable.</w:t>
      </w:r>
    </w:p>
    <w:p w:rsidR="00A844E1" w:rsidRPr="009A3CD0" w:rsidRDefault="00F1330A" w:rsidP="00A844E1">
      <w:pPr>
        <w:pStyle w:val="Heading2"/>
        <w:numPr>
          <w:ilvl w:val="0"/>
          <w:numId w:val="21"/>
        </w:numPr>
      </w:pPr>
      <w:bookmarkStart w:id="29" w:name="_Toc273520896"/>
      <w:bookmarkStart w:id="30" w:name="_Toc273521359"/>
      <w:bookmarkStart w:id="31" w:name="_Toc273524903"/>
      <w:bookmarkStart w:id="32" w:name="_Toc277738187"/>
      <w:bookmarkStart w:id="33" w:name="_Toc278294308"/>
      <w:r>
        <w:t>DISCUSSION</w:t>
      </w:r>
      <w:bookmarkEnd w:id="29"/>
      <w:bookmarkEnd w:id="30"/>
      <w:bookmarkEnd w:id="31"/>
      <w:bookmarkEnd w:id="32"/>
      <w:bookmarkEnd w:id="33"/>
    </w:p>
    <w:p w:rsidR="00FD2697" w:rsidRDefault="00D60D4F" w:rsidP="00441C2C">
      <w:pPr>
        <w:spacing w:line="480" w:lineRule="auto"/>
      </w:pPr>
      <w:r>
        <w:rPr>
          <w:noProof/>
        </w:rPr>
        <w:tab/>
      </w:r>
      <w:r w:rsidR="00CA4802">
        <w:t>In</w:t>
      </w:r>
      <w:r w:rsidR="001B354C">
        <w:t xml:space="preserve"> summary, t</w:t>
      </w:r>
      <w:r w:rsidR="00016E96">
        <w:t xml:space="preserve">he timber-only oak-management scenario was much less </w:t>
      </w:r>
      <w:r w:rsidR="0064051B">
        <w:t>profitable</w:t>
      </w:r>
      <w:r w:rsidR="00016E96">
        <w:t xml:space="preserve"> than the BAU scenario due</w:t>
      </w:r>
      <w:r w:rsidR="0076314B">
        <w:t xml:space="preserve"> in large part</w:t>
      </w:r>
      <w:r w:rsidR="00016E96">
        <w:t xml:space="preserve"> to the stumpage values that were realized very early in the BAU simulation, and in effect, were not significantly dimi</w:t>
      </w:r>
      <w:r w:rsidR="000C4928">
        <w:t>nished by time-</w:t>
      </w:r>
      <w:r w:rsidR="00016E96">
        <w:t xml:space="preserve">discounting.  Another contributor to this outcome and potential source of bias might be the static stumpage rates used, which are based on a sample of sawtimber </w:t>
      </w:r>
      <w:r w:rsidR="00A960C3">
        <w:t xml:space="preserve">sales </w:t>
      </w:r>
      <w:r w:rsidR="00016E96">
        <w:t>that is likely made up of lower amounts of the highest grade sawtimber than that produced from the project scenario</w:t>
      </w:r>
      <w:r w:rsidR="007A1C5F">
        <w:t xml:space="preserve"> and </w:t>
      </w:r>
      <w:r w:rsidR="002B58E9">
        <w:t xml:space="preserve">possibly </w:t>
      </w:r>
      <w:r w:rsidR="007A1C5F">
        <w:t>higher amounts of the high grade sawtimber than that from the baseline scenario</w:t>
      </w:r>
      <w:r w:rsidR="00016E96">
        <w:t xml:space="preserve">.  </w:t>
      </w:r>
      <w:r w:rsidR="00FD2697">
        <w:t>T</w:t>
      </w:r>
      <w:r w:rsidR="00016E96">
        <w:t>he economic disparity between these scenarios presented a daunting challenge for IFM proj</w:t>
      </w:r>
      <w:r w:rsidR="007B47CB">
        <w:t xml:space="preserve">ect feasibility, so it was not </w:t>
      </w:r>
      <w:r w:rsidR="00016E96">
        <w:t>surpris</w:t>
      </w:r>
      <w:r w:rsidR="007B47CB">
        <w:t>ing</w:t>
      </w:r>
      <w:r w:rsidR="00016E96">
        <w:t xml:space="preserve"> to find that CAR </w:t>
      </w:r>
      <w:r w:rsidR="007B47CB">
        <w:t xml:space="preserve">participation </w:t>
      </w:r>
      <w:r w:rsidR="00016E96">
        <w:t xml:space="preserve">would not add enough </w:t>
      </w:r>
      <w:r w:rsidR="007B47CB">
        <w:t xml:space="preserve">carbon </w:t>
      </w:r>
      <w:r w:rsidR="00016E96">
        <w:t xml:space="preserve">value to the timber-only project scenario to favor it </w:t>
      </w:r>
      <w:r w:rsidR="00016E96">
        <w:lastRenderedPageBreak/>
        <w:t xml:space="preserve">over BAU management.  However, the discovery that </w:t>
      </w:r>
      <w:r w:rsidR="00FD2697">
        <w:t>CAR engagement</w:t>
      </w:r>
      <w:r w:rsidR="00A960C3">
        <w:t xml:space="preserve"> as written and under </w:t>
      </w:r>
      <w:r w:rsidR="00016E96">
        <w:t xml:space="preserve">all </w:t>
      </w:r>
      <w:r w:rsidR="00441C2C">
        <w:t>tested-</w:t>
      </w:r>
      <w:r w:rsidR="00FD2697">
        <w:t>variations</w:t>
      </w:r>
      <w:r w:rsidR="00016E96">
        <w:t xml:space="preserve"> of the protocol would worsen the </w:t>
      </w:r>
      <w:r w:rsidR="00A31180">
        <w:t>financial prospects</w:t>
      </w:r>
      <w:r w:rsidR="00016E96">
        <w:t xml:space="preserve"> of adopting the </w:t>
      </w:r>
      <w:r w:rsidR="00FD2697">
        <w:t xml:space="preserve">oak-management </w:t>
      </w:r>
      <w:r w:rsidR="00016E96">
        <w:t xml:space="preserve">scenario </w:t>
      </w:r>
      <w:r w:rsidR="00A31180">
        <w:t xml:space="preserve">at reasonable carbon prices was surprising. </w:t>
      </w:r>
    </w:p>
    <w:p w:rsidR="00441C2C" w:rsidRDefault="00FD2697" w:rsidP="00FD2697">
      <w:pPr>
        <w:spacing w:line="480" w:lineRule="auto"/>
        <w:ind w:firstLine="720"/>
      </w:pPr>
      <w:r>
        <w:t>Comparing the age-classes inferred from the inventory and regional FIA data reveals that initial conditions implied from the inventory data represent the median age-class (61-70) of the even-aged timberland in the region, or about one-fifth of</w:t>
      </w:r>
      <w:r w:rsidRPr="001B354C">
        <w:t xml:space="preserve"> </w:t>
      </w:r>
      <w:r w:rsidR="00A960C3">
        <w:t xml:space="preserve">even-aged </w:t>
      </w:r>
      <w:r>
        <w:t xml:space="preserve">timberland acreage; nearly two-fifths are younger and another two-fifths are older </w:t>
      </w:r>
      <w:r w:rsidR="007722C4">
        <w:fldChar w:fldCharType="begin"/>
      </w:r>
      <w:r w:rsidR="007722C4">
        <w:instrText xml:space="preserve"> ADDIN EN.CITE &lt;EndNote&gt;&lt;Cite ExcludeAuth="1"&gt;&lt;Year&gt;USDA Forest Service 2010a&lt;/Year&gt;&lt;RecNum&gt;292&lt;/RecNum&gt;&lt;DisplayText&gt;(USDA Forest Service 2010a)&lt;/DisplayText&gt;&lt;record&gt;&lt;rec-number&gt;292&lt;/rec-number&gt;&lt;foreign-keys&gt;&lt;key app="EN" db-id="a90s5zadewrawxeer07v2f90xr5vxv022sat"&gt;292&lt;/key&gt;&lt;/foreign-keys&gt;&lt;ref-type name="Online Database"&gt;45&lt;/ref-type&gt;&lt;contributors&gt;&lt;/contributors&gt;&lt;titles&gt;&lt;title&gt;National Forest Inventory and Analysis, FIA Database version 4.0. Washington, DC: U.S. Department of Agriculture, Forest Service. Available at http://199.128.173.17/fiadb4-downloads/datamart.html Retrieved January 4, 2010&lt;/title&gt;&lt;/titles&gt;&lt;dates&gt;&lt;year&gt;USDA Forest Service 2010a&lt;/year&gt;&lt;/dates&gt;&lt;urls&gt;&lt;/urls&gt;&lt;/record&gt;&lt;/Cite&gt;&lt;/EndNote&gt;</w:instrText>
      </w:r>
      <w:r w:rsidR="007722C4">
        <w:fldChar w:fldCharType="separate"/>
      </w:r>
      <w:r w:rsidR="007722C4">
        <w:rPr>
          <w:noProof/>
        </w:rPr>
        <w:t>(</w:t>
      </w:r>
      <w:hyperlink w:anchor="_ENREF_15" w:tooltip=", USDA Forest Service 2010a #292" w:history="1">
        <w:r w:rsidR="001E4C88">
          <w:rPr>
            <w:noProof/>
          </w:rPr>
          <w:t>USDA Forest Service 2010a</w:t>
        </w:r>
      </w:hyperlink>
      <w:r w:rsidR="007722C4">
        <w:rPr>
          <w:noProof/>
        </w:rPr>
        <w:t>)</w:t>
      </w:r>
      <w:r w:rsidR="007722C4">
        <w:fldChar w:fldCharType="end"/>
      </w:r>
      <w:r>
        <w:t xml:space="preserve">.  In addition to being </w:t>
      </w:r>
      <w:r>
        <w:rPr>
          <w:noProof/>
        </w:rPr>
        <w:t>relatively mature</w:t>
      </w:r>
      <w:r w:rsidRPr="0064051B">
        <w:rPr>
          <w:noProof/>
        </w:rPr>
        <w:t xml:space="preserve"> </w:t>
      </w:r>
      <w:r>
        <w:rPr>
          <w:noProof/>
        </w:rPr>
        <w:t>upland hardwood forests,</w:t>
      </w:r>
      <w:r>
        <w:t xml:space="preserve"> the applicability of this analysis must also</w:t>
      </w:r>
      <w:r>
        <w:rPr>
          <w:noProof/>
        </w:rPr>
        <w:t xml:space="preserve"> be interpreted in the context of unthinned stands comprised of one or two consecutive age-classes.  </w:t>
      </w:r>
      <w:r w:rsidR="00587C7F">
        <w:t xml:space="preserve">As most of the difference in present worth between the two management regimes can be attributed to the deferment of harvests required to balance age-classes, it is important to point out that the cost-effectiveness of a CAR project in upland hardwood forests would presumably be more favorable than suggested here if the project initially consisted of a variety of age-classes.  Such projects would incur opportunity costs far lower than those brought to bear in this case study.  However, it is less </w:t>
      </w:r>
      <w:r w:rsidR="00A375B9">
        <w:t>common</w:t>
      </w:r>
      <w:r w:rsidR="00587C7F">
        <w:t xml:space="preserve"> for smaller size </w:t>
      </w:r>
      <w:r w:rsidR="00A375B9">
        <w:t>tracts</w:t>
      </w:r>
      <w:r w:rsidR="00587C7F">
        <w:t xml:space="preserve"> to have this age-class diversity</w:t>
      </w:r>
      <w:r w:rsidR="00A375B9">
        <w:t xml:space="preserve"> compared to large tracts</w:t>
      </w:r>
      <w:r w:rsidR="00587C7F">
        <w:t>.</w:t>
      </w:r>
    </w:p>
    <w:p w:rsidR="00AB505A" w:rsidRPr="002B58DD" w:rsidRDefault="00AB505A" w:rsidP="00AB505A">
      <w:pPr>
        <w:keepNext/>
        <w:numPr>
          <w:ilvl w:val="1"/>
          <w:numId w:val="21"/>
        </w:numPr>
        <w:autoSpaceDE w:val="0"/>
        <w:autoSpaceDN w:val="0"/>
        <w:adjustRightInd w:val="0"/>
        <w:spacing w:line="480" w:lineRule="auto"/>
        <w:rPr>
          <w:b/>
          <w:i/>
          <w:noProof/>
        </w:rPr>
      </w:pPr>
      <w:r w:rsidRPr="002B58DD">
        <w:rPr>
          <w:b/>
          <w:i/>
          <w:noProof/>
        </w:rPr>
        <w:t>Problematic CAR implementation</w:t>
      </w:r>
    </w:p>
    <w:p w:rsidR="007D353B" w:rsidRDefault="00441C2C" w:rsidP="000906EB">
      <w:pPr>
        <w:autoSpaceDE w:val="0"/>
        <w:autoSpaceDN w:val="0"/>
        <w:adjustRightInd w:val="0"/>
        <w:spacing w:after="0" w:line="480" w:lineRule="auto"/>
        <w:ind w:firstLine="720"/>
        <w:rPr>
          <w:noProof/>
        </w:rPr>
      </w:pPr>
      <w:r w:rsidRPr="00441C2C">
        <w:rPr>
          <w:rFonts w:asciiTheme="minorHAnsi" w:hAnsiTheme="minorHAnsi" w:cstheme="minorHAnsi"/>
        </w:rPr>
        <w:t xml:space="preserve">Apart from much needed guidance brought by recent changes made to the initial nationwide CAR protocol, the </w:t>
      </w:r>
      <w:r w:rsidRPr="00BC4F0C">
        <w:rPr>
          <w:rFonts w:asciiTheme="minorHAnsi" w:hAnsiTheme="minorHAnsi" w:cstheme="minorHAnsi"/>
        </w:rPr>
        <w:t xml:space="preserve">revised </w:t>
      </w:r>
      <w:r w:rsidR="00D44749">
        <w:rPr>
          <w:rFonts w:asciiTheme="minorHAnsi" w:hAnsiTheme="minorHAnsi" w:cstheme="minorHAnsi"/>
        </w:rPr>
        <w:t>standard</w:t>
      </w:r>
      <w:r w:rsidRPr="00BC4F0C">
        <w:rPr>
          <w:rFonts w:asciiTheme="minorHAnsi" w:hAnsiTheme="minorHAnsi" w:cstheme="minorHAnsi"/>
        </w:rPr>
        <w:t xml:space="preserve"> </w:t>
      </w:r>
      <w:r w:rsidR="00BC4F0C">
        <w:rPr>
          <w:rFonts w:asciiTheme="minorHAnsi" w:hAnsiTheme="minorHAnsi" w:cstheme="minorHAnsi"/>
        </w:rPr>
        <w:t xml:space="preserve">(version 3.2) </w:t>
      </w:r>
      <w:r w:rsidRPr="00BC4F0C">
        <w:rPr>
          <w:rFonts w:asciiTheme="minorHAnsi" w:hAnsiTheme="minorHAnsi" w:cstheme="minorHAnsi"/>
        </w:rPr>
        <w:t>still presents implementation problems for IFM projects</w:t>
      </w:r>
      <w:r w:rsidR="00BC4F0C" w:rsidRPr="00BC4F0C">
        <w:rPr>
          <w:rFonts w:asciiTheme="minorHAnsi" w:hAnsiTheme="minorHAnsi" w:cstheme="minorHAnsi"/>
        </w:rPr>
        <w:t xml:space="preserve"> and seems not </w:t>
      </w:r>
      <w:r w:rsidR="002B58E9">
        <w:rPr>
          <w:rFonts w:asciiTheme="minorHAnsi" w:hAnsiTheme="minorHAnsi" w:cstheme="minorHAnsi"/>
        </w:rPr>
        <w:t xml:space="preserve">to </w:t>
      </w:r>
      <w:r w:rsidR="00BC4F0C" w:rsidRPr="00BC4F0C">
        <w:rPr>
          <w:rFonts w:asciiTheme="minorHAnsi" w:hAnsiTheme="minorHAnsi" w:cstheme="minorHAnsi"/>
        </w:rPr>
        <w:t>be “</w:t>
      </w:r>
      <w:r w:rsidR="00BC4F0C" w:rsidRPr="00BC4F0C">
        <w:rPr>
          <w:rFonts w:asciiTheme="minorHAnsi" w:hAnsiTheme="minorHAnsi" w:cstheme="minorHAnsi"/>
          <w:bCs/>
          <w:color w:val="000000"/>
        </w:rPr>
        <w:t>inclusive of many landowners who manage their forestland for the sustainable production of wood products” as claimed</w:t>
      </w:r>
      <w:r w:rsidR="008F1E2A">
        <w:rPr>
          <w:rFonts w:asciiTheme="minorHAnsi" w:hAnsiTheme="minorHAnsi" w:cstheme="minorHAnsi"/>
          <w:bCs/>
          <w:color w:val="000000"/>
        </w:rPr>
        <w:t xml:space="preserve"> </w:t>
      </w:r>
      <w:r w:rsidR="005136EC">
        <w:rPr>
          <w:rFonts w:asciiTheme="minorHAnsi" w:hAnsiTheme="minorHAnsi" w:cstheme="minorHAnsi"/>
          <w:bCs/>
          <w:color w:val="000000"/>
        </w:rPr>
        <w:fldChar w:fldCharType="begin"/>
      </w:r>
      <w:r w:rsidR="007722C4">
        <w:rPr>
          <w:rFonts w:asciiTheme="minorHAnsi" w:hAnsiTheme="minorHAnsi" w:cstheme="minorHAnsi"/>
          <w:bCs/>
          <w:color w:val="000000"/>
        </w:rPr>
        <w:instrText xml:space="preserve"> ADDIN EN.CITE &lt;EndNote&gt;&lt;Cite ExcludeAuth="1"&gt;&lt;Year&gt;CAR 2009&lt;/Year&gt;&lt;RecNum&gt;286&lt;/RecNum&gt;&lt;DisplayText&gt;(CAR 2009)&lt;/DisplayText&gt;&lt;record&gt;&lt;rec-number&gt;286&lt;/rec-number&gt;&lt;foreign-keys&gt;&lt;key app="EN" db-id="a90s5zadewrawxeer07v2f90xr5vxv022sat"&gt;286&lt;/key&gt;&lt;/foreign-keys&gt;&lt;ref-type name="Unpublished Work"&gt;34&lt;/ref-type&gt;&lt;contributors&gt;&lt;/contributors&gt;&lt;titles&gt;&lt;title&gt;Summary of comments &amp;amp; responses on the draft forest project protocol, Version 3.0&lt;/title&gt;&lt;/titles&gt;&lt;pages&gt;132&lt;/pages&gt;&lt;dates&gt;&lt;year&gt;CAR 2009&lt;/year&gt;&lt;pub-dates&gt;&lt;date&gt;August 4, 20109&lt;/date&gt;&lt;/pub-dates&gt;&lt;/dates&gt;&lt;pub-location&gt;Los Angelas, CA&lt;/pub-location&gt;&lt;publisher&gt;Climate Action Reserve&lt;/publisher&gt;&lt;urls&gt;&lt;/urls&gt;&lt;/record&gt;&lt;/Cite&gt;&lt;/EndNote&gt;</w:instrText>
      </w:r>
      <w:r w:rsidR="005136EC">
        <w:rPr>
          <w:rFonts w:asciiTheme="minorHAnsi" w:hAnsiTheme="minorHAnsi" w:cstheme="minorHAnsi"/>
          <w:bCs/>
          <w:color w:val="000000"/>
        </w:rPr>
        <w:fldChar w:fldCharType="separate"/>
      </w:r>
      <w:r w:rsidR="005136EC">
        <w:rPr>
          <w:rFonts w:asciiTheme="minorHAnsi" w:hAnsiTheme="minorHAnsi" w:cstheme="minorHAnsi"/>
          <w:bCs/>
          <w:noProof/>
          <w:color w:val="000000"/>
        </w:rPr>
        <w:t>(</w:t>
      </w:r>
      <w:hyperlink w:anchor="_ENREF_1" w:tooltip=", CAR 2009 #286" w:history="1">
        <w:r w:rsidR="001E4C88">
          <w:rPr>
            <w:rFonts w:asciiTheme="minorHAnsi" w:hAnsiTheme="minorHAnsi" w:cstheme="minorHAnsi"/>
            <w:bCs/>
            <w:noProof/>
            <w:color w:val="000000"/>
          </w:rPr>
          <w:t>CAR 2009</w:t>
        </w:r>
      </w:hyperlink>
      <w:r w:rsidR="005136EC">
        <w:rPr>
          <w:rFonts w:asciiTheme="minorHAnsi" w:hAnsiTheme="minorHAnsi" w:cstheme="minorHAnsi"/>
          <w:bCs/>
          <w:noProof/>
          <w:color w:val="000000"/>
        </w:rPr>
        <w:t>)</w:t>
      </w:r>
      <w:r w:rsidR="005136EC">
        <w:rPr>
          <w:rFonts w:asciiTheme="minorHAnsi" w:hAnsiTheme="minorHAnsi" w:cstheme="minorHAnsi"/>
          <w:bCs/>
          <w:color w:val="000000"/>
        </w:rPr>
        <w:fldChar w:fldCharType="end"/>
      </w:r>
      <w:r w:rsidR="00BC4F0C" w:rsidRPr="00BC4F0C">
        <w:rPr>
          <w:rFonts w:asciiTheme="minorHAnsi" w:hAnsiTheme="minorHAnsi" w:cstheme="minorHAnsi"/>
          <w:bCs/>
          <w:color w:val="000000"/>
        </w:rPr>
        <w:t>.</w:t>
      </w:r>
      <w:r w:rsidRPr="00441C2C">
        <w:rPr>
          <w:rFonts w:asciiTheme="minorHAnsi" w:hAnsiTheme="minorHAnsi" w:cstheme="minorHAnsi"/>
        </w:rPr>
        <w:t xml:space="preserve">  </w:t>
      </w:r>
      <w:r w:rsidR="00840B3E">
        <w:t xml:space="preserve">Even though the project scenario was </w:t>
      </w:r>
      <w:r w:rsidR="001856C9">
        <w:t>designed</w:t>
      </w:r>
      <w:r w:rsidR="00840B3E">
        <w:t xml:space="preserve"> to significantly attenuate the reductions to </w:t>
      </w:r>
      <w:smartTag w:uri="urn:schemas-microsoft-com:office:smarttags" w:element="stockticker">
        <w:r w:rsidR="0045198B">
          <w:t>AGL</w:t>
        </w:r>
      </w:smartTag>
      <w:r w:rsidR="0045198B">
        <w:t xml:space="preserve"> carbon</w:t>
      </w:r>
      <w:r w:rsidR="00840B3E">
        <w:t xml:space="preserve"> stocks </w:t>
      </w:r>
      <w:r w:rsidR="002C17E5">
        <w:t>projected</w:t>
      </w:r>
      <w:r w:rsidR="00840B3E">
        <w:t xml:space="preserve"> in the BAU scenario (as shown in figure </w:t>
      </w:r>
      <w:r w:rsidR="00FB3CAC">
        <w:t>9</w:t>
      </w:r>
      <w:r w:rsidR="00840B3E">
        <w:t xml:space="preserve">) and forgo </w:t>
      </w:r>
      <w:r w:rsidR="002C17E5">
        <w:t xml:space="preserve">lucrative </w:t>
      </w:r>
      <w:r w:rsidR="00840B3E">
        <w:t>timber harvests in the short-term</w:t>
      </w:r>
      <w:r w:rsidR="001856C9">
        <w:t>, the CAR protocol gave</w:t>
      </w:r>
      <w:r w:rsidR="00840B3E">
        <w:t xml:space="preserve"> little credit for doing so </w:t>
      </w:r>
      <w:r w:rsidR="0045198B">
        <w:t>under the conditions modeled</w:t>
      </w:r>
      <w:r w:rsidR="00840B3E">
        <w:t xml:space="preserve">.  </w:t>
      </w:r>
      <w:r w:rsidR="00492CB6">
        <w:rPr>
          <w:noProof/>
        </w:rPr>
        <w:t xml:space="preserve">The results from this assessment imply that </w:t>
      </w:r>
      <w:r w:rsidR="00492CB6">
        <w:rPr>
          <w:rFonts w:asciiTheme="minorHAnsi" w:hAnsiTheme="minorHAnsi" w:cstheme="minorHAnsi"/>
        </w:rPr>
        <w:t xml:space="preserve">IFM projects </w:t>
      </w:r>
      <w:r w:rsidR="008E689B">
        <w:rPr>
          <w:rFonts w:asciiTheme="minorHAnsi" w:hAnsiTheme="minorHAnsi" w:cstheme="minorHAnsi"/>
        </w:rPr>
        <w:t>largely consisting of</w:t>
      </w:r>
      <w:r w:rsidR="00492CB6">
        <w:rPr>
          <w:rFonts w:asciiTheme="minorHAnsi" w:hAnsiTheme="minorHAnsi" w:cstheme="minorHAnsi"/>
        </w:rPr>
        <w:t xml:space="preserve"> </w:t>
      </w:r>
      <w:r w:rsidR="00492CB6" w:rsidRPr="00441C2C">
        <w:rPr>
          <w:rFonts w:asciiTheme="minorHAnsi" w:hAnsiTheme="minorHAnsi" w:cstheme="minorHAnsi"/>
        </w:rPr>
        <w:t>stands nearing financial maturity</w:t>
      </w:r>
      <w:r w:rsidR="00492CB6">
        <w:rPr>
          <w:rFonts w:asciiTheme="minorHAnsi" w:hAnsiTheme="minorHAnsi" w:cstheme="minorHAnsi"/>
        </w:rPr>
        <w:t xml:space="preserve"> </w:t>
      </w:r>
      <w:r w:rsidR="008E689B">
        <w:rPr>
          <w:rFonts w:asciiTheme="minorHAnsi" w:hAnsiTheme="minorHAnsi" w:cstheme="minorHAnsi"/>
        </w:rPr>
        <w:t xml:space="preserve">that </w:t>
      </w:r>
      <w:r w:rsidR="008E689B">
        <w:rPr>
          <w:noProof/>
        </w:rPr>
        <w:lastRenderedPageBreak/>
        <w:t>undertake sustainable management</w:t>
      </w:r>
      <w:r w:rsidR="00492CB6">
        <w:rPr>
          <w:noProof/>
        </w:rPr>
        <w:t xml:space="preserve"> </w:t>
      </w:r>
      <w:r w:rsidR="008E689B">
        <w:rPr>
          <w:noProof/>
        </w:rPr>
        <w:t>following guidance in</w:t>
      </w:r>
      <w:r w:rsidR="00492CB6">
        <w:rPr>
          <w:noProof/>
        </w:rPr>
        <w:t xml:space="preserve"> the hardwood silviculture literature </w:t>
      </w:r>
      <w:r w:rsidR="0063616E">
        <w:rPr>
          <w:noProof/>
        </w:rPr>
        <w:t xml:space="preserve">and the even-age management limitations dictated by CAR </w:t>
      </w:r>
      <w:r w:rsidR="00492CB6">
        <w:rPr>
          <w:rFonts w:asciiTheme="minorHAnsi" w:hAnsiTheme="minorHAnsi" w:cstheme="minorHAnsi"/>
        </w:rPr>
        <w:t xml:space="preserve">cannot accrue enough creditable carbon </w:t>
      </w:r>
      <w:r w:rsidR="00492CB6">
        <w:rPr>
          <w:noProof/>
        </w:rPr>
        <w:t xml:space="preserve">under the CAR </w:t>
      </w:r>
      <w:r w:rsidR="007B47CB">
        <w:rPr>
          <w:noProof/>
        </w:rPr>
        <w:t>protocol</w:t>
      </w:r>
      <w:r w:rsidR="00492CB6">
        <w:rPr>
          <w:noProof/>
        </w:rPr>
        <w:t xml:space="preserve"> to </w:t>
      </w:r>
      <w:r w:rsidR="007B47CB">
        <w:rPr>
          <w:noProof/>
        </w:rPr>
        <w:t>justify CAR registration</w:t>
      </w:r>
      <w:r w:rsidR="00492CB6">
        <w:rPr>
          <w:noProof/>
        </w:rPr>
        <w:t xml:space="preserve">, unless a </w:t>
      </w:r>
      <w:r w:rsidR="00BC4F0C">
        <w:rPr>
          <w:noProof/>
        </w:rPr>
        <w:t xml:space="preserve">far </w:t>
      </w:r>
      <w:r w:rsidR="00492CB6">
        <w:rPr>
          <w:noProof/>
        </w:rPr>
        <w:t xml:space="preserve">more significant curtailment of near-term timber production than was </w:t>
      </w:r>
      <w:r w:rsidR="003C6CDC">
        <w:rPr>
          <w:noProof/>
        </w:rPr>
        <w:t>simulated</w:t>
      </w:r>
      <w:r w:rsidR="00492CB6">
        <w:rPr>
          <w:noProof/>
        </w:rPr>
        <w:t xml:space="preserve"> is compatible with owner objectives.  </w:t>
      </w:r>
      <w:r w:rsidR="0045198B">
        <w:rPr>
          <w:noProof/>
        </w:rPr>
        <w:t xml:space="preserve">These findings suggest that </w:t>
      </w:r>
      <w:r w:rsidR="0090737D">
        <w:rPr>
          <w:noProof/>
        </w:rPr>
        <w:t xml:space="preserve">relatively mature </w:t>
      </w:r>
      <w:r w:rsidR="0045198B">
        <w:rPr>
          <w:noProof/>
        </w:rPr>
        <w:t>u</w:t>
      </w:r>
      <w:r w:rsidR="008E689B">
        <w:rPr>
          <w:noProof/>
        </w:rPr>
        <w:t xml:space="preserve">pland hardwood IFM projects such as this with stocking levels below </w:t>
      </w:r>
      <w:r w:rsidR="003B028E">
        <w:rPr>
          <w:noProof/>
        </w:rPr>
        <w:t xml:space="preserve">the CP statistic </w:t>
      </w:r>
      <w:r w:rsidR="008E689B">
        <w:rPr>
          <w:noProof/>
        </w:rPr>
        <w:t>a</w:t>
      </w:r>
      <w:r w:rsidR="0060189C">
        <w:rPr>
          <w:noProof/>
        </w:rPr>
        <w:t xml:space="preserve">re inherently at a disadvantage, </w:t>
      </w:r>
      <w:r w:rsidR="00D44749">
        <w:rPr>
          <w:noProof/>
        </w:rPr>
        <w:t>since</w:t>
      </w:r>
      <w:r w:rsidR="0060189C">
        <w:rPr>
          <w:noProof/>
        </w:rPr>
        <w:t xml:space="preserve"> they cannot earn </w:t>
      </w:r>
      <w:r w:rsidR="00DC3A2F">
        <w:rPr>
          <w:noProof/>
        </w:rPr>
        <w:t xml:space="preserve">the </w:t>
      </w:r>
      <w:r w:rsidR="0060189C">
        <w:rPr>
          <w:noProof/>
        </w:rPr>
        <w:t>automatic credit</w:t>
      </w:r>
      <w:r w:rsidR="00DC3A2F">
        <w:rPr>
          <w:noProof/>
        </w:rPr>
        <w:t>s awarded</w:t>
      </w:r>
      <w:r w:rsidR="0060189C">
        <w:rPr>
          <w:noProof/>
        </w:rPr>
        <w:t xml:space="preserve"> for stocking levels above CP</w:t>
      </w:r>
      <w:r w:rsidR="00A960C3">
        <w:rPr>
          <w:noProof/>
        </w:rPr>
        <w:t xml:space="preserve"> </w:t>
      </w:r>
      <w:r w:rsidR="00BC3CFB">
        <w:rPr>
          <w:noProof/>
        </w:rPr>
        <w:t>but must still adopt a relatively high baseline, providing little</w:t>
      </w:r>
      <w:r w:rsidR="00A960C3">
        <w:rPr>
          <w:noProof/>
        </w:rPr>
        <w:t xml:space="preserve"> incentive to forestall lucrative harvests</w:t>
      </w:r>
      <w:r w:rsidR="008E689B">
        <w:rPr>
          <w:noProof/>
        </w:rPr>
        <w:t xml:space="preserve">.  </w:t>
      </w:r>
      <w:r w:rsidR="008E689B" w:rsidRPr="00B64833">
        <w:rPr>
          <w:noProof/>
        </w:rPr>
        <w:t>Th</w:t>
      </w:r>
      <w:r w:rsidR="00060DBD" w:rsidRPr="00B64833">
        <w:rPr>
          <w:noProof/>
        </w:rPr>
        <w:t>e extent of this</w:t>
      </w:r>
      <w:r w:rsidR="008E689B" w:rsidRPr="00B64833">
        <w:rPr>
          <w:noProof/>
        </w:rPr>
        <w:t xml:space="preserve"> </w:t>
      </w:r>
      <w:r w:rsidR="00060DBD" w:rsidRPr="00B64833">
        <w:rPr>
          <w:noProof/>
        </w:rPr>
        <w:t xml:space="preserve">drawback </w:t>
      </w:r>
      <w:r w:rsidR="008E689B" w:rsidRPr="00B64833">
        <w:rPr>
          <w:noProof/>
        </w:rPr>
        <w:t xml:space="preserve">is a function of </w:t>
      </w:r>
      <w:r w:rsidR="00105E10" w:rsidRPr="00B64833">
        <w:rPr>
          <w:noProof/>
        </w:rPr>
        <w:t>multiple</w:t>
      </w:r>
      <w:r w:rsidR="008E689B" w:rsidRPr="00B64833">
        <w:rPr>
          <w:noProof/>
        </w:rPr>
        <w:t xml:space="preserve"> factors but is largely contingent on the silvicultural regime adopted and its objectives.  </w:t>
      </w:r>
    </w:p>
    <w:p w:rsidR="000906EB" w:rsidRPr="000906EB" w:rsidRDefault="00CC75C1" w:rsidP="000906EB">
      <w:pPr>
        <w:autoSpaceDE w:val="0"/>
        <w:autoSpaceDN w:val="0"/>
        <w:adjustRightInd w:val="0"/>
        <w:spacing w:after="0" w:line="480" w:lineRule="auto"/>
        <w:ind w:firstLine="720"/>
        <w:rPr>
          <w:rFonts w:asciiTheme="minorHAnsi" w:hAnsiTheme="minorHAnsi" w:cstheme="minorHAnsi"/>
        </w:rPr>
      </w:pPr>
      <w:r>
        <w:rPr>
          <w:noProof/>
        </w:rPr>
        <w:t xml:space="preserve">Moreover, </w:t>
      </w:r>
      <w:r w:rsidR="00441C2C" w:rsidRPr="00441C2C">
        <w:rPr>
          <w:rFonts w:asciiTheme="minorHAnsi" w:hAnsiTheme="minorHAnsi" w:cstheme="minorHAnsi"/>
        </w:rPr>
        <w:t xml:space="preserve">CAR rules </w:t>
      </w:r>
      <w:r w:rsidR="000C4928">
        <w:rPr>
          <w:rFonts w:asciiTheme="minorHAnsi" w:hAnsiTheme="minorHAnsi" w:cstheme="minorHAnsi"/>
        </w:rPr>
        <w:t>in the</w:t>
      </w:r>
      <w:r w:rsidR="00D40E92">
        <w:rPr>
          <w:rFonts w:asciiTheme="minorHAnsi" w:hAnsiTheme="minorHAnsi" w:cstheme="minorHAnsi"/>
        </w:rPr>
        <w:t xml:space="preserve"> context </w:t>
      </w:r>
      <w:r w:rsidR="000C4928">
        <w:rPr>
          <w:rFonts w:asciiTheme="minorHAnsi" w:hAnsiTheme="minorHAnsi" w:cstheme="minorHAnsi"/>
        </w:rPr>
        <w:t xml:space="preserve">of this study </w:t>
      </w:r>
      <w:r w:rsidR="00D40E92">
        <w:rPr>
          <w:rFonts w:asciiTheme="minorHAnsi" w:hAnsiTheme="minorHAnsi" w:cstheme="minorHAnsi"/>
        </w:rPr>
        <w:t xml:space="preserve">present an obvious paradox, as they </w:t>
      </w:r>
      <w:r w:rsidR="00441C2C" w:rsidRPr="00441C2C">
        <w:rPr>
          <w:rFonts w:asciiTheme="minorHAnsi" w:hAnsiTheme="minorHAnsi" w:cstheme="minorHAnsi"/>
        </w:rPr>
        <w:t xml:space="preserve">clearly prohibit </w:t>
      </w:r>
      <w:r w:rsidR="00CC5FE0">
        <w:rPr>
          <w:rFonts w:asciiTheme="minorHAnsi" w:hAnsiTheme="minorHAnsi" w:cstheme="minorHAnsi"/>
        </w:rPr>
        <w:t>the long-term diminishment</w:t>
      </w:r>
      <w:r w:rsidR="00441C2C" w:rsidRPr="00441C2C">
        <w:rPr>
          <w:rFonts w:asciiTheme="minorHAnsi" w:hAnsiTheme="minorHAnsi" w:cstheme="minorHAnsi"/>
        </w:rPr>
        <w:t xml:space="preserve"> </w:t>
      </w:r>
      <w:r w:rsidR="00CC5FE0">
        <w:rPr>
          <w:rFonts w:asciiTheme="minorHAnsi" w:hAnsiTheme="minorHAnsi" w:cstheme="minorHAnsi"/>
        </w:rPr>
        <w:t>of</w:t>
      </w:r>
      <w:r w:rsidR="00441C2C" w:rsidRPr="00441C2C">
        <w:rPr>
          <w:rFonts w:asciiTheme="minorHAnsi" w:hAnsiTheme="minorHAnsi" w:cstheme="minorHAnsi"/>
        </w:rPr>
        <w:t xml:space="preserve"> species dive</w:t>
      </w:r>
      <w:r w:rsidR="00D40E92">
        <w:rPr>
          <w:rFonts w:asciiTheme="minorHAnsi" w:hAnsiTheme="minorHAnsi" w:cstheme="minorHAnsi"/>
        </w:rPr>
        <w:t xml:space="preserve">rsity </w:t>
      </w:r>
      <w:r w:rsidR="008E689B">
        <w:rPr>
          <w:rFonts w:asciiTheme="minorHAnsi" w:hAnsiTheme="minorHAnsi" w:cstheme="minorHAnsi"/>
        </w:rPr>
        <w:t xml:space="preserve">but </w:t>
      </w:r>
      <w:r w:rsidR="00D40E92">
        <w:rPr>
          <w:rFonts w:asciiTheme="minorHAnsi" w:hAnsiTheme="minorHAnsi" w:cstheme="minorHAnsi"/>
        </w:rPr>
        <w:t>appear</w:t>
      </w:r>
      <w:r w:rsidR="00441C2C" w:rsidRPr="00441C2C">
        <w:rPr>
          <w:rFonts w:asciiTheme="minorHAnsi" w:hAnsiTheme="minorHAnsi" w:cstheme="minorHAnsi"/>
        </w:rPr>
        <w:t xml:space="preserve"> to afford quite limited prospects for silviculturally sound and sustainable timber production</w:t>
      </w:r>
      <w:r w:rsidR="00D40E92">
        <w:rPr>
          <w:rFonts w:asciiTheme="minorHAnsi" w:hAnsiTheme="minorHAnsi" w:cstheme="minorHAnsi"/>
        </w:rPr>
        <w:t xml:space="preserve"> (in </w:t>
      </w:r>
      <w:r w:rsidR="000C4928">
        <w:rPr>
          <w:rFonts w:asciiTheme="minorHAnsi" w:hAnsiTheme="minorHAnsi" w:cstheme="minorHAnsi"/>
        </w:rPr>
        <w:t>adherence to</w:t>
      </w:r>
      <w:r w:rsidR="00D40E92">
        <w:rPr>
          <w:rFonts w:asciiTheme="minorHAnsi" w:hAnsiTheme="minorHAnsi" w:cstheme="minorHAnsi"/>
        </w:rPr>
        <w:t xml:space="preserve"> </w:t>
      </w:r>
      <w:r w:rsidR="003B028E">
        <w:rPr>
          <w:rFonts w:asciiTheme="minorHAnsi" w:hAnsiTheme="minorHAnsi" w:cstheme="minorHAnsi"/>
        </w:rPr>
        <w:t xml:space="preserve">CAR </w:t>
      </w:r>
      <w:r w:rsidR="00D40E92">
        <w:rPr>
          <w:rFonts w:asciiTheme="minorHAnsi" w:hAnsiTheme="minorHAnsi" w:cstheme="minorHAnsi"/>
        </w:rPr>
        <w:t>criteria)</w:t>
      </w:r>
      <w:r w:rsidR="00441C2C" w:rsidRPr="00441C2C">
        <w:rPr>
          <w:rFonts w:asciiTheme="minorHAnsi" w:hAnsiTheme="minorHAnsi" w:cstheme="minorHAnsi"/>
        </w:rPr>
        <w:t xml:space="preserve">, which in Southern Appalachia </w:t>
      </w:r>
      <w:r w:rsidR="008E689B">
        <w:rPr>
          <w:rFonts w:asciiTheme="minorHAnsi" w:hAnsiTheme="minorHAnsi" w:cstheme="minorHAnsi"/>
        </w:rPr>
        <w:t>is</w:t>
      </w:r>
      <w:r w:rsidR="00441C2C" w:rsidRPr="00441C2C">
        <w:rPr>
          <w:rFonts w:asciiTheme="minorHAnsi" w:hAnsiTheme="minorHAnsi" w:cstheme="minorHAnsi"/>
        </w:rPr>
        <w:t xml:space="preserve"> essenti</w:t>
      </w:r>
      <w:r w:rsidR="003B028E">
        <w:rPr>
          <w:rFonts w:asciiTheme="minorHAnsi" w:hAnsiTheme="minorHAnsi" w:cstheme="minorHAnsi"/>
        </w:rPr>
        <w:t>al to the maintenance of current</w:t>
      </w:r>
      <w:r w:rsidR="001856C9">
        <w:rPr>
          <w:rFonts w:asciiTheme="minorHAnsi" w:hAnsiTheme="minorHAnsi" w:cstheme="minorHAnsi"/>
        </w:rPr>
        <w:t xml:space="preserve"> biodiversity levels.</w:t>
      </w:r>
      <w:r w:rsidR="007D353B">
        <w:rPr>
          <w:rFonts w:asciiTheme="minorHAnsi" w:hAnsiTheme="minorHAnsi" w:cstheme="minorHAnsi"/>
        </w:rPr>
        <w:t xml:space="preserve">  These results</w:t>
      </w:r>
      <w:r w:rsidR="0063616E">
        <w:rPr>
          <w:rFonts w:asciiTheme="minorHAnsi" w:hAnsiTheme="minorHAnsi" w:cstheme="minorHAnsi"/>
        </w:rPr>
        <w:t xml:space="preserve"> also </w:t>
      </w:r>
      <w:r w:rsidR="008B413A">
        <w:rPr>
          <w:rFonts w:asciiTheme="minorHAnsi" w:hAnsiTheme="minorHAnsi" w:cstheme="minorHAnsi"/>
        </w:rPr>
        <w:t>reveal</w:t>
      </w:r>
      <w:r w:rsidR="00D177C1">
        <w:rPr>
          <w:rFonts w:asciiTheme="minorHAnsi" w:hAnsiTheme="minorHAnsi" w:cstheme="minorHAnsi"/>
        </w:rPr>
        <w:t>ed</w:t>
      </w:r>
      <w:r w:rsidR="0063616E">
        <w:rPr>
          <w:rFonts w:asciiTheme="minorHAnsi" w:hAnsiTheme="minorHAnsi" w:cstheme="minorHAnsi"/>
        </w:rPr>
        <w:t xml:space="preserve"> that </w:t>
      </w:r>
      <w:r w:rsidR="008B413A">
        <w:rPr>
          <w:rFonts w:asciiTheme="minorHAnsi" w:hAnsiTheme="minorHAnsi" w:cstheme="minorHAnsi"/>
        </w:rPr>
        <w:t xml:space="preserve">limitations </w:t>
      </w:r>
      <w:r w:rsidR="00D177C1">
        <w:rPr>
          <w:rFonts w:asciiTheme="minorHAnsi" w:hAnsiTheme="minorHAnsi" w:cstheme="minorHAnsi"/>
        </w:rPr>
        <w:t>on even-aged opening size and project age-class distribution have no</w:t>
      </w:r>
      <w:r w:rsidR="008B413A">
        <w:rPr>
          <w:rFonts w:asciiTheme="minorHAnsi" w:hAnsiTheme="minorHAnsi" w:cstheme="minorHAnsi"/>
        </w:rPr>
        <w:t xml:space="preserve"> influence</w:t>
      </w:r>
      <w:r w:rsidR="00D177C1">
        <w:rPr>
          <w:rFonts w:asciiTheme="minorHAnsi" w:hAnsiTheme="minorHAnsi" w:cstheme="minorHAnsi"/>
        </w:rPr>
        <w:t xml:space="preserve"> on</w:t>
      </w:r>
      <w:r w:rsidR="008B413A">
        <w:rPr>
          <w:rFonts w:asciiTheme="minorHAnsi" w:hAnsiTheme="minorHAnsi" w:cstheme="minorHAnsi"/>
        </w:rPr>
        <w:t xml:space="preserve"> even-age harvest levels </w:t>
      </w:r>
      <w:r w:rsidR="0043248A">
        <w:rPr>
          <w:rFonts w:asciiTheme="minorHAnsi" w:hAnsiTheme="minorHAnsi" w:cstheme="minorHAnsi"/>
        </w:rPr>
        <w:t>possible in</w:t>
      </w:r>
      <w:r w:rsidR="008B413A">
        <w:rPr>
          <w:rFonts w:asciiTheme="minorHAnsi" w:hAnsiTheme="minorHAnsi" w:cstheme="minorHAnsi"/>
        </w:rPr>
        <w:t xml:space="preserve"> eastern </w:t>
      </w:r>
      <w:r w:rsidR="00D177C1">
        <w:rPr>
          <w:rFonts w:asciiTheme="minorHAnsi" w:hAnsiTheme="minorHAnsi" w:cstheme="minorHAnsi"/>
        </w:rPr>
        <w:t xml:space="preserve">hardwood </w:t>
      </w:r>
      <w:r w:rsidR="007D353B">
        <w:rPr>
          <w:rFonts w:asciiTheme="minorHAnsi" w:hAnsiTheme="minorHAnsi" w:cstheme="minorHAnsi"/>
        </w:rPr>
        <w:t xml:space="preserve">IFM </w:t>
      </w:r>
      <w:r w:rsidR="0043248A">
        <w:rPr>
          <w:rFonts w:asciiTheme="minorHAnsi" w:hAnsiTheme="minorHAnsi" w:cstheme="minorHAnsi"/>
        </w:rPr>
        <w:t>projects</w:t>
      </w:r>
      <w:r w:rsidR="008B413A">
        <w:rPr>
          <w:rFonts w:asciiTheme="minorHAnsi" w:hAnsiTheme="minorHAnsi" w:cstheme="minorHAnsi"/>
        </w:rPr>
        <w:t xml:space="preserve">, as </w:t>
      </w:r>
      <w:r w:rsidR="00102546">
        <w:rPr>
          <w:rFonts w:asciiTheme="minorHAnsi" w:hAnsiTheme="minorHAnsi" w:cstheme="minorHAnsi"/>
        </w:rPr>
        <w:t>barely complying with</w:t>
      </w:r>
      <w:r w:rsidR="008B413A">
        <w:rPr>
          <w:rFonts w:asciiTheme="minorHAnsi" w:hAnsiTheme="minorHAnsi" w:cstheme="minorHAnsi"/>
        </w:rPr>
        <w:t xml:space="preserve"> them </w:t>
      </w:r>
      <w:r w:rsidR="00102546">
        <w:rPr>
          <w:rFonts w:asciiTheme="minorHAnsi" w:hAnsiTheme="minorHAnsi" w:cstheme="minorHAnsi"/>
        </w:rPr>
        <w:t xml:space="preserve">in </w:t>
      </w:r>
      <w:r w:rsidR="00D177C1">
        <w:rPr>
          <w:rFonts w:asciiTheme="minorHAnsi" w:hAnsiTheme="minorHAnsi" w:cstheme="minorHAnsi"/>
        </w:rPr>
        <w:t>the first half</w:t>
      </w:r>
      <w:r w:rsidR="00102546">
        <w:rPr>
          <w:rFonts w:asciiTheme="minorHAnsi" w:hAnsiTheme="minorHAnsi" w:cstheme="minorHAnsi"/>
        </w:rPr>
        <w:t xml:space="preserve"> of the simulation (in the interest of upland oak sustainability</w:t>
      </w:r>
      <w:r w:rsidR="006550A4">
        <w:rPr>
          <w:rFonts w:asciiTheme="minorHAnsi" w:hAnsiTheme="minorHAnsi" w:cstheme="minorHAnsi"/>
        </w:rPr>
        <w:t xml:space="preserve"> and econom</w:t>
      </w:r>
      <w:r w:rsidR="003B70D2">
        <w:rPr>
          <w:rFonts w:asciiTheme="minorHAnsi" w:hAnsiTheme="minorHAnsi" w:cstheme="minorHAnsi"/>
        </w:rPr>
        <w:t>ies</w:t>
      </w:r>
      <w:r w:rsidR="006550A4">
        <w:rPr>
          <w:rFonts w:asciiTheme="minorHAnsi" w:hAnsiTheme="minorHAnsi" w:cstheme="minorHAnsi"/>
        </w:rPr>
        <w:t xml:space="preserve"> of scale</w:t>
      </w:r>
      <w:r w:rsidR="00102546">
        <w:rPr>
          <w:rFonts w:asciiTheme="minorHAnsi" w:hAnsiTheme="minorHAnsi" w:cstheme="minorHAnsi"/>
        </w:rPr>
        <w:t xml:space="preserve">) </w:t>
      </w:r>
      <w:r w:rsidR="008B413A">
        <w:rPr>
          <w:rFonts w:asciiTheme="minorHAnsi" w:hAnsiTheme="minorHAnsi" w:cstheme="minorHAnsi"/>
        </w:rPr>
        <w:t>produced more liabilities than credits.</w:t>
      </w:r>
      <w:r w:rsidR="00A33785">
        <w:rPr>
          <w:rFonts w:asciiTheme="minorHAnsi" w:hAnsiTheme="minorHAnsi" w:cstheme="minorHAnsi"/>
        </w:rPr>
        <w:t xml:space="preserve">  Given </w:t>
      </w:r>
      <w:r w:rsidR="00142853">
        <w:rPr>
          <w:rFonts w:asciiTheme="minorHAnsi" w:hAnsiTheme="minorHAnsi" w:cstheme="minorHAnsi"/>
        </w:rPr>
        <w:t xml:space="preserve">that project viability </w:t>
      </w:r>
      <w:r w:rsidR="007C57AB">
        <w:rPr>
          <w:rFonts w:asciiTheme="minorHAnsi" w:hAnsiTheme="minorHAnsi" w:cstheme="minorHAnsi"/>
        </w:rPr>
        <w:t>necessitates</w:t>
      </w:r>
      <w:r w:rsidR="00142853">
        <w:rPr>
          <w:rFonts w:asciiTheme="minorHAnsi" w:hAnsiTheme="minorHAnsi" w:cstheme="minorHAnsi"/>
        </w:rPr>
        <w:t xml:space="preserve"> low harvest levels</w:t>
      </w:r>
      <w:r w:rsidR="007C57AB">
        <w:rPr>
          <w:rFonts w:asciiTheme="minorHAnsi" w:hAnsiTheme="minorHAnsi" w:cstheme="minorHAnsi"/>
        </w:rPr>
        <w:t xml:space="preserve"> to begin with</w:t>
      </w:r>
      <w:r w:rsidR="00142853">
        <w:rPr>
          <w:rFonts w:asciiTheme="minorHAnsi" w:hAnsiTheme="minorHAnsi" w:cstheme="minorHAnsi"/>
        </w:rPr>
        <w:t xml:space="preserve">, </w:t>
      </w:r>
      <w:r w:rsidR="00A33785">
        <w:rPr>
          <w:rFonts w:asciiTheme="minorHAnsi" w:hAnsiTheme="minorHAnsi" w:cstheme="minorHAnsi"/>
        </w:rPr>
        <w:t xml:space="preserve">sustainable forestry certification </w:t>
      </w:r>
      <w:r w:rsidR="007C57AB">
        <w:rPr>
          <w:rFonts w:asciiTheme="minorHAnsi" w:hAnsiTheme="minorHAnsi" w:cstheme="minorHAnsi"/>
        </w:rPr>
        <w:t xml:space="preserve">will not be needed </w:t>
      </w:r>
      <w:r w:rsidR="00A33785">
        <w:rPr>
          <w:rFonts w:asciiTheme="minorHAnsi" w:hAnsiTheme="minorHAnsi" w:cstheme="minorHAnsi"/>
        </w:rPr>
        <w:t>to ensure sustainable harvesting levels</w:t>
      </w:r>
      <w:r w:rsidR="00D203B9">
        <w:rPr>
          <w:rFonts w:asciiTheme="minorHAnsi" w:hAnsiTheme="minorHAnsi" w:cstheme="minorHAnsi"/>
        </w:rPr>
        <w:t xml:space="preserve"> and may </w:t>
      </w:r>
      <w:r w:rsidR="00356DCF">
        <w:rPr>
          <w:rFonts w:asciiTheme="minorHAnsi" w:hAnsiTheme="minorHAnsi" w:cstheme="minorHAnsi"/>
        </w:rPr>
        <w:t xml:space="preserve">otherwise </w:t>
      </w:r>
      <w:r w:rsidR="00D203B9">
        <w:rPr>
          <w:rFonts w:asciiTheme="minorHAnsi" w:hAnsiTheme="minorHAnsi" w:cstheme="minorHAnsi"/>
        </w:rPr>
        <w:t xml:space="preserve">offer </w:t>
      </w:r>
      <w:r w:rsidR="00356DCF">
        <w:rPr>
          <w:rFonts w:asciiTheme="minorHAnsi" w:hAnsiTheme="minorHAnsi" w:cstheme="minorHAnsi"/>
        </w:rPr>
        <w:t>little value relative to its cost</w:t>
      </w:r>
      <w:r w:rsidR="004E10C8">
        <w:rPr>
          <w:rFonts w:asciiTheme="minorHAnsi" w:hAnsiTheme="minorHAnsi" w:cstheme="minorHAnsi"/>
        </w:rPr>
        <w:t xml:space="preserve">. </w:t>
      </w:r>
    </w:p>
    <w:p w:rsidR="005C7FAE" w:rsidRDefault="0045198B" w:rsidP="005C7FAE">
      <w:pPr>
        <w:tabs>
          <w:tab w:val="left" w:pos="720"/>
        </w:tabs>
        <w:spacing w:line="480" w:lineRule="auto"/>
        <w:rPr>
          <w:rFonts w:cs="Calibri"/>
        </w:rPr>
      </w:pPr>
      <w:r>
        <w:rPr>
          <w:rFonts w:asciiTheme="minorHAnsi" w:hAnsiTheme="minorHAnsi" w:cstheme="minorHAnsi"/>
        </w:rPr>
        <w:tab/>
      </w:r>
      <w:r w:rsidR="00102546">
        <w:rPr>
          <w:rFonts w:asciiTheme="minorHAnsi" w:hAnsiTheme="minorHAnsi" w:cstheme="minorHAnsi"/>
        </w:rPr>
        <w:t>Furthermore, t</w:t>
      </w:r>
      <w:r w:rsidR="00E209E9">
        <w:rPr>
          <w:noProof/>
        </w:rPr>
        <w:t xml:space="preserve">he requirement that any decrease in carbon stocks be compensated for </w:t>
      </w:r>
      <w:r w:rsidR="00310EE8">
        <w:rPr>
          <w:noProof/>
        </w:rPr>
        <w:t xml:space="preserve">in its entirety </w:t>
      </w:r>
      <w:r w:rsidR="00B64833">
        <w:rPr>
          <w:noProof/>
        </w:rPr>
        <w:t>(i.e. not</w:t>
      </w:r>
      <w:r w:rsidR="00E209E9">
        <w:rPr>
          <w:noProof/>
        </w:rPr>
        <w:t xml:space="preserve"> </w:t>
      </w:r>
      <w:r w:rsidR="004D11FA">
        <w:rPr>
          <w:noProof/>
        </w:rPr>
        <w:t xml:space="preserve">limited </w:t>
      </w:r>
      <w:r w:rsidR="00B64833">
        <w:rPr>
          <w:noProof/>
        </w:rPr>
        <w:t>to</w:t>
      </w:r>
      <w:r w:rsidR="00E209E9">
        <w:rPr>
          <w:noProof/>
        </w:rPr>
        <w:t xml:space="preserve"> the </w:t>
      </w:r>
      <w:r w:rsidR="00310EE8">
        <w:rPr>
          <w:noProof/>
        </w:rPr>
        <w:t xml:space="preserve">number of </w:t>
      </w:r>
      <w:r w:rsidR="00E209E9">
        <w:rPr>
          <w:noProof/>
        </w:rPr>
        <w:t>CRTs issued prior to the stock reversal</w:t>
      </w:r>
      <w:r w:rsidR="00B64833">
        <w:rPr>
          <w:noProof/>
        </w:rPr>
        <w:t>)</w:t>
      </w:r>
      <w:r w:rsidR="00E209E9">
        <w:rPr>
          <w:noProof/>
        </w:rPr>
        <w:t xml:space="preserve"> </w:t>
      </w:r>
      <w:r w:rsidR="004E6989">
        <w:rPr>
          <w:noProof/>
        </w:rPr>
        <w:t>was found to effectively discourage</w:t>
      </w:r>
      <w:r w:rsidR="00E209E9">
        <w:rPr>
          <w:noProof/>
        </w:rPr>
        <w:t xml:space="preserve"> active management</w:t>
      </w:r>
      <w:r w:rsidR="004E6989">
        <w:rPr>
          <w:noProof/>
        </w:rPr>
        <w:t xml:space="preserve"> and in turn CAR participation by reversing the relationship between project value and carbon price</w:t>
      </w:r>
      <w:r w:rsidR="007D353B" w:rsidRPr="007D353B">
        <w:rPr>
          <w:noProof/>
        </w:rPr>
        <w:t xml:space="preserve"> </w:t>
      </w:r>
      <w:r w:rsidR="007D353B">
        <w:rPr>
          <w:noProof/>
        </w:rPr>
        <w:t>in this case</w:t>
      </w:r>
      <w:r w:rsidR="00E209E9">
        <w:rPr>
          <w:noProof/>
        </w:rPr>
        <w:t>.  This had the most devastating effect on project economics of all elements of the existing protocol that were evaluated</w:t>
      </w:r>
      <w:r w:rsidR="00CC75C1" w:rsidRPr="00174CCD">
        <w:rPr>
          <w:noProof/>
        </w:rPr>
        <w:t>.</w:t>
      </w:r>
      <w:r w:rsidR="00685506">
        <w:rPr>
          <w:noProof/>
        </w:rPr>
        <w:t xml:space="preserve">  </w:t>
      </w:r>
      <w:r w:rsidR="00106A48">
        <w:rPr>
          <w:noProof/>
        </w:rPr>
        <w:t xml:space="preserve">Even after ignoring this additional liability, no </w:t>
      </w:r>
      <w:r w:rsidR="00106A48" w:rsidRPr="00864FEA">
        <w:rPr>
          <w:noProof/>
        </w:rPr>
        <w:t xml:space="preserve">minor adjustment to the </w:t>
      </w:r>
      <w:r w:rsidR="00864FEA" w:rsidRPr="00864FEA">
        <w:rPr>
          <w:noProof/>
        </w:rPr>
        <w:t>protocol</w:t>
      </w:r>
      <w:r w:rsidR="00864FEA">
        <w:rPr>
          <w:b/>
          <w:noProof/>
        </w:rPr>
        <w:t xml:space="preserve"> </w:t>
      </w:r>
      <w:r w:rsidR="00106A48">
        <w:rPr>
          <w:noProof/>
        </w:rPr>
        <w:t>added economic value to the timber-only project scenario at realistic starting carbon prices and costs.</w:t>
      </w:r>
      <w:r w:rsidR="006032D9">
        <w:rPr>
          <w:noProof/>
        </w:rPr>
        <w:t xml:space="preserve">  </w:t>
      </w:r>
      <w:r w:rsidR="00106A48" w:rsidRPr="009D7F31">
        <w:t xml:space="preserve">Only under the assumption that all implementation costs were </w:t>
      </w:r>
      <w:r w:rsidR="0058285D">
        <w:t>covered</w:t>
      </w:r>
      <w:r w:rsidR="006032D9">
        <w:t xml:space="preserve"> by the</w:t>
      </w:r>
      <w:r w:rsidR="00106A48" w:rsidRPr="009D7F31">
        <w:t xml:space="preserve"> aggregator in exchange for a 12 percent </w:t>
      </w:r>
      <w:r w:rsidR="00106A48" w:rsidRPr="009D7F31">
        <w:lastRenderedPageBreak/>
        <w:t>commission on CRT sales</w:t>
      </w:r>
      <w:r w:rsidR="00B64833">
        <w:t>, a very unlikely</w:t>
      </w:r>
      <w:r w:rsidR="00106A48" w:rsidRPr="009D7F31">
        <w:t xml:space="preserve"> </w:t>
      </w:r>
      <w:r w:rsidR="00B64833">
        <w:t xml:space="preserve">possibility, </w:t>
      </w:r>
      <w:r w:rsidR="00106A48" w:rsidRPr="009D7F31">
        <w:t xml:space="preserve">did the adjustment </w:t>
      </w:r>
      <w:r w:rsidR="00106A48">
        <w:t xml:space="preserve">to reversal compensation </w:t>
      </w:r>
      <w:r w:rsidR="00106A48" w:rsidRPr="009D7F31">
        <w:t>create the conditions for financial feasibility in comparison to the timber-only case.</w:t>
      </w:r>
      <w:r w:rsidR="00106A48" w:rsidRPr="0050343F">
        <w:rPr>
          <w:rFonts w:cs="Calibri"/>
        </w:rPr>
        <w:t xml:space="preserve"> </w:t>
      </w:r>
      <w:r w:rsidR="00106A48">
        <w:rPr>
          <w:rFonts w:cs="Calibri"/>
        </w:rPr>
        <w:t xml:space="preserve"> </w:t>
      </w:r>
      <w:r w:rsidR="004E6989">
        <w:rPr>
          <w:rFonts w:cs="Calibri"/>
        </w:rPr>
        <w:t>Ap</w:t>
      </w:r>
      <w:r w:rsidR="00BC3F2A">
        <w:rPr>
          <w:rFonts w:cs="Calibri"/>
        </w:rPr>
        <w:t>art from reversal compensation, an</w:t>
      </w:r>
      <w:r w:rsidR="004E6989">
        <w:rPr>
          <w:rFonts w:cs="Calibri"/>
        </w:rPr>
        <w:t xml:space="preserve"> exception</w:t>
      </w:r>
      <w:r w:rsidR="00BC3F2A">
        <w:rPr>
          <w:rFonts w:cs="Calibri"/>
        </w:rPr>
        <w:t xml:space="preserve"> to</w:t>
      </w:r>
      <w:r w:rsidR="004E6989">
        <w:rPr>
          <w:rFonts w:cs="Calibri"/>
        </w:rPr>
        <w:t xml:space="preserve"> the verification </w:t>
      </w:r>
      <w:r w:rsidR="00BC3F2A">
        <w:rPr>
          <w:rFonts w:cs="Calibri"/>
        </w:rPr>
        <w:t>protocol</w:t>
      </w:r>
      <w:r w:rsidR="004E6989">
        <w:rPr>
          <w:rFonts w:cs="Calibri"/>
        </w:rPr>
        <w:t xml:space="preserve"> also </w:t>
      </w:r>
      <w:r w:rsidR="0043248A">
        <w:rPr>
          <w:rFonts w:cs="Calibri"/>
        </w:rPr>
        <w:t>seems</w:t>
      </w:r>
      <w:r w:rsidR="004E6989">
        <w:rPr>
          <w:rFonts w:cs="Calibri"/>
        </w:rPr>
        <w:t xml:space="preserve"> warranted </w:t>
      </w:r>
      <w:r w:rsidR="00BC3F2A">
        <w:rPr>
          <w:rFonts w:cs="Calibri"/>
        </w:rPr>
        <w:t>for smaller projects with regard to reversals</w:t>
      </w:r>
      <w:r w:rsidR="00A43B54">
        <w:rPr>
          <w:rFonts w:cs="Calibri"/>
        </w:rPr>
        <w:t>,</w:t>
      </w:r>
      <w:r w:rsidR="00BC3F2A">
        <w:rPr>
          <w:rFonts w:cs="Calibri"/>
        </w:rPr>
        <w:t xml:space="preserve"> </w:t>
      </w:r>
      <w:r w:rsidR="004E6989">
        <w:rPr>
          <w:rFonts w:cs="Calibri"/>
        </w:rPr>
        <w:t>since p</w:t>
      </w:r>
      <w:r w:rsidR="004E6989" w:rsidRPr="004E6989">
        <w:rPr>
          <w:rFonts w:cs="Calibri"/>
        </w:rPr>
        <w:t xml:space="preserve">lanned reversals </w:t>
      </w:r>
      <w:r w:rsidR="00A43B54">
        <w:rPr>
          <w:rFonts w:cs="Calibri"/>
        </w:rPr>
        <w:t xml:space="preserve">involving silviculturally appropriate treatments </w:t>
      </w:r>
      <w:r w:rsidR="004E6989" w:rsidRPr="004E6989">
        <w:rPr>
          <w:rFonts w:cs="Calibri"/>
        </w:rPr>
        <w:t>are already allowed for projects under 1,000ac</w:t>
      </w:r>
      <w:r w:rsidR="00BC3F2A">
        <w:rPr>
          <w:rFonts w:cs="Calibri"/>
        </w:rPr>
        <w:t xml:space="preserve">. </w:t>
      </w:r>
      <w:r w:rsidR="004E6989" w:rsidRPr="004E6989">
        <w:rPr>
          <w:rFonts w:cs="Calibri"/>
        </w:rPr>
        <w:t xml:space="preserve"> </w:t>
      </w:r>
      <w:r w:rsidR="00A43B54">
        <w:rPr>
          <w:rFonts w:cs="Calibri"/>
        </w:rPr>
        <w:t>In particular</w:t>
      </w:r>
      <w:r w:rsidR="00BC3F2A">
        <w:rPr>
          <w:rFonts w:cs="Calibri"/>
        </w:rPr>
        <w:t xml:space="preserve">, it </w:t>
      </w:r>
      <w:r w:rsidR="0043248A">
        <w:rPr>
          <w:rFonts w:cs="Calibri"/>
        </w:rPr>
        <w:t>looks as if</w:t>
      </w:r>
      <w:r w:rsidR="00BC3F2A">
        <w:rPr>
          <w:rFonts w:cs="Calibri"/>
        </w:rPr>
        <w:t xml:space="preserve"> appreciable savings could be achieved </w:t>
      </w:r>
      <w:r w:rsidR="00A43321">
        <w:rPr>
          <w:rFonts w:cs="Calibri"/>
        </w:rPr>
        <w:t xml:space="preserve">over a project’s lifetime </w:t>
      </w:r>
      <w:r w:rsidR="00BC3F2A">
        <w:rPr>
          <w:rFonts w:cs="Calibri"/>
        </w:rPr>
        <w:t>from permitting</w:t>
      </w:r>
      <w:r w:rsidR="004E6989" w:rsidRPr="004E6989">
        <w:rPr>
          <w:rFonts w:cs="Calibri"/>
        </w:rPr>
        <w:t xml:space="preserve"> desk-verifications </w:t>
      </w:r>
      <w:r w:rsidR="0043248A">
        <w:rPr>
          <w:rFonts w:cs="Calibri"/>
        </w:rPr>
        <w:t xml:space="preserve">in place of site-audits </w:t>
      </w:r>
      <w:r w:rsidR="004E6989" w:rsidRPr="004E6989">
        <w:rPr>
          <w:rFonts w:cs="Calibri"/>
        </w:rPr>
        <w:t xml:space="preserve">for </w:t>
      </w:r>
      <w:r w:rsidR="00BC3F2A">
        <w:rPr>
          <w:rFonts w:cs="Calibri"/>
        </w:rPr>
        <w:t>such anticipated reversals with the stipulation that</w:t>
      </w:r>
      <w:r w:rsidR="004E6989" w:rsidRPr="004E6989">
        <w:rPr>
          <w:rFonts w:cs="Calibri"/>
        </w:rPr>
        <w:t xml:space="preserve"> </w:t>
      </w:r>
      <w:r w:rsidR="00A43B54">
        <w:rPr>
          <w:rFonts w:cs="Calibri"/>
        </w:rPr>
        <w:t>a</w:t>
      </w:r>
      <w:r w:rsidR="004E6989" w:rsidRPr="004E6989">
        <w:rPr>
          <w:rFonts w:cs="Calibri"/>
        </w:rPr>
        <w:t xml:space="preserve"> site-verification </w:t>
      </w:r>
      <w:r w:rsidR="00BC3F2A">
        <w:rPr>
          <w:rFonts w:cs="Calibri"/>
        </w:rPr>
        <w:t>occur</w:t>
      </w:r>
      <w:r w:rsidR="004E6989" w:rsidRPr="004E6989">
        <w:rPr>
          <w:rFonts w:cs="Calibri"/>
        </w:rPr>
        <w:t xml:space="preserve"> </w:t>
      </w:r>
      <w:r w:rsidR="00A43B54">
        <w:rPr>
          <w:rFonts w:cs="Calibri"/>
        </w:rPr>
        <w:t>in the next scheduled verification year</w:t>
      </w:r>
      <w:r w:rsidR="004E6989" w:rsidRPr="004E6989">
        <w:rPr>
          <w:rFonts w:cs="Calibri"/>
        </w:rPr>
        <w:t>.</w:t>
      </w:r>
      <w:r w:rsidR="004E6989">
        <w:rPr>
          <w:rFonts w:cs="Calibri"/>
        </w:rPr>
        <w:t xml:space="preserve">  </w:t>
      </w:r>
      <w:r w:rsidR="00106A48">
        <w:rPr>
          <w:rFonts w:cs="Calibri"/>
        </w:rPr>
        <w:t>D</w:t>
      </w:r>
      <w:r w:rsidR="00106A48">
        <w:rPr>
          <w:rFonts w:asciiTheme="minorHAnsi" w:hAnsiTheme="minorHAnsi" w:cstheme="minorHAnsi"/>
        </w:rPr>
        <w:t>iscouraging</w:t>
      </w:r>
      <w:r w:rsidR="00106A48" w:rsidRPr="00AE112D">
        <w:rPr>
          <w:rFonts w:asciiTheme="minorHAnsi" w:hAnsiTheme="minorHAnsi" w:cstheme="minorHAnsi"/>
        </w:rPr>
        <w:t xml:space="preserve"> active management</w:t>
      </w:r>
      <w:r w:rsidR="006032D9">
        <w:rPr>
          <w:rFonts w:asciiTheme="minorHAnsi" w:hAnsiTheme="minorHAnsi" w:cstheme="minorHAnsi"/>
        </w:rPr>
        <w:t xml:space="preserve"> </w:t>
      </w:r>
      <w:r w:rsidR="00106A48" w:rsidRPr="00AE112D">
        <w:rPr>
          <w:rFonts w:asciiTheme="minorHAnsi" w:hAnsiTheme="minorHAnsi" w:cstheme="minorHAnsi"/>
        </w:rPr>
        <w:t>make</w:t>
      </w:r>
      <w:r w:rsidR="00106A48">
        <w:rPr>
          <w:rFonts w:asciiTheme="minorHAnsi" w:hAnsiTheme="minorHAnsi" w:cstheme="minorHAnsi"/>
        </w:rPr>
        <w:t>s</w:t>
      </w:r>
      <w:r w:rsidR="00106A48" w:rsidRPr="00AE112D">
        <w:rPr>
          <w:rFonts w:asciiTheme="minorHAnsi" w:hAnsiTheme="minorHAnsi" w:cstheme="minorHAnsi"/>
        </w:rPr>
        <w:t xml:space="preserve"> even less sense in light of recent revelations that increases in harvest intensity (exclusive of clearcutting) lessen carbon accrual rates </w:t>
      </w:r>
      <w:r w:rsidR="00106A48" w:rsidRPr="00AE112D">
        <w:rPr>
          <w:rFonts w:asciiTheme="minorHAnsi" w:hAnsiTheme="minorHAnsi" w:cstheme="minorHAnsi"/>
        </w:rPr>
        <w:fldChar w:fldCharType="begin"/>
      </w:r>
      <w:r w:rsidR="00106A48">
        <w:rPr>
          <w:rFonts w:asciiTheme="minorHAnsi" w:hAnsiTheme="minorHAnsi" w:cstheme="minorHAnsi"/>
        </w:rPr>
        <w:instrText xml:space="preserve"> ADDIN EN.CITE &lt;EndNote&gt;&lt;Cite&gt;&lt;Author&gt;Nunery&lt;/Author&gt;&lt;Year&gt;2010&lt;/Year&gt;&lt;RecNum&gt;271&lt;/RecNum&gt;&lt;DisplayText&gt;(Nunery and Keeton 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rsidR="00106A48" w:rsidRPr="00AE112D">
        <w:rPr>
          <w:rFonts w:asciiTheme="minorHAnsi" w:hAnsiTheme="minorHAnsi" w:cstheme="minorHAnsi"/>
        </w:rPr>
        <w:fldChar w:fldCharType="separate"/>
      </w:r>
      <w:r w:rsidR="00106A48">
        <w:rPr>
          <w:rFonts w:asciiTheme="minorHAnsi" w:hAnsiTheme="minorHAnsi" w:cstheme="minorHAnsi"/>
          <w:noProof/>
        </w:rPr>
        <w:t>(</w:t>
      </w:r>
      <w:hyperlink w:anchor="_ENREF_107" w:tooltip="Nunery, 2010 #271" w:history="1">
        <w:r w:rsidR="001E4C88">
          <w:rPr>
            <w:rFonts w:asciiTheme="minorHAnsi" w:hAnsiTheme="minorHAnsi" w:cstheme="minorHAnsi"/>
            <w:noProof/>
          </w:rPr>
          <w:t>Nunery and Keeton 2010</w:t>
        </w:r>
      </w:hyperlink>
      <w:r w:rsidR="00106A48">
        <w:rPr>
          <w:rFonts w:asciiTheme="minorHAnsi" w:hAnsiTheme="minorHAnsi" w:cstheme="minorHAnsi"/>
          <w:noProof/>
        </w:rPr>
        <w:t>)</w:t>
      </w:r>
      <w:r w:rsidR="00106A48" w:rsidRPr="00AE112D">
        <w:rPr>
          <w:rFonts w:asciiTheme="minorHAnsi" w:hAnsiTheme="minorHAnsi" w:cstheme="minorHAnsi"/>
        </w:rPr>
        <w:fldChar w:fldCharType="end"/>
      </w:r>
      <w:r w:rsidR="00106A48" w:rsidRPr="00AE112D">
        <w:rPr>
          <w:rFonts w:asciiTheme="minorHAnsi" w:hAnsiTheme="minorHAnsi" w:cstheme="minorHAnsi"/>
        </w:rPr>
        <w:t>.  Although clearcutting was found to have the highest rate of carbon sequestration, clearcutting is not likely to be com</w:t>
      </w:r>
      <w:r w:rsidR="00106A48">
        <w:rPr>
          <w:rFonts w:asciiTheme="minorHAnsi" w:hAnsiTheme="minorHAnsi" w:cstheme="minorHAnsi"/>
        </w:rPr>
        <w:t xml:space="preserve">monly employed in IFM projects because </w:t>
      </w:r>
      <w:r w:rsidR="00106A48" w:rsidRPr="00AE112D">
        <w:rPr>
          <w:rFonts w:asciiTheme="minorHAnsi" w:hAnsiTheme="minorHAnsi" w:cstheme="minorHAnsi"/>
        </w:rPr>
        <w:t>it leaves</w:t>
      </w:r>
      <w:r w:rsidR="004E10C8">
        <w:rPr>
          <w:rFonts w:asciiTheme="minorHAnsi" w:hAnsiTheme="minorHAnsi" w:cstheme="minorHAnsi"/>
        </w:rPr>
        <w:t xml:space="preserve"> no reserve trees to buffer the </w:t>
      </w:r>
      <w:r w:rsidR="00106A48" w:rsidRPr="00AE112D">
        <w:rPr>
          <w:rFonts w:asciiTheme="minorHAnsi" w:hAnsiTheme="minorHAnsi" w:cstheme="minorHAnsi"/>
        </w:rPr>
        <w:t xml:space="preserve">drop in carbon stocks.  </w:t>
      </w:r>
      <w:r w:rsidR="004E10C8">
        <w:rPr>
          <w:rFonts w:asciiTheme="minorHAnsi" w:hAnsiTheme="minorHAnsi" w:cstheme="minorHAnsi"/>
        </w:rPr>
        <w:t>Thus</w:t>
      </w:r>
      <w:r w:rsidR="00106A48" w:rsidRPr="00AE112D">
        <w:rPr>
          <w:rFonts w:asciiTheme="minorHAnsi" w:hAnsiTheme="minorHAnsi" w:cstheme="minorHAnsi"/>
        </w:rPr>
        <w:t>, the enhancement of carbon accrual rates and total sequestration from reduced management intensity provides enough of an incentive on</w:t>
      </w:r>
      <w:r w:rsidR="00106A48">
        <w:rPr>
          <w:rFonts w:asciiTheme="minorHAnsi" w:hAnsiTheme="minorHAnsi" w:cstheme="minorHAnsi"/>
        </w:rPr>
        <w:t xml:space="preserve"> its</w:t>
      </w:r>
      <w:r w:rsidR="00106A48" w:rsidRPr="00AE112D">
        <w:rPr>
          <w:rFonts w:asciiTheme="minorHAnsi" w:hAnsiTheme="minorHAnsi" w:cstheme="minorHAnsi"/>
        </w:rPr>
        <w:t xml:space="preserve"> own for adoption of less intensive management</w:t>
      </w:r>
      <w:r w:rsidR="00106A48">
        <w:rPr>
          <w:rFonts w:asciiTheme="minorHAnsi" w:hAnsiTheme="minorHAnsi" w:cstheme="minorHAnsi"/>
        </w:rPr>
        <w:t xml:space="preserve"> in IFM projects</w:t>
      </w:r>
      <w:r w:rsidR="00106A48" w:rsidRPr="00AE112D">
        <w:rPr>
          <w:rFonts w:asciiTheme="minorHAnsi" w:hAnsiTheme="minorHAnsi" w:cstheme="minorHAnsi"/>
        </w:rPr>
        <w:t>.</w:t>
      </w:r>
      <w:r w:rsidR="00864FEA">
        <w:rPr>
          <w:rFonts w:asciiTheme="minorHAnsi" w:hAnsiTheme="minorHAnsi" w:cstheme="minorHAnsi"/>
        </w:rPr>
        <w:t xml:space="preserve">  </w:t>
      </w:r>
    </w:p>
    <w:p w:rsidR="009D0F83" w:rsidRPr="002B58DD" w:rsidRDefault="009D0F83" w:rsidP="009D0F83">
      <w:pPr>
        <w:keepNext/>
        <w:numPr>
          <w:ilvl w:val="1"/>
          <w:numId w:val="21"/>
        </w:numPr>
        <w:autoSpaceDE w:val="0"/>
        <w:autoSpaceDN w:val="0"/>
        <w:adjustRightInd w:val="0"/>
        <w:spacing w:line="480" w:lineRule="auto"/>
        <w:rPr>
          <w:b/>
          <w:i/>
          <w:noProof/>
        </w:rPr>
      </w:pPr>
      <w:r>
        <w:rPr>
          <w:b/>
          <w:i/>
          <w:noProof/>
        </w:rPr>
        <w:t>Additionality Considerations</w:t>
      </w:r>
    </w:p>
    <w:p w:rsidR="00FA4C44" w:rsidRDefault="008C1D5A" w:rsidP="00EC1958">
      <w:pPr>
        <w:autoSpaceDE w:val="0"/>
        <w:autoSpaceDN w:val="0"/>
        <w:adjustRightInd w:val="0"/>
        <w:spacing w:after="0" w:line="480" w:lineRule="auto"/>
        <w:ind w:firstLine="720"/>
      </w:pPr>
      <w:r w:rsidRPr="008F7956">
        <w:t xml:space="preserve">Every market invariably attracts actors that will try to game the system.  When this occurs in carbon </w:t>
      </w:r>
      <w:r w:rsidR="001749D2">
        <w:t xml:space="preserve">offset markets, </w:t>
      </w:r>
      <w:r w:rsidR="00E06A3C">
        <w:t>“</w:t>
      </w:r>
      <w:r w:rsidR="001749D2">
        <w:t>non-additional</w:t>
      </w:r>
      <w:r w:rsidR="00E06A3C">
        <w:t>”</w:t>
      </w:r>
      <w:r w:rsidRPr="008F7956">
        <w:t xml:space="preserve"> offsets may enter the system, as opposed to additional offsets resulting from actions that would not have occurred without the anticipation of added value from carbon </w:t>
      </w:r>
      <w:r w:rsidR="001749D2">
        <w:t>revenues</w:t>
      </w:r>
      <w:r w:rsidRPr="008F7956">
        <w:t xml:space="preserve">.  When </w:t>
      </w:r>
      <w:r w:rsidR="00E06A3C">
        <w:t>“</w:t>
      </w:r>
      <w:r w:rsidRPr="008F7956">
        <w:t>non-additional</w:t>
      </w:r>
      <w:r w:rsidR="00E06A3C">
        <w:t>”</w:t>
      </w:r>
      <w:r w:rsidRPr="008F7956">
        <w:t xml:space="preserve"> </w:t>
      </w:r>
      <w:r w:rsidR="00C52056">
        <w:t>offsets</w:t>
      </w:r>
      <w:r w:rsidRPr="008F7956">
        <w:t xml:space="preserve"> are credited, the real emissions from the buyers of </w:t>
      </w:r>
      <w:r w:rsidR="008F7956" w:rsidRPr="008F7956">
        <w:t xml:space="preserve">those offsets then exceed </w:t>
      </w:r>
      <w:r w:rsidRPr="008F7956">
        <w:t>emission goals or quotas, w</w:t>
      </w:r>
      <w:r w:rsidR="00B64833">
        <w:t xml:space="preserve">hich cumulatively amplifies </w:t>
      </w:r>
      <w:r w:rsidRPr="008F7956">
        <w:t>climate change beyond what would have otherwise resulted.</w:t>
      </w:r>
      <w:r w:rsidR="008F7956" w:rsidRPr="008F7956">
        <w:t xml:space="preserve"> </w:t>
      </w:r>
      <w:r w:rsidRPr="008F7956">
        <w:t xml:space="preserve"> </w:t>
      </w:r>
      <w:r w:rsidR="00D957AE">
        <w:t xml:space="preserve">These </w:t>
      </w:r>
      <w:r w:rsidR="00B64833">
        <w:t>pseudo-</w:t>
      </w:r>
      <w:r w:rsidR="008F7956" w:rsidRPr="008F7956">
        <w:t>mitigation projects</w:t>
      </w:r>
      <w:r w:rsidRPr="008F7956">
        <w:t xml:space="preserve"> in turn </w:t>
      </w:r>
      <w:r w:rsidR="00D957AE">
        <w:t xml:space="preserve">actually </w:t>
      </w:r>
      <w:r w:rsidRPr="008F7956">
        <w:t xml:space="preserve">mitigate the GHG reduction </w:t>
      </w:r>
      <w:r w:rsidR="00A31904">
        <w:t>program</w:t>
      </w:r>
      <w:r w:rsidR="00F87208">
        <w:t xml:space="preserve"> that enables them.</w:t>
      </w:r>
    </w:p>
    <w:p w:rsidR="009D0F83" w:rsidRDefault="00EA6A6B" w:rsidP="00EC1958">
      <w:pPr>
        <w:autoSpaceDE w:val="0"/>
        <w:autoSpaceDN w:val="0"/>
        <w:adjustRightInd w:val="0"/>
        <w:spacing w:after="0" w:line="480" w:lineRule="auto"/>
        <w:ind w:firstLine="720"/>
        <w:rPr>
          <w:rFonts w:asciiTheme="minorHAnsi" w:hAnsiTheme="minorHAnsi" w:cstheme="minorHAnsi"/>
        </w:rPr>
      </w:pPr>
      <w:r w:rsidRPr="008F7956">
        <w:rPr>
          <w:rFonts w:asciiTheme="minorHAnsi" w:hAnsiTheme="minorHAnsi" w:cstheme="minorHAnsi"/>
        </w:rPr>
        <w:t xml:space="preserve">Additionality </w:t>
      </w:r>
      <w:r w:rsidRPr="00951EC7">
        <w:rPr>
          <w:rFonts w:asciiTheme="minorHAnsi" w:hAnsiTheme="minorHAnsi" w:cstheme="minorHAnsi"/>
        </w:rPr>
        <w:t>testing is a critical component of a carbon offset system</w:t>
      </w:r>
      <w:r>
        <w:rPr>
          <w:rFonts w:asciiTheme="minorHAnsi" w:hAnsiTheme="minorHAnsi" w:cstheme="minorHAnsi"/>
        </w:rPr>
        <w:t xml:space="preserve"> because</w:t>
      </w:r>
      <w:r w:rsidRPr="00951EC7">
        <w:rPr>
          <w:rFonts w:asciiTheme="minorHAnsi" w:hAnsiTheme="minorHAnsi" w:cstheme="minorHAnsi"/>
        </w:rPr>
        <w:t xml:space="preserve"> the chosen standard controls the larger mitigation system’s level of environmental integrity.  </w:t>
      </w:r>
      <w:r w:rsidR="00FA4C44">
        <w:rPr>
          <w:rFonts w:asciiTheme="minorHAnsi" w:hAnsiTheme="minorHAnsi" w:cstheme="minorHAnsi"/>
        </w:rPr>
        <w:t>S</w:t>
      </w:r>
      <w:r w:rsidRPr="00951EC7">
        <w:rPr>
          <w:rFonts w:asciiTheme="minorHAnsi" w:hAnsiTheme="minorHAnsi" w:cstheme="minorHAnsi"/>
        </w:rPr>
        <w:t>ince additionality standard</w:t>
      </w:r>
      <w:r w:rsidR="00F87208">
        <w:rPr>
          <w:rFonts w:asciiTheme="minorHAnsi" w:hAnsiTheme="minorHAnsi" w:cstheme="minorHAnsi"/>
        </w:rPr>
        <w:t xml:space="preserve">s are the gatekeepers of </w:t>
      </w:r>
      <w:r w:rsidRPr="00951EC7">
        <w:rPr>
          <w:rFonts w:asciiTheme="minorHAnsi" w:hAnsiTheme="minorHAnsi" w:cstheme="minorHAnsi"/>
        </w:rPr>
        <w:t>mitigation</w:t>
      </w:r>
      <w:r w:rsidR="00F87208">
        <w:rPr>
          <w:rFonts w:asciiTheme="minorHAnsi" w:hAnsiTheme="minorHAnsi" w:cstheme="minorHAnsi"/>
        </w:rPr>
        <w:t xml:space="preserve"> project</w:t>
      </w:r>
      <w:r w:rsidRPr="00951EC7">
        <w:rPr>
          <w:rFonts w:asciiTheme="minorHAnsi" w:hAnsiTheme="minorHAnsi" w:cstheme="minorHAnsi"/>
        </w:rPr>
        <w:t xml:space="preserve"> credibility, they must strike a delicate, quantitatively derived balance between </w:t>
      </w:r>
      <w:r w:rsidRPr="00951EC7">
        <w:rPr>
          <w:rFonts w:asciiTheme="minorHAnsi" w:hAnsiTheme="minorHAnsi" w:cstheme="minorHAnsi"/>
        </w:rPr>
        <w:lastRenderedPageBreak/>
        <w:t>policy objectives of cost-effectiveness, environmental integrity and getting a market established sooner than later</w:t>
      </w:r>
      <w:r w:rsidR="00E06A3C">
        <w:rPr>
          <w:rFonts w:asciiTheme="minorHAnsi" w:hAnsiTheme="minorHAnsi" w:cstheme="minorHAnsi"/>
        </w:rPr>
        <w:t xml:space="preserve"> </w:t>
      </w:r>
      <w:r w:rsidR="00F87208">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&lt;EndNote&gt;&lt;Cite&gt;&lt;Author&gt;Trexler&lt;/Author&gt;&lt;Year&gt;2006&lt;/Year&gt;&lt;RecNum&gt;285&lt;/RecNum&gt;&lt;DisplayText&gt;(Trexler et al. 2006)&lt;/DisplayText&gt;&lt;record&gt;&lt;rec-number&gt;285&lt;/rec-number&gt;&lt;foreign-keys&gt;&lt;key app="EN" db-id="a90s5zadewrawxeer07v2f90xr5vxv022sat"&gt;285&lt;/key&gt;&lt;/foreign-keys&gt;&lt;ref-type name="Journal Article"&gt;17&lt;/ref-type&gt;&lt;contributors&gt;&lt;authors&gt;&lt;author&gt;Trexler, Mark C.&lt;/author&gt;&lt;author&gt;Derik J. Broekhoff &lt;/author&gt;&lt;author&gt;Laura H. Kosloff&lt;/author&gt;&lt;/authors&gt;&lt;/contributors&gt;&lt;titles&gt;&lt;title&gt;A Statistically-driven Approach to Offset-based GHG Additionality Determinations: What Can We Learn?&lt;/title&gt;&lt;secondary-title&gt;Sustainable Development Law &amp;amp; Policy&lt;/secondary-title&gt;&lt;/titles&gt;&lt;periodical&gt;&lt;full-title&gt;Sustainable Development Law &amp;amp; Policy&lt;/full-title&gt;&lt;/periodical&gt;&lt;pages&gt;30-40&lt;/pages&gt;&lt;volume&gt;6&lt;/volume&gt;&lt;number&gt;2&lt;/number&gt;&lt;dates&gt;&lt;year&gt;2006&lt;/year&gt;&lt;/dates&gt;&lt;urls&gt;&lt;related-urls&gt;&lt;url&gt;http://digitalcommons.wcl.american.edu/cgi/viewcontent.cgi?article=1324&amp;amp;context=sdlp&lt;/url&gt;&lt;/related-urls&gt;&lt;/urls&gt;&lt;/record&gt;&lt;/Cite&gt;&lt;/EndNote&gt;</w:instrText>
      </w:r>
      <w:r w:rsidR="00F87208">
        <w:rPr>
          <w:rFonts w:asciiTheme="minorHAnsi" w:hAnsiTheme="minorHAnsi" w:cstheme="minorHAnsi"/>
        </w:rPr>
        <w:fldChar w:fldCharType="separate"/>
      </w:r>
      <w:r w:rsidR="00A87D07">
        <w:rPr>
          <w:rFonts w:asciiTheme="minorHAnsi" w:hAnsiTheme="minorHAnsi" w:cstheme="minorHAnsi"/>
          <w:noProof/>
        </w:rPr>
        <w:t>(</w:t>
      </w:r>
      <w:hyperlink w:anchor="_ENREF_137" w:tooltip="Trexler, 2006 #285" w:history="1">
        <w:r w:rsidR="001E4C88">
          <w:rPr>
            <w:rFonts w:asciiTheme="minorHAnsi" w:hAnsiTheme="minorHAnsi" w:cstheme="minorHAnsi"/>
            <w:noProof/>
          </w:rPr>
          <w:t>Trexler et al. 2006</w:t>
        </w:r>
      </w:hyperlink>
      <w:r w:rsidR="00A87D07">
        <w:rPr>
          <w:rFonts w:asciiTheme="minorHAnsi" w:hAnsiTheme="minorHAnsi" w:cstheme="minorHAnsi"/>
          <w:noProof/>
        </w:rPr>
        <w:t>)</w:t>
      </w:r>
      <w:r w:rsidR="00F87208">
        <w:rPr>
          <w:rFonts w:asciiTheme="minorHAnsi" w:hAnsiTheme="minorHAnsi" w:cstheme="minorHAnsi"/>
        </w:rPr>
        <w:fldChar w:fldCharType="end"/>
      </w:r>
      <w:r w:rsidRPr="00951EC7">
        <w:rPr>
          <w:rFonts w:asciiTheme="minorHAnsi" w:hAnsiTheme="minorHAnsi" w:cstheme="minorHAnsi"/>
        </w:rPr>
        <w:t xml:space="preserve">.  They must be adaptable and relatively easy to implement and understand in the interest of reducing the uncertainty that impedes investment in offset projects and providing the optimal supply of offset credits with respect to the size of the market.  A common practice test designed for a carefully selected group of activities allowed to initially participate that targets low cost, highly additional offset projects </w:t>
      </w:r>
      <w:r>
        <w:rPr>
          <w:rFonts w:asciiTheme="minorHAnsi" w:hAnsiTheme="minorHAnsi" w:cstheme="minorHAnsi"/>
        </w:rPr>
        <w:t xml:space="preserve">would be ideal, because it </w:t>
      </w:r>
      <w:r w:rsidRPr="00951EC7">
        <w:rPr>
          <w:rFonts w:asciiTheme="minorHAnsi" w:hAnsiTheme="minorHAnsi" w:cstheme="minorHAnsi"/>
        </w:rPr>
        <w:t>could ensure that the supply of credits from fake offsets are minimized while als</w:t>
      </w:r>
      <w:r>
        <w:rPr>
          <w:rFonts w:asciiTheme="minorHAnsi" w:hAnsiTheme="minorHAnsi" w:cstheme="minorHAnsi"/>
        </w:rPr>
        <w:t>o minimizing lost opportunities</w:t>
      </w:r>
      <w:r w:rsidR="00F87208">
        <w:rPr>
          <w:rFonts w:asciiTheme="minorHAnsi" w:hAnsiTheme="minorHAnsi" w:cstheme="minorHAnsi"/>
        </w:rPr>
        <w:t xml:space="preserve"> </w:t>
      </w:r>
      <w:r w:rsidR="00F87208">
        <w:rPr>
          <w:rFonts w:asciiTheme="minorHAnsi" w:hAnsiTheme="minorHAnsi" w:cstheme="minorHAnsi"/>
        </w:rPr>
        <w:fldChar w:fldCharType="begin"/>
      </w:r>
      <w:r w:rsidR="00A87D07">
        <w:rPr>
          <w:rFonts w:asciiTheme="minorHAnsi" w:hAnsiTheme="minorHAnsi" w:cstheme="minorHAnsi"/>
        </w:rPr>
        <w:instrText xml:space="preserve"> ADDIN EN.CITE &lt;EndNote&gt;&lt;Cite&gt;&lt;Author&gt;Trexler&lt;/Author&gt;&lt;Year&gt;2006&lt;/Year&gt;&lt;RecNum&gt;285&lt;/RecNum&gt;&lt;DisplayText&gt;(Trexler et al. 2006)&lt;/DisplayText&gt;&lt;record&gt;&lt;rec-number&gt;285&lt;/rec-number&gt;&lt;foreign-keys&gt;&lt;key app="EN" db-id="a90s5zadewrawxeer07v2f90xr5vxv022sat"&gt;285&lt;/key&gt;&lt;/foreign-keys&gt;&lt;ref-type name="Journal Article"&gt;17&lt;/ref-type&gt;&lt;contributors&gt;&lt;authors&gt;&lt;author&gt;Trexler, Mark C.&lt;/author&gt;&lt;author&gt;Derik J. Broekhoff &lt;/author&gt;&lt;author&gt;Laura H. Kosloff&lt;/author&gt;&lt;/authors&gt;&lt;/contributors&gt;&lt;titles&gt;&lt;title&gt;A Statistically-driven Approach to Offset-based GHG Additionality Determinations: What Can We Learn?&lt;/title&gt;&lt;secondary-title&gt;Sustainable Development Law &amp;amp; Policy&lt;/secondary-title&gt;&lt;/titles&gt;&lt;periodical&gt;&lt;full-title&gt;Sustainable Development Law &amp;amp; Policy&lt;/full-title&gt;&lt;/periodical&gt;&lt;pages&gt;30-40&lt;/pages&gt;&lt;volume&gt;6&lt;/volume&gt;&lt;number&gt;2&lt;/number&gt;&lt;dates&gt;&lt;year&gt;2006&lt;/year&gt;&lt;/dates&gt;&lt;urls&gt;&lt;related-urls&gt;&lt;url&gt;http://digitalcommons.wcl.american.edu/cgi/viewcontent.cgi?article=1324&amp;amp;context=sdlp&lt;/url&gt;&lt;/related-urls&gt;&lt;/urls&gt;&lt;/record&gt;&lt;/Cite&gt;&lt;/EndNote&gt;</w:instrText>
      </w:r>
      <w:r w:rsidR="00F87208">
        <w:rPr>
          <w:rFonts w:asciiTheme="minorHAnsi" w:hAnsiTheme="minorHAnsi" w:cstheme="minorHAnsi"/>
        </w:rPr>
        <w:fldChar w:fldCharType="separate"/>
      </w:r>
      <w:r w:rsidR="00A87D07">
        <w:rPr>
          <w:rFonts w:asciiTheme="minorHAnsi" w:hAnsiTheme="minorHAnsi" w:cstheme="minorHAnsi"/>
          <w:noProof/>
        </w:rPr>
        <w:t>(</w:t>
      </w:r>
      <w:hyperlink w:anchor="_ENREF_137" w:tooltip="Trexler, 2006 #285" w:history="1">
        <w:r w:rsidR="001E4C88">
          <w:rPr>
            <w:rFonts w:asciiTheme="minorHAnsi" w:hAnsiTheme="minorHAnsi" w:cstheme="minorHAnsi"/>
            <w:noProof/>
          </w:rPr>
          <w:t>Trexler et al. 2006</w:t>
        </w:r>
      </w:hyperlink>
      <w:r w:rsidR="00A87D07">
        <w:rPr>
          <w:rFonts w:asciiTheme="minorHAnsi" w:hAnsiTheme="minorHAnsi" w:cstheme="minorHAnsi"/>
          <w:noProof/>
        </w:rPr>
        <w:t>)</w:t>
      </w:r>
      <w:r w:rsidR="00F87208">
        <w:rPr>
          <w:rFonts w:asciiTheme="minorHAnsi" w:hAnsiTheme="minorHAnsi" w:cstheme="minorHAnsi"/>
        </w:rPr>
        <w:fldChar w:fldCharType="end"/>
      </w:r>
      <w:r>
        <w:rPr>
          <w:rFonts w:asciiTheme="minorHAnsi" w:hAnsiTheme="minorHAnsi" w:cstheme="minorHAnsi"/>
        </w:rPr>
        <w:t xml:space="preserve">. </w:t>
      </w:r>
      <w:r w:rsidR="00CF426B">
        <w:rPr>
          <w:rFonts w:asciiTheme="minorHAnsi" w:hAnsiTheme="minorHAnsi" w:cstheme="minorHAnsi"/>
        </w:rPr>
        <w:t xml:space="preserve"> </w:t>
      </w:r>
      <w:r w:rsidRPr="00951EC7">
        <w:rPr>
          <w:rFonts w:asciiTheme="minorHAnsi" w:hAnsiTheme="minorHAnsi" w:cstheme="minorHAnsi"/>
        </w:rPr>
        <w:t xml:space="preserve">CAR </w:t>
      </w:r>
      <w:r w:rsidR="00CF426B">
        <w:rPr>
          <w:rFonts w:asciiTheme="minorHAnsi" w:hAnsiTheme="minorHAnsi" w:cstheme="minorHAnsi"/>
        </w:rPr>
        <w:t>appears to be designed in such a way</w:t>
      </w:r>
      <w:r w:rsidRPr="00951EC7">
        <w:rPr>
          <w:rFonts w:asciiTheme="minorHAnsi" w:hAnsiTheme="minorHAnsi" w:cstheme="minorHAnsi"/>
        </w:rPr>
        <w:t xml:space="preserve">, but </w:t>
      </w:r>
      <w:r w:rsidR="001749D2" w:rsidRPr="00951EC7">
        <w:rPr>
          <w:rFonts w:asciiTheme="minorHAnsi" w:hAnsiTheme="minorHAnsi" w:cstheme="minorHAnsi"/>
        </w:rPr>
        <w:t>it</w:t>
      </w:r>
      <w:r w:rsidR="001749D2">
        <w:rPr>
          <w:rFonts w:asciiTheme="minorHAnsi" w:hAnsiTheme="minorHAnsi" w:cstheme="minorHAnsi"/>
        </w:rPr>
        <w:t>s</w:t>
      </w:r>
      <w:r w:rsidR="006B5FC0">
        <w:rPr>
          <w:rFonts w:asciiTheme="minorHAnsi" w:hAnsiTheme="minorHAnsi" w:cstheme="minorHAnsi"/>
        </w:rPr>
        <w:t xml:space="preserve"> IFM </w:t>
      </w:r>
      <w:r w:rsidR="000A09E9">
        <w:rPr>
          <w:rFonts w:asciiTheme="minorHAnsi" w:hAnsiTheme="minorHAnsi" w:cstheme="minorHAnsi"/>
        </w:rPr>
        <w:t>methodology</w:t>
      </w:r>
      <w:r w:rsidRPr="00951EC7">
        <w:rPr>
          <w:rFonts w:asciiTheme="minorHAnsi" w:hAnsiTheme="minorHAnsi" w:cstheme="minorHAnsi"/>
        </w:rPr>
        <w:t xml:space="preserve"> clearly did not </w:t>
      </w:r>
      <w:r w:rsidR="00EE7B2B">
        <w:rPr>
          <w:rFonts w:asciiTheme="minorHAnsi" w:hAnsiTheme="minorHAnsi" w:cstheme="minorHAnsi"/>
        </w:rPr>
        <w:t>yield</w:t>
      </w:r>
      <w:r w:rsidR="00ED3A9B">
        <w:rPr>
          <w:rFonts w:asciiTheme="minorHAnsi" w:hAnsiTheme="minorHAnsi" w:cstheme="minorHAnsi"/>
        </w:rPr>
        <w:t xml:space="preserve"> carbon value from</w:t>
      </w:r>
      <w:r w:rsidRPr="00951EC7">
        <w:rPr>
          <w:rFonts w:asciiTheme="minorHAnsi" w:hAnsiTheme="minorHAnsi" w:cstheme="minorHAnsi"/>
        </w:rPr>
        <w:t xml:space="preserve"> the highly additional </w:t>
      </w:r>
      <w:r w:rsidR="001B1579">
        <w:rPr>
          <w:rFonts w:asciiTheme="minorHAnsi" w:hAnsiTheme="minorHAnsi" w:cstheme="minorHAnsi"/>
        </w:rPr>
        <w:t>activities</w:t>
      </w:r>
      <w:r w:rsidR="006B5FC0">
        <w:rPr>
          <w:rFonts w:asciiTheme="minorHAnsi" w:hAnsiTheme="minorHAnsi" w:cstheme="minorHAnsi"/>
        </w:rPr>
        <w:t xml:space="preserve"> modeled in this study</w:t>
      </w:r>
      <w:r w:rsidR="00FA4C44">
        <w:rPr>
          <w:rFonts w:asciiTheme="minorHAnsi" w:hAnsiTheme="minorHAnsi" w:cstheme="minorHAnsi"/>
        </w:rPr>
        <w:t>.</w:t>
      </w:r>
    </w:p>
    <w:p w:rsidR="00722466" w:rsidRDefault="00FD048F" w:rsidP="00E9292D">
      <w:pPr>
        <w:autoSpaceDE w:val="0"/>
        <w:autoSpaceDN w:val="0"/>
        <w:adjustRightInd w:val="0"/>
        <w:spacing w:after="0" w:line="480" w:lineRule="auto"/>
        <w:ind w:firstLine="720"/>
        <w:rPr>
          <w:rStyle w:val="apple-style-span"/>
          <w:rFonts w:asciiTheme="minorHAnsi" w:hAnsiTheme="minorHAnsi" w:cstheme="minorHAnsi"/>
          <w:color w:val="000000"/>
        </w:rPr>
      </w:pPr>
      <w:r>
        <w:rPr>
          <w:rFonts w:asciiTheme="minorHAnsi" w:hAnsiTheme="minorHAnsi" w:cstheme="minorHAnsi"/>
        </w:rPr>
        <w:t>Conversely,</w:t>
      </w:r>
      <w:r w:rsidR="00E04CBD">
        <w:rPr>
          <w:rFonts w:asciiTheme="minorHAnsi" w:hAnsiTheme="minorHAnsi" w:cstheme="minorHAnsi"/>
        </w:rPr>
        <w:t xml:space="preserve"> in the context of small to medium</w:t>
      </w:r>
      <w:r>
        <w:rPr>
          <w:rFonts w:asciiTheme="minorHAnsi" w:hAnsiTheme="minorHAnsi" w:cstheme="minorHAnsi"/>
        </w:rPr>
        <w:t xml:space="preserve"> </w:t>
      </w:r>
      <w:r w:rsidR="00E04CBD">
        <w:rPr>
          <w:rFonts w:asciiTheme="minorHAnsi" w:hAnsiTheme="minorHAnsi" w:cstheme="minorHAnsi"/>
        </w:rPr>
        <w:t xml:space="preserve">size ownerships, </w:t>
      </w:r>
      <w:r>
        <w:rPr>
          <w:rFonts w:asciiTheme="minorHAnsi" w:hAnsiTheme="minorHAnsi" w:cstheme="minorHAnsi"/>
        </w:rPr>
        <w:t xml:space="preserve">it seems most </w:t>
      </w:r>
      <w:r w:rsidR="004D11FA">
        <w:rPr>
          <w:rFonts w:asciiTheme="minorHAnsi" w:hAnsiTheme="minorHAnsi" w:cstheme="minorHAnsi"/>
        </w:rPr>
        <w:t>suited</w:t>
      </w:r>
      <w:r>
        <w:rPr>
          <w:rFonts w:asciiTheme="minorHAnsi" w:hAnsiTheme="minorHAnsi" w:cstheme="minorHAnsi"/>
        </w:rPr>
        <w:t xml:space="preserve"> for</w:t>
      </w:r>
      <w:r w:rsidR="006B5FC0" w:rsidRPr="005E6D8A">
        <w:rPr>
          <w:bCs/>
        </w:rPr>
        <w:t xml:space="preserve"> non-timber focused owners </w:t>
      </w:r>
      <w:r>
        <w:rPr>
          <w:bCs/>
        </w:rPr>
        <w:t xml:space="preserve">that </w:t>
      </w:r>
      <w:r w:rsidRPr="005E6D8A">
        <w:rPr>
          <w:bCs/>
        </w:rPr>
        <w:t>would most likely let their fores</w:t>
      </w:r>
      <w:r w:rsidR="00334BAB">
        <w:rPr>
          <w:bCs/>
        </w:rPr>
        <w:t xml:space="preserve">tland grow unmanaged anyway.  Not only is this counterintuitive for a forest management methodology but it also has </w:t>
      </w:r>
      <w:r w:rsidR="004504AC">
        <w:rPr>
          <w:bCs/>
        </w:rPr>
        <w:t xml:space="preserve">implications on the </w:t>
      </w:r>
      <w:r w:rsidR="00B02A70">
        <w:rPr>
          <w:bCs/>
        </w:rPr>
        <w:t xml:space="preserve">amount of </w:t>
      </w:r>
      <w:r w:rsidR="00334BAB">
        <w:rPr>
          <w:bCs/>
        </w:rPr>
        <w:t xml:space="preserve">non-additional </w:t>
      </w:r>
      <w:r w:rsidR="00B02A70" w:rsidRPr="000A09E9">
        <w:rPr>
          <w:rFonts w:asciiTheme="minorHAnsi" w:hAnsiTheme="minorHAnsi" w:cstheme="minorHAnsi"/>
          <w:bCs/>
        </w:rPr>
        <w:t xml:space="preserve">IFM-generated CRTs </w:t>
      </w:r>
      <w:r w:rsidR="00334BAB" w:rsidRPr="000A09E9">
        <w:rPr>
          <w:rFonts w:asciiTheme="minorHAnsi" w:hAnsiTheme="minorHAnsi" w:cstheme="minorHAnsi"/>
          <w:bCs/>
        </w:rPr>
        <w:t>making it to</w:t>
      </w:r>
      <w:r w:rsidR="00B02A70" w:rsidRPr="000A09E9">
        <w:rPr>
          <w:rFonts w:asciiTheme="minorHAnsi" w:hAnsiTheme="minorHAnsi" w:cstheme="minorHAnsi"/>
          <w:bCs/>
        </w:rPr>
        <w:t xml:space="preserve"> the market</w:t>
      </w:r>
      <w:r w:rsidRPr="000A09E9">
        <w:rPr>
          <w:rFonts w:asciiTheme="minorHAnsi" w:hAnsiTheme="minorHAnsi" w:cstheme="minorHAnsi"/>
          <w:bCs/>
        </w:rPr>
        <w:t xml:space="preserve">.  </w:t>
      </w:r>
      <w:r w:rsidR="00A201FB">
        <w:t>C</w:t>
      </w:r>
      <w:r w:rsidR="00FF062F" w:rsidRPr="00EB5DC7">
        <w:t xml:space="preserve">oncerns about additionality focus attention on what BAU practices and management are assumed to occur.  </w:t>
      </w:r>
      <w:r w:rsidR="00A201FB">
        <w:rPr>
          <w:rStyle w:val="apple-style-span"/>
          <w:rFonts w:asciiTheme="minorHAnsi" w:hAnsiTheme="minorHAnsi" w:cstheme="minorHAnsi"/>
          <w:color w:val="000000"/>
        </w:rPr>
        <w:t>Yet r</w:t>
      </w:r>
      <w:r w:rsidR="0049683C">
        <w:rPr>
          <w:rStyle w:val="apple-style-span"/>
          <w:rFonts w:asciiTheme="minorHAnsi" w:hAnsiTheme="minorHAnsi" w:cstheme="minorHAnsi"/>
          <w:color w:val="000000"/>
        </w:rPr>
        <w:t xml:space="preserve">egardless of whether a given </w:t>
      </w:r>
      <w:r w:rsidR="00CA4802">
        <w:rPr>
          <w:rStyle w:val="apple-style-span"/>
          <w:rFonts w:asciiTheme="minorHAnsi" w:hAnsiTheme="minorHAnsi" w:cstheme="minorHAnsi"/>
          <w:color w:val="000000"/>
        </w:rPr>
        <w:t>FFO</w:t>
      </w:r>
      <w:r w:rsidR="0049683C">
        <w:rPr>
          <w:rStyle w:val="apple-style-span"/>
          <w:rFonts w:asciiTheme="minorHAnsi" w:hAnsiTheme="minorHAnsi" w:cstheme="minorHAnsi"/>
          <w:color w:val="000000"/>
        </w:rPr>
        <w:t xml:space="preserve"> has discernable intentions regarding timber production, it is impossible to ascertain if and when he</w:t>
      </w:r>
      <w:r w:rsidR="00CA4802">
        <w:rPr>
          <w:rStyle w:val="apple-style-span"/>
          <w:rFonts w:asciiTheme="minorHAnsi" w:hAnsiTheme="minorHAnsi" w:cstheme="minorHAnsi"/>
          <w:color w:val="000000"/>
        </w:rPr>
        <w:t>,</w:t>
      </w:r>
      <w:r w:rsidR="0049683C">
        <w:rPr>
          <w:rStyle w:val="apple-style-span"/>
          <w:rFonts w:asciiTheme="minorHAnsi" w:hAnsiTheme="minorHAnsi" w:cstheme="minorHAnsi"/>
          <w:color w:val="000000"/>
        </w:rPr>
        <w:t xml:space="preserve"> she</w:t>
      </w:r>
      <w:r w:rsidR="00CA4802">
        <w:rPr>
          <w:rStyle w:val="apple-style-span"/>
          <w:rFonts w:asciiTheme="minorHAnsi" w:hAnsiTheme="minorHAnsi" w:cstheme="minorHAnsi"/>
          <w:color w:val="000000"/>
        </w:rPr>
        <w:t>, or they</w:t>
      </w:r>
      <w:r w:rsidR="0049683C">
        <w:rPr>
          <w:rStyle w:val="apple-style-span"/>
          <w:rFonts w:asciiTheme="minorHAnsi" w:hAnsiTheme="minorHAnsi" w:cstheme="minorHAnsi"/>
          <w:color w:val="000000"/>
        </w:rPr>
        <w:t xml:space="preserve"> (and heir(s) to the land) would institute harvests over a 100 year BAU period.  Consequently, it is impossible to know the true amount of non-additional credits that will be issued to a given </w:t>
      </w:r>
      <w:r w:rsidR="0043248A">
        <w:rPr>
          <w:rStyle w:val="apple-style-span"/>
          <w:rFonts w:asciiTheme="minorHAnsi" w:hAnsiTheme="minorHAnsi" w:cstheme="minorHAnsi"/>
          <w:color w:val="000000"/>
        </w:rPr>
        <w:t>IFM project.</w:t>
      </w:r>
    </w:p>
    <w:p w:rsidR="00127DD5" w:rsidRDefault="004059B2" w:rsidP="00CD2CFC">
      <w:pPr>
        <w:autoSpaceDE w:val="0"/>
        <w:autoSpaceDN w:val="0"/>
        <w:adjustRightInd w:val="0"/>
        <w:spacing w:after="0" w:line="480" w:lineRule="auto"/>
        <w:ind w:firstLine="720"/>
        <w:rPr>
          <w:rStyle w:val="apple-style-span"/>
          <w:rFonts w:asciiTheme="minorHAnsi" w:hAnsiTheme="minorHAnsi" w:cstheme="minorHAnsi"/>
          <w:color w:val="000000"/>
        </w:rPr>
      </w:pPr>
      <w:r>
        <w:rPr>
          <w:rFonts w:cs="Calibri"/>
        </w:rPr>
        <w:t xml:space="preserve">The current baseline determination approach sets a MBL towards which modeled carbon stocks are induced to gravitate.  </w:t>
      </w:r>
      <w:r w:rsidR="002B58E9">
        <w:rPr>
          <w:rStyle w:val="apple-style-span"/>
          <w:rFonts w:asciiTheme="minorHAnsi" w:hAnsiTheme="minorHAnsi" w:cstheme="minorHAnsi"/>
          <w:color w:val="000000"/>
        </w:rPr>
        <w:t>H</w:t>
      </w:r>
      <w:r w:rsidR="00DE11F8">
        <w:rPr>
          <w:rStyle w:val="apple-style-span"/>
          <w:rFonts w:asciiTheme="minorHAnsi" w:hAnsiTheme="minorHAnsi" w:cstheme="minorHAnsi"/>
          <w:color w:val="000000"/>
        </w:rPr>
        <w:t xml:space="preserve">ypothetically, a project owner </w:t>
      </w:r>
      <w:r w:rsidR="00E61AF2">
        <w:rPr>
          <w:rStyle w:val="apple-style-span"/>
          <w:rFonts w:asciiTheme="minorHAnsi" w:hAnsiTheme="minorHAnsi" w:cstheme="minorHAnsi"/>
          <w:color w:val="000000"/>
        </w:rPr>
        <w:t>originally with</w:t>
      </w:r>
      <w:r w:rsidR="00DE11F8">
        <w:rPr>
          <w:rStyle w:val="apple-style-span"/>
          <w:rFonts w:asciiTheme="minorHAnsi" w:hAnsiTheme="minorHAnsi" w:cstheme="minorHAnsi"/>
          <w:color w:val="000000"/>
        </w:rPr>
        <w:t xml:space="preserve"> no intention of harvesting timber would be incentivized to characterize the BAU simulation with timber harvesting</w:t>
      </w:r>
      <w:r w:rsidR="00D54E3B">
        <w:rPr>
          <w:rStyle w:val="apple-style-span"/>
          <w:rFonts w:asciiTheme="minorHAnsi" w:hAnsiTheme="minorHAnsi" w:cstheme="minorHAnsi"/>
          <w:color w:val="000000"/>
        </w:rPr>
        <w:t xml:space="preserve"> in order</w:t>
      </w:r>
      <w:r w:rsidR="00DE11F8">
        <w:rPr>
          <w:rStyle w:val="apple-style-span"/>
          <w:rFonts w:asciiTheme="minorHAnsi" w:hAnsiTheme="minorHAnsi" w:cstheme="minorHAnsi"/>
          <w:color w:val="000000"/>
        </w:rPr>
        <w:t xml:space="preserve"> to ensure the annualized AGL value</w:t>
      </w:r>
      <w:r w:rsidR="00E61AF2">
        <w:rPr>
          <w:rStyle w:val="apple-style-span"/>
          <w:rFonts w:asciiTheme="minorHAnsi" w:hAnsiTheme="minorHAnsi" w:cstheme="minorHAnsi"/>
          <w:color w:val="000000"/>
        </w:rPr>
        <w:t xml:space="preserve"> for BAU was </w:t>
      </w:r>
      <w:r w:rsidR="00A67834">
        <w:rPr>
          <w:rStyle w:val="apple-style-span"/>
          <w:rFonts w:asciiTheme="minorHAnsi" w:hAnsiTheme="minorHAnsi" w:cstheme="minorHAnsi"/>
          <w:color w:val="000000"/>
        </w:rPr>
        <w:t>very close to the MBL</w:t>
      </w:r>
      <w:r w:rsidR="007F57D8">
        <w:rPr>
          <w:rStyle w:val="apple-style-span"/>
          <w:rFonts w:asciiTheme="minorHAnsi" w:hAnsiTheme="minorHAnsi" w:cstheme="minorHAnsi"/>
          <w:color w:val="000000"/>
        </w:rPr>
        <w:t xml:space="preserve">.  Whether a given CAR-IFM project undertakes sustainable timber production or none at all, the CAR protocol contains no measure that would preclude project proponents from making fallacious timber harvesting characterizations of BAU management for carbon benefit, </w:t>
      </w:r>
      <w:r w:rsidR="002B58E9" w:rsidRPr="002B58E9">
        <w:rPr>
          <w:rFonts w:asciiTheme="minorHAnsi" w:hAnsiTheme="minorHAnsi" w:cstheme="minorHAnsi"/>
          <w:color w:val="000000"/>
        </w:rPr>
        <w:t>which would generate more non-additional credits than what might have otherwise resulted</w:t>
      </w:r>
      <w:r w:rsidR="002B58E9">
        <w:rPr>
          <w:rStyle w:val="apple-style-span"/>
          <w:rFonts w:asciiTheme="minorHAnsi" w:hAnsiTheme="minorHAnsi" w:cstheme="minorHAnsi"/>
          <w:color w:val="000000"/>
        </w:rPr>
        <w:t>,</w:t>
      </w:r>
      <w:r w:rsidR="00694B06" w:rsidRPr="0048091C">
        <w:rPr>
          <w:rStyle w:val="apple-style-span"/>
          <w:rFonts w:asciiTheme="minorHAnsi" w:hAnsiTheme="minorHAnsi" w:cstheme="minorHAnsi"/>
          <w:color w:val="000000"/>
        </w:rPr>
        <w:t xml:space="preserve"> depending on t</w:t>
      </w:r>
      <w:r w:rsidR="00EB0F4E">
        <w:rPr>
          <w:rStyle w:val="apple-style-span"/>
          <w:rFonts w:asciiTheme="minorHAnsi" w:hAnsiTheme="minorHAnsi" w:cstheme="minorHAnsi"/>
          <w:color w:val="000000"/>
        </w:rPr>
        <w:t>he past intentions of the</w:t>
      </w:r>
      <w:r w:rsidR="00694B06" w:rsidRPr="0048091C">
        <w:rPr>
          <w:rStyle w:val="apple-style-span"/>
          <w:rFonts w:asciiTheme="minorHAnsi" w:hAnsiTheme="minorHAnsi" w:cstheme="minorHAnsi"/>
          <w:color w:val="000000"/>
        </w:rPr>
        <w:t xml:space="preserve"> owner and the </w:t>
      </w:r>
      <w:r w:rsidR="00EB0F4E">
        <w:rPr>
          <w:rStyle w:val="apple-style-span"/>
          <w:rFonts w:asciiTheme="minorHAnsi" w:hAnsiTheme="minorHAnsi" w:cstheme="minorHAnsi"/>
          <w:color w:val="000000"/>
        </w:rPr>
        <w:t xml:space="preserve">project </w:t>
      </w:r>
      <w:r w:rsidR="00694B06" w:rsidRPr="0048091C">
        <w:rPr>
          <w:rStyle w:val="apple-style-span"/>
          <w:rFonts w:asciiTheme="minorHAnsi" w:hAnsiTheme="minorHAnsi" w:cstheme="minorHAnsi"/>
          <w:color w:val="000000"/>
        </w:rPr>
        <w:t>management employed.</w:t>
      </w:r>
      <w:r w:rsidR="00694B06" w:rsidRPr="0048091C">
        <w:rPr>
          <w:rStyle w:val="apple-converted-space"/>
          <w:rFonts w:asciiTheme="minorHAnsi" w:hAnsiTheme="minorHAnsi" w:cstheme="minorHAnsi"/>
          <w:color w:val="000000"/>
        </w:rPr>
        <w:t> </w:t>
      </w:r>
      <w:r w:rsidR="00694B06">
        <w:rPr>
          <w:rStyle w:val="apple-style-span"/>
          <w:rFonts w:asciiTheme="minorHAnsi" w:hAnsiTheme="minorHAnsi" w:cstheme="minorHAnsi"/>
          <w:color w:val="000000"/>
        </w:rPr>
        <w:t xml:space="preserve"> </w:t>
      </w:r>
      <w:r w:rsidR="00DD2EAF">
        <w:rPr>
          <w:rStyle w:val="apple-style-span"/>
          <w:rFonts w:asciiTheme="minorHAnsi" w:hAnsiTheme="minorHAnsi" w:cstheme="minorHAnsi"/>
          <w:color w:val="000000"/>
        </w:rPr>
        <w:t>I</w:t>
      </w:r>
      <w:r w:rsidR="00722466" w:rsidRPr="0048091C">
        <w:rPr>
          <w:rStyle w:val="apple-style-span"/>
          <w:rFonts w:asciiTheme="minorHAnsi" w:hAnsiTheme="minorHAnsi" w:cstheme="minorHAnsi"/>
          <w:color w:val="000000"/>
        </w:rPr>
        <w:t>f the e</w:t>
      </w:r>
      <w:r w:rsidR="00722466">
        <w:rPr>
          <w:rStyle w:val="apple-style-span"/>
          <w:rFonts w:asciiTheme="minorHAnsi" w:hAnsiTheme="minorHAnsi" w:cstheme="minorHAnsi"/>
          <w:color w:val="000000"/>
        </w:rPr>
        <w:t xml:space="preserve">conomic feasibility of small to medium </w:t>
      </w:r>
      <w:r w:rsidR="00722466">
        <w:rPr>
          <w:rStyle w:val="apple-style-span"/>
          <w:rFonts w:asciiTheme="minorHAnsi" w:hAnsiTheme="minorHAnsi" w:cstheme="minorHAnsi"/>
          <w:color w:val="000000"/>
        </w:rPr>
        <w:lastRenderedPageBreak/>
        <w:t xml:space="preserve">sized CAR-IFM projects that undertake </w:t>
      </w:r>
      <w:r w:rsidR="00DD2EAF">
        <w:rPr>
          <w:rStyle w:val="apple-style-span"/>
          <w:rFonts w:asciiTheme="minorHAnsi" w:hAnsiTheme="minorHAnsi" w:cstheme="minorHAnsi"/>
          <w:color w:val="000000"/>
        </w:rPr>
        <w:t xml:space="preserve">sustainable </w:t>
      </w:r>
      <w:r w:rsidR="00722466">
        <w:rPr>
          <w:rStyle w:val="apple-style-span"/>
          <w:rFonts w:asciiTheme="minorHAnsi" w:hAnsiTheme="minorHAnsi" w:cstheme="minorHAnsi"/>
          <w:color w:val="000000"/>
        </w:rPr>
        <w:t xml:space="preserve">timber harvesting is generally as bleak as this study indicates, </w:t>
      </w:r>
      <w:r w:rsidR="00DD2EAF">
        <w:rPr>
          <w:rFonts w:asciiTheme="minorHAnsi" w:hAnsiTheme="minorHAnsi" w:cstheme="minorHAnsi"/>
        </w:rPr>
        <w:t xml:space="preserve">most </w:t>
      </w:r>
      <w:r w:rsidR="00FC1B15">
        <w:rPr>
          <w:rFonts w:asciiTheme="minorHAnsi" w:hAnsiTheme="minorHAnsi" w:cstheme="minorHAnsi"/>
        </w:rPr>
        <w:t>of these</w:t>
      </w:r>
      <w:r w:rsidR="00DD2EAF">
        <w:rPr>
          <w:rFonts w:asciiTheme="minorHAnsi" w:hAnsiTheme="minorHAnsi" w:cstheme="minorHAnsi"/>
        </w:rPr>
        <w:t xml:space="preserve"> projects are likely to be passively managed if at all</w:t>
      </w:r>
      <w:r w:rsidR="001208F8">
        <w:rPr>
          <w:rFonts w:asciiTheme="minorHAnsi" w:hAnsiTheme="minorHAnsi" w:cstheme="minorHAnsi"/>
        </w:rPr>
        <w:t>.  Proponents of such projects</w:t>
      </w:r>
      <w:r w:rsidR="00FC1B15">
        <w:rPr>
          <w:rFonts w:asciiTheme="minorHAnsi" w:hAnsiTheme="minorHAnsi" w:cstheme="minorHAnsi"/>
        </w:rPr>
        <w:t xml:space="preserve"> would</w:t>
      </w:r>
      <w:r w:rsidR="00DD2EAF">
        <w:rPr>
          <w:rFonts w:asciiTheme="minorHAnsi" w:hAnsiTheme="minorHAnsi" w:cstheme="minorHAnsi"/>
        </w:rPr>
        <w:t xml:space="preserve"> </w:t>
      </w:r>
      <w:r w:rsidR="001208F8">
        <w:rPr>
          <w:rStyle w:val="apple-style-span"/>
          <w:rFonts w:asciiTheme="minorHAnsi" w:hAnsiTheme="minorHAnsi" w:cstheme="minorHAnsi"/>
          <w:color w:val="000000"/>
        </w:rPr>
        <w:t xml:space="preserve">not be able to justifiably </w:t>
      </w:r>
      <w:r w:rsidR="00722466">
        <w:rPr>
          <w:rStyle w:val="apple-style-span"/>
          <w:rFonts w:asciiTheme="minorHAnsi" w:hAnsiTheme="minorHAnsi" w:cstheme="minorHAnsi"/>
          <w:color w:val="000000"/>
        </w:rPr>
        <w:t>characteriz</w:t>
      </w:r>
      <w:r w:rsidR="001208F8">
        <w:rPr>
          <w:rStyle w:val="apple-style-span"/>
          <w:rFonts w:asciiTheme="minorHAnsi" w:hAnsiTheme="minorHAnsi" w:cstheme="minorHAnsi"/>
          <w:color w:val="000000"/>
        </w:rPr>
        <w:t>e</w:t>
      </w:r>
      <w:r w:rsidR="00722466">
        <w:rPr>
          <w:rStyle w:val="apple-style-span"/>
          <w:rFonts w:asciiTheme="minorHAnsi" w:hAnsiTheme="minorHAnsi" w:cstheme="minorHAnsi"/>
          <w:color w:val="000000"/>
        </w:rPr>
        <w:t xml:space="preserve"> BAU management with </w:t>
      </w:r>
      <w:r w:rsidR="00260239">
        <w:rPr>
          <w:rStyle w:val="apple-style-span"/>
          <w:rFonts w:asciiTheme="minorHAnsi" w:hAnsiTheme="minorHAnsi" w:cstheme="minorHAnsi"/>
          <w:color w:val="000000"/>
        </w:rPr>
        <w:t xml:space="preserve">immediate, </w:t>
      </w:r>
      <w:r w:rsidR="00722466">
        <w:rPr>
          <w:rStyle w:val="apple-style-span"/>
          <w:rFonts w:asciiTheme="minorHAnsi" w:hAnsiTheme="minorHAnsi" w:cstheme="minorHAnsi"/>
          <w:color w:val="000000"/>
        </w:rPr>
        <w:t>frequent and/or heavy cutting activities</w:t>
      </w:r>
      <w:r w:rsidR="00CB4070">
        <w:rPr>
          <w:rStyle w:val="apple-style-span"/>
          <w:rFonts w:asciiTheme="minorHAnsi" w:hAnsiTheme="minorHAnsi" w:cstheme="minorHAnsi"/>
          <w:color w:val="000000"/>
        </w:rPr>
        <w:t xml:space="preserve"> if held to a financial additionality </w:t>
      </w:r>
      <w:r w:rsidR="00260239">
        <w:rPr>
          <w:rStyle w:val="apple-style-span"/>
          <w:rFonts w:asciiTheme="minorHAnsi" w:hAnsiTheme="minorHAnsi" w:cstheme="minorHAnsi"/>
          <w:color w:val="000000"/>
        </w:rPr>
        <w:t>standard</w:t>
      </w:r>
      <w:r w:rsidR="00375354">
        <w:rPr>
          <w:rStyle w:val="apple-style-span"/>
          <w:rFonts w:asciiTheme="minorHAnsi" w:hAnsiTheme="minorHAnsi" w:cstheme="minorHAnsi"/>
          <w:color w:val="000000"/>
        </w:rPr>
        <w:t xml:space="preserve"> requiring positive marginal NPVs at foreseeable carbon prices</w:t>
      </w:r>
      <w:r w:rsidR="00260239">
        <w:rPr>
          <w:rStyle w:val="apple-style-span"/>
          <w:rFonts w:asciiTheme="minorHAnsi" w:hAnsiTheme="minorHAnsi" w:cstheme="minorHAnsi"/>
          <w:color w:val="000000"/>
        </w:rPr>
        <w:t>.</w:t>
      </w:r>
      <w:r w:rsidR="001208F8">
        <w:rPr>
          <w:rStyle w:val="apple-style-span"/>
          <w:rFonts w:asciiTheme="minorHAnsi" w:hAnsiTheme="minorHAnsi" w:cstheme="minorHAnsi"/>
          <w:color w:val="000000"/>
        </w:rPr>
        <w:t xml:space="preserve"> </w:t>
      </w:r>
      <w:r w:rsidR="00260239">
        <w:rPr>
          <w:rStyle w:val="apple-style-span"/>
          <w:rFonts w:asciiTheme="minorHAnsi" w:hAnsiTheme="minorHAnsi" w:cstheme="minorHAnsi"/>
          <w:color w:val="000000"/>
        </w:rPr>
        <w:t xml:space="preserve"> Such a scenario would fail </w:t>
      </w:r>
      <w:r w:rsidR="00375354">
        <w:rPr>
          <w:rStyle w:val="apple-style-span"/>
          <w:rFonts w:asciiTheme="minorHAnsi" w:hAnsiTheme="minorHAnsi" w:cstheme="minorHAnsi"/>
          <w:color w:val="000000"/>
        </w:rPr>
        <w:t xml:space="preserve">such </w:t>
      </w:r>
      <w:r w:rsidR="00260239">
        <w:rPr>
          <w:rStyle w:val="apple-style-span"/>
          <w:rFonts w:asciiTheme="minorHAnsi" w:hAnsiTheme="minorHAnsi" w:cstheme="minorHAnsi"/>
          <w:color w:val="000000"/>
        </w:rPr>
        <w:t xml:space="preserve">an additionality test because </w:t>
      </w:r>
      <w:r w:rsidR="001208F8">
        <w:rPr>
          <w:rStyle w:val="apple-style-span"/>
          <w:rFonts w:asciiTheme="minorHAnsi" w:hAnsiTheme="minorHAnsi" w:cstheme="minorHAnsi"/>
          <w:color w:val="000000"/>
        </w:rPr>
        <w:t>one would have to claim</w:t>
      </w:r>
      <w:r w:rsidR="00722466">
        <w:rPr>
          <w:rStyle w:val="apple-style-span"/>
          <w:rFonts w:asciiTheme="minorHAnsi" w:hAnsiTheme="minorHAnsi" w:cstheme="minorHAnsi"/>
          <w:color w:val="000000"/>
        </w:rPr>
        <w:t xml:space="preserve"> to forgo activities that would yield much higher financial returns than what CAR participation could provide</w:t>
      </w:r>
      <w:r w:rsidR="00260239">
        <w:rPr>
          <w:rStyle w:val="apple-style-span"/>
          <w:rFonts w:asciiTheme="minorHAnsi" w:hAnsiTheme="minorHAnsi" w:cstheme="minorHAnsi"/>
          <w:color w:val="000000"/>
        </w:rPr>
        <w:t xml:space="preserve">, which </w:t>
      </w:r>
      <w:r w:rsidR="00722466">
        <w:rPr>
          <w:rStyle w:val="apple-style-span"/>
          <w:rFonts w:asciiTheme="minorHAnsi" w:hAnsiTheme="minorHAnsi" w:cstheme="minorHAnsi"/>
          <w:color w:val="000000"/>
        </w:rPr>
        <w:t xml:space="preserve">a rational individual would not be expected to </w:t>
      </w:r>
      <w:r w:rsidR="00DD2EAF">
        <w:rPr>
          <w:rStyle w:val="apple-style-span"/>
          <w:rFonts w:asciiTheme="minorHAnsi" w:hAnsiTheme="minorHAnsi" w:cstheme="minorHAnsi"/>
          <w:color w:val="000000"/>
        </w:rPr>
        <w:t>do.</w:t>
      </w:r>
      <w:r w:rsidR="006035DF">
        <w:rPr>
          <w:rFonts w:asciiTheme="minorHAnsi" w:hAnsiTheme="minorHAnsi" w:cstheme="minorHAnsi"/>
        </w:rPr>
        <w:t xml:space="preserve"> </w:t>
      </w:r>
      <w:r w:rsidR="001208F8">
        <w:rPr>
          <w:rFonts w:asciiTheme="minorHAnsi" w:hAnsiTheme="minorHAnsi" w:cstheme="minorHAnsi"/>
        </w:rPr>
        <w:t xml:space="preserve"> Consequently, t</w:t>
      </w:r>
      <w:r w:rsidR="00722466">
        <w:rPr>
          <w:rFonts w:asciiTheme="minorHAnsi" w:hAnsiTheme="minorHAnsi" w:cstheme="minorHAnsi"/>
        </w:rPr>
        <w:t xml:space="preserve">he potential for non-additional crediting </w:t>
      </w:r>
      <w:r w:rsidR="00FC1B15">
        <w:rPr>
          <w:rFonts w:asciiTheme="minorHAnsi" w:hAnsiTheme="minorHAnsi" w:cstheme="minorHAnsi"/>
        </w:rPr>
        <w:t xml:space="preserve">and </w:t>
      </w:r>
      <w:r w:rsidR="001208F8">
        <w:rPr>
          <w:rFonts w:asciiTheme="minorHAnsi" w:hAnsiTheme="minorHAnsi" w:cstheme="minorHAnsi"/>
        </w:rPr>
        <w:t xml:space="preserve">for emission reductions lost to </w:t>
      </w:r>
      <w:r w:rsidR="00FC1B15">
        <w:rPr>
          <w:rFonts w:asciiTheme="minorHAnsi" w:hAnsiTheme="minorHAnsi" w:cstheme="minorHAnsi"/>
        </w:rPr>
        <w:t>leakage</w:t>
      </w:r>
      <w:r w:rsidR="006D7970" w:rsidRPr="006D7970">
        <w:rPr>
          <w:rFonts w:asciiTheme="minorHAnsi" w:hAnsiTheme="minorHAnsi" w:cstheme="minorHAnsi"/>
          <w:vertAlign w:val="superscript"/>
        </w:rPr>
        <w:footnoteReference w:id="33"/>
      </w:r>
      <w:r w:rsidR="00E06FE6">
        <w:rPr>
          <w:rFonts w:asciiTheme="minorHAnsi" w:hAnsiTheme="minorHAnsi" w:cstheme="minorHAnsi"/>
        </w:rPr>
        <w:t xml:space="preserve"> </w:t>
      </w:r>
      <w:r w:rsidR="00722466">
        <w:rPr>
          <w:rFonts w:asciiTheme="minorHAnsi" w:hAnsiTheme="minorHAnsi" w:cstheme="minorHAnsi"/>
        </w:rPr>
        <w:t>is higher with these projects</w:t>
      </w:r>
      <w:r w:rsidR="00DD2EAF">
        <w:rPr>
          <w:rFonts w:asciiTheme="minorHAnsi" w:hAnsiTheme="minorHAnsi" w:cstheme="minorHAnsi"/>
        </w:rPr>
        <w:t xml:space="preserve"> </w:t>
      </w:r>
      <w:r w:rsidR="00E06FE6">
        <w:rPr>
          <w:rFonts w:asciiTheme="minorHAnsi" w:hAnsiTheme="minorHAnsi" w:cstheme="minorHAnsi"/>
        </w:rPr>
        <w:t>that produce</w:t>
      </w:r>
      <w:r w:rsidR="00DD2EAF">
        <w:rPr>
          <w:rFonts w:asciiTheme="minorHAnsi" w:hAnsiTheme="minorHAnsi" w:cstheme="minorHAnsi"/>
        </w:rPr>
        <w:t xml:space="preserve"> little to no timber</w:t>
      </w:r>
      <w:r w:rsidR="001208F8">
        <w:rPr>
          <w:rFonts w:asciiTheme="minorHAnsi" w:hAnsiTheme="minorHAnsi" w:cstheme="minorHAnsi"/>
        </w:rPr>
        <w:t>.</w:t>
      </w:r>
      <w:r w:rsidR="006035DF">
        <w:rPr>
          <w:rFonts w:asciiTheme="minorHAnsi" w:hAnsiTheme="minorHAnsi" w:cstheme="minorHAnsi"/>
        </w:rPr>
        <w:t xml:space="preserve"> </w:t>
      </w:r>
      <w:r w:rsidR="00E61AF2">
        <w:rPr>
          <w:rFonts w:asciiTheme="minorHAnsi" w:hAnsiTheme="minorHAnsi" w:cstheme="minorHAnsi"/>
        </w:rPr>
        <w:t xml:space="preserve"> As a result, </w:t>
      </w:r>
      <w:r w:rsidR="00D01EEB">
        <w:rPr>
          <w:rFonts w:asciiTheme="minorHAnsi" w:hAnsiTheme="minorHAnsi" w:cstheme="minorHAnsi"/>
        </w:rPr>
        <w:t>the</w:t>
      </w:r>
      <w:r w:rsidR="00D31E1F" w:rsidRPr="00CF0684">
        <w:rPr>
          <w:rFonts w:asciiTheme="minorHAnsi" w:hAnsiTheme="minorHAnsi" w:cstheme="minorHAnsi"/>
        </w:rPr>
        <w:t xml:space="preserve"> </w:t>
      </w:r>
      <w:r w:rsidR="001951C6">
        <w:rPr>
          <w:rFonts w:asciiTheme="minorHAnsi" w:hAnsiTheme="minorHAnsi" w:cstheme="minorHAnsi"/>
        </w:rPr>
        <w:t xml:space="preserve">market </w:t>
      </w:r>
      <w:r w:rsidR="00D31E1F">
        <w:rPr>
          <w:rStyle w:val="apple-style-span"/>
          <w:rFonts w:asciiTheme="minorHAnsi" w:hAnsiTheme="minorHAnsi" w:cstheme="minorHAnsi"/>
          <w:color w:val="000000"/>
        </w:rPr>
        <w:t xml:space="preserve">supply </w:t>
      </w:r>
      <w:r w:rsidR="00624373">
        <w:rPr>
          <w:rStyle w:val="apple-style-span"/>
          <w:rFonts w:asciiTheme="minorHAnsi" w:hAnsiTheme="minorHAnsi" w:cstheme="minorHAnsi"/>
          <w:color w:val="000000"/>
        </w:rPr>
        <w:t xml:space="preserve">of IFM-generated CRTs is likely to have a higher proportion of </w:t>
      </w:r>
      <w:r w:rsidR="000B75A1">
        <w:rPr>
          <w:rStyle w:val="apple-style-span"/>
          <w:rFonts w:asciiTheme="minorHAnsi" w:hAnsiTheme="minorHAnsi" w:cstheme="minorHAnsi"/>
          <w:color w:val="000000"/>
        </w:rPr>
        <w:t>illegitimate</w:t>
      </w:r>
      <w:r w:rsidR="00624373">
        <w:rPr>
          <w:rStyle w:val="apple-style-span"/>
          <w:rFonts w:asciiTheme="minorHAnsi" w:hAnsiTheme="minorHAnsi" w:cstheme="minorHAnsi"/>
          <w:color w:val="000000"/>
        </w:rPr>
        <w:t xml:space="preserve"> CRTs than would be the case if the viability of sustainable timber production was less daunting as an IFM project</w:t>
      </w:r>
      <w:r w:rsidR="00E06FE6">
        <w:rPr>
          <w:rStyle w:val="apple-style-span"/>
          <w:rFonts w:asciiTheme="minorHAnsi" w:hAnsiTheme="minorHAnsi" w:cstheme="minorHAnsi"/>
          <w:color w:val="000000"/>
        </w:rPr>
        <w:t>,</w:t>
      </w:r>
      <w:r w:rsidR="001951C6">
        <w:rPr>
          <w:rStyle w:val="apple-style-span"/>
          <w:rFonts w:asciiTheme="minorHAnsi" w:hAnsiTheme="minorHAnsi" w:cstheme="minorHAnsi"/>
          <w:color w:val="000000"/>
        </w:rPr>
        <w:t xml:space="preserve"> which </w:t>
      </w:r>
      <w:r w:rsidR="00576586">
        <w:rPr>
          <w:rStyle w:val="apple-style-span"/>
          <w:rFonts w:asciiTheme="minorHAnsi" w:hAnsiTheme="minorHAnsi" w:cstheme="minorHAnsi"/>
          <w:color w:val="000000"/>
        </w:rPr>
        <w:t>c</w:t>
      </w:r>
      <w:r w:rsidR="001951C6">
        <w:rPr>
          <w:rStyle w:val="apple-style-span"/>
          <w:rFonts w:asciiTheme="minorHAnsi" w:hAnsiTheme="minorHAnsi" w:cstheme="minorHAnsi"/>
          <w:color w:val="000000"/>
        </w:rPr>
        <w:t>ould affect the protocol’s credibility</w:t>
      </w:r>
      <w:r w:rsidR="00D01EEB">
        <w:rPr>
          <w:rStyle w:val="apple-style-span"/>
          <w:rFonts w:asciiTheme="minorHAnsi" w:hAnsiTheme="minorHAnsi" w:cstheme="minorHAnsi"/>
          <w:color w:val="000000"/>
        </w:rPr>
        <w:t>.</w:t>
      </w:r>
      <w:r w:rsidR="00CD2CFC">
        <w:rPr>
          <w:rStyle w:val="apple-style-span"/>
          <w:rFonts w:asciiTheme="minorHAnsi" w:hAnsiTheme="minorHAnsi" w:cstheme="minorHAnsi"/>
          <w:color w:val="000000"/>
        </w:rPr>
        <w:t xml:space="preserve">  </w:t>
      </w:r>
    </w:p>
    <w:p w:rsidR="009D0F83" w:rsidRDefault="001F7121" w:rsidP="00CD2CFC">
      <w:pPr>
        <w:autoSpaceDE w:val="0"/>
        <w:autoSpaceDN w:val="0"/>
        <w:adjustRightInd w:val="0"/>
        <w:spacing w:after="0" w:line="480" w:lineRule="auto"/>
        <w:ind w:firstLine="720"/>
        <w:rPr>
          <w:rFonts w:asciiTheme="minorHAnsi" w:hAnsiTheme="minorHAnsi" w:cstheme="minorHAnsi"/>
          <w:color w:val="000000"/>
        </w:rPr>
      </w:pPr>
      <w:r w:rsidRPr="00C60C8F">
        <w:rPr>
          <w:rFonts w:asciiTheme="minorHAnsi" w:hAnsiTheme="minorHAnsi" w:cstheme="minorHAnsi"/>
          <w:color w:val="000000"/>
        </w:rPr>
        <w:t>One could argue that FFOs with a predisposition to let their forests grow unmanaged would be concentrated in small ownerships that cannot economically manage their timberland for forest products or afford IFM project development and implementation costs</w:t>
      </w:r>
      <w:r w:rsidR="00EC1958">
        <w:rPr>
          <w:rFonts w:asciiTheme="minorHAnsi" w:hAnsiTheme="minorHAnsi" w:cstheme="minorHAnsi"/>
          <w:color w:val="000000"/>
        </w:rPr>
        <w:t>;</w:t>
      </w:r>
      <w:r w:rsidRPr="00C60C8F">
        <w:rPr>
          <w:rFonts w:asciiTheme="minorHAnsi" w:hAnsiTheme="minorHAnsi" w:cstheme="minorHAnsi"/>
          <w:color w:val="000000"/>
        </w:rPr>
        <w:t xml:space="preserve"> </w:t>
      </w:r>
      <w:r w:rsidR="00FA4C44">
        <w:rPr>
          <w:rFonts w:asciiTheme="minorHAnsi" w:hAnsiTheme="minorHAnsi" w:cstheme="minorHAnsi"/>
          <w:color w:val="000000"/>
        </w:rPr>
        <w:t>hence</w:t>
      </w:r>
      <w:r w:rsidR="00EC1958">
        <w:rPr>
          <w:rFonts w:asciiTheme="minorHAnsi" w:hAnsiTheme="minorHAnsi" w:cstheme="minorHAnsi"/>
          <w:color w:val="000000"/>
        </w:rPr>
        <w:t>, most</w:t>
      </w:r>
      <w:r w:rsidRPr="00C60C8F">
        <w:rPr>
          <w:rFonts w:asciiTheme="minorHAnsi" w:hAnsiTheme="minorHAnsi" w:cstheme="minorHAnsi"/>
          <w:color w:val="000000"/>
        </w:rPr>
        <w:t xml:space="preserve"> would not </w:t>
      </w:r>
      <w:r w:rsidR="00EC1958">
        <w:rPr>
          <w:rFonts w:asciiTheme="minorHAnsi" w:hAnsiTheme="minorHAnsi" w:cstheme="minorHAnsi"/>
          <w:color w:val="000000"/>
        </w:rPr>
        <w:t xml:space="preserve">be expected to </w:t>
      </w:r>
      <w:r w:rsidRPr="00C60C8F">
        <w:rPr>
          <w:rFonts w:asciiTheme="minorHAnsi" w:hAnsiTheme="minorHAnsi" w:cstheme="minorHAnsi"/>
          <w:color w:val="000000"/>
        </w:rPr>
        <w:t>participate as an IFM project.  On the other hand, aggregation reduces the costs of CAR participation and facilitates the involvement of such smaller ownerships more likely to l</w:t>
      </w:r>
      <w:r>
        <w:rPr>
          <w:rFonts w:asciiTheme="minorHAnsi" w:hAnsiTheme="minorHAnsi" w:cstheme="minorHAnsi"/>
          <w:color w:val="000000"/>
        </w:rPr>
        <w:t xml:space="preserve">et nature take its course in the absence of </w:t>
      </w:r>
      <w:r w:rsidR="005632AB">
        <w:rPr>
          <w:rFonts w:asciiTheme="minorHAnsi" w:hAnsiTheme="minorHAnsi" w:cstheme="minorHAnsi"/>
          <w:color w:val="000000"/>
        </w:rPr>
        <w:t>an offset crediting mechanism</w:t>
      </w:r>
      <w:r w:rsidRPr="00C60C8F">
        <w:rPr>
          <w:rFonts w:asciiTheme="minorHAnsi" w:hAnsiTheme="minorHAnsi" w:cstheme="minorHAnsi"/>
          <w:color w:val="000000"/>
        </w:rPr>
        <w:t xml:space="preserve">.  </w:t>
      </w:r>
      <w:r w:rsidR="00EC1958">
        <w:rPr>
          <w:rFonts w:asciiTheme="minorHAnsi" w:hAnsiTheme="minorHAnsi" w:cstheme="minorHAnsi"/>
          <w:color w:val="000000"/>
        </w:rPr>
        <w:t>Thus</w:t>
      </w:r>
      <w:r w:rsidRPr="00C60C8F">
        <w:rPr>
          <w:rFonts w:asciiTheme="minorHAnsi" w:hAnsiTheme="minorHAnsi" w:cstheme="minorHAnsi"/>
          <w:color w:val="000000"/>
        </w:rPr>
        <w:t xml:space="preserve">, ratcheting up the rigor of the current set of </w:t>
      </w:r>
      <w:r w:rsidR="0015520E">
        <w:rPr>
          <w:rFonts w:asciiTheme="minorHAnsi" w:hAnsiTheme="minorHAnsi" w:cstheme="minorHAnsi"/>
          <w:color w:val="000000"/>
        </w:rPr>
        <w:t>additionality-</w:t>
      </w:r>
      <w:r w:rsidR="00A2158B">
        <w:rPr>
          <w:rFonts w:asciiTheme="minorHAnsi" w:hAnsiTheme="minorHAnsi" w:cstheme="minorHAnsi"/>
          <w:color w:val="000000"/>
        </w:rPr>
        <w:t>tests</w:t>
      </w:r>
      <w:r w:rsidRPr="00C60C8F">
        <w:rPr>
          <w:rFonts w:asciiTheme="minorHAnsi" w:hAnsiTheme="minorHAnsi" w:cstheme="minorHAnsi"/>
          <w:color w:val="000000"/>
        </w:rPr>
        <w:t xml:space="preserve"> for </w:t>
      </w:r>
      <w:r w:rsidR="00EC1958">
        <w:rPr>
          <w:rFonts w:asciiTheme="minorHAnsi" w:hAnsiTheme="minorHAnsi" w:cstheme="minorHAnsi"/>
          <w:color w:val="000000"/>
        </w:rPr>
        <w:t xml:space="preserve">IFM </w:t>
      </w:r>
      <w:r w:rsidRPr="00C60C8F">
        <w:rPr>
          <w:rFonts w:asciiTheme="minorHAnsi" w:hAnsiTheme="minorHAnsi" w:cstheme="minorHAnsi"/>
          <w:color w:val="000000"/>
        </w:rPr>
        <w:t xml:space="preserve">projects </w:t>
      </w:r>
      <w:r w:rsidR="000B75A1">
        <w:rPr>
          <w:rFonts w:asciiTheme="minorHAnsi" w:hAnsiTheme="minorHAnsi" w:cstheme="minorHAnsi"/>
          <w:color w:val="000000"/>
        </w:rPr>
        <w:t xml:space="preserve">(in an aggregate) </w:t>
      </w:r>
      <w:r w:rsidRPr="00C60C8F">
        <w:rPr>
          <w:rFonts w:asciiTheme="minorHAnsi" w:hAnsiTheme="minorHAnsi" w:cstheme="minorHAnsi"/>
          <w:color w:val="000000"/>
        </w:rPr>
        <w:t xml:space="preserve">below a certain acreage and/or without sufficient records of past forest management would </w:t>
      </w:r>
      <w:r w:rsidR="00FA4C44" w:rsidRPr="00C60C8F">
        <w:rPr>
          <w:rFonts w:asciiTheme="minorHAnsi" w:hAnsiTheme="minorHAnsi" w:cstheme="minorHAnsi"/>
          <w:color w:val="000000"/>
        </w:rPr>
        <w:t xml:space="preserve">perhaps </w:t>
      </w:r>
      <w:r w:rsidRPr="00C60C8F">
        <w:rPr>
          <w:rFonts w:asciiTheme="minorHAnsi" w:hAnsiTheme="minorHAnsi" w:cstheme="minorHAnsi"/>
          <w:color w:val="000000"/>
        </w:rPr>
        <w:t xml:space="preserve">serve as an adequate deterrent to the enrollment of lands </w:t>
      </w:r>
      <w:r w:rsidR="00EC1958">
        <w:rPr>
          <w:rFonts w:asciiTheme="minorHAnsi" w:hAnsiTheme="minorHAnsi" w:cstheme="minorHAnsi"/>
          <w:color w:val="000000"/>
        </w:rPr>
        <w:t xml:space="preserve">unlikely to be managed </w:t>
      </w:r>
      <w:r w:rsidR="00576586">
        <w:rPr>
          <w:rFonts w:asciiTheme="minorHAnsi" w:hAnsiTheme="minorHAnsi" w:cstheme="minorHAnsi"/>
          <w:color w:val="000000"/>
        </w:rPr>
        <w:t>in the absence of carbon value</w:t>
      </w:r>
      <w:r w:rsidR="00EC1958">
        <w:rPr>
          <w:rFonts w:asciiTheme="minorHAnsi" w:hAnsiTheme="minorHAnsi" w:cstheme="minorHAnsi"/>
          <w:color w:val="000000"/>
        </w:rPr>
        <w:t xml:space="preserve">, </w:t>
      </w:r>
      <w:r w:rsidRPr="00C60C8F">
        <w:rPr>
          <w:rFonts w:asciiTheme="minorHAnsi" w:hAnsiTheme="minorHAnsi" w:cstheme="minorHAnsi"/>
          <w:color w:val="000000"/>
        </w:rPr>
        <w:t xml:space="preserve">without imposing </w:t>
      </w:r>
      <w:r w:rsidR="00B02A70">
        <w:rPr>
          <w:rFonts w:asciiTheme="minorHAnsi" w:hAnsiTheme="minorHAnsi" w:cstheme="minorHAnsi"/>
          <w:color w:val="000000"/>
        </w:rPr>
        <w:t>undue</w:t>
      </w:r>
      <w:r w:rsidRPr="00C60C8F">
        <w:rPr>
          <w:rFonts w:asciiTheme="minorHAnsi" w:hAnsiTheme="minorHAnsi" w:cstheme="minorHAnsi"/>
          <w:color w:val="000000"/>
        </w:rPr>
        <w:t xml:space="preserve"> burdens on projects </w:t>
      </w:r>
      <w:r w:rsidR="00E65950">
        <w:rPr>
          <w:rFonts w:asciiTheme="minorHAnsi" w:hAnsiTheme="minorHAnsi" w:cstheme="minorHAnsi"/>
          <w:color w:val="000000"/>
        </w:rPr>
        <w:t>more likely to be additional</w:t>
      </w:r>
      <w:r w:rsidR="00576586">
        <w:rPr>
          <w:rFonts w:asciiTheme="minorHAnsi" w:hAnsiTheme="minorHAnsi" w:cstheme="minorHAnsi"/>
          <w:color w:val="000000"/>
        </w:rPr>
        <w:t xml:space="preserve">. </w:t>
      </w:r>
    </w:p>
    <w:p w:rsidR="00696BCC" w:rsidRDefault="00D31E1F" w:rsidP="00A977F6">
      <w:pPr>
        <w:autoSpaceDE w:val="0"/>
        <w:autoSpaceDN w:val="0"/>
        <w:adjustRightInd w:val="0"/>
        <w:spacing w:after="0" w:line="480" w:lineRule="auto"/>
        <w:ind w:firstLine="720"/>
        <w:rPr>
          <w:rFonts w:asciiTheme="minorHAnsi" w:hAnsiTheme="minorHAnsi" w:cstheme="minorHAnsi"/>
        </w:rPr>
      </w:pPr>
      <w:r>
        <w:rPr>
          <w:rFonts w:asciiTheme="minorHAnsi" w:hAnsiTheme="minorHAnsi" w:cstheme="minorHAnsi"/>
        </w:rPr>
        <w:t>I</w:t>
      </w:r>
      <w:r w:rsidR="00B30DC8">
        <w:rPr>
          <w:rFonts w:asciiTheme="minorHAnsi" w:hAnsiTheme="minorHAnsi" w:cstheme="minorHAnsi"/>
        </w:rPr>
        <w:t xml:space="preserve">n response to public comments, </w:t>
      </w:r>
      <w:r w:rsidR="001D6A6C">
        <w:rPr>
          <w:rFonts w:asciiTheme="minorHAnsi" w:hAnsiTheme="minorHAnsi" w:cstheme="minorHAnsi"/>
        </w:rPr>
        <w:t xml:space="preserve">CAR staff and </w:t>
      </w:r>
      <w:r w:rsidR="00B30DC8">
        <w:rPr>
          <w:rFonts w:asciiTheme="minorHAnsi" w:hAnsiTheme="minorHAnsi" w:cstheme="minorHAnsi"/>
        </w:rPr>
        <w:t>t</w:t>
      </w:r>
      <w:r w:rsidR="00CF0684">
        <w:rPr>
          <w:rFonts w:asciiTheme="minorHAnsi" w:hAnsiTheme="minorHAnsi" w:cstheme="minorHAnsi"/>
        </w:rPr>
        <w:t xml:space="preserve">he protocol </w:t>
      </w:r>
      <w:r w:rsidR="00CF0684" w:rsidRPr="00CF0684">
        <w:rPr>
          <w:rFonts w:asciiTheme="minorHAnsi" w:hAnsiTheme="minorHAnsi" w:cstheme="minorHAnsi"/>
          <w:bCs/>
        </w:rPr>
        <w:t xml:space="preserve">workgroup </w:t>
      </w:r>
      <w:r w:rsidR="00B30DC8">
        <w:rPr>
          <w:rFonts w:asciiTheme="minorHAnsi" w:hAnsiTheme="minorHAnsi" w:cstheme="minorHAnsi"/>
          <w:bCs/>
        </w:rPr>
        <w:t xml:space="preserve">asserted that </w:t>
      </w:r>
      <w:r w:rsidR="001D6A6C">
        <w:rPr>
          <w:rFonts w:asciiTheme="minorHAnsi" w:hAnsiTheme="minorHAnsi" w:cstheme="minorHAnsi"/>
          <w:bCs/>
        </w:rPr>
        <w:t>they</w:t>
      </w:r>
      <w:r w:rsidR="00CF0684">
        <w:rPr>
          <w:rFonts w:asciiTheme="minorHAnsi" w:hAnsiTheme="minorHAnsi" w:cstheme="minorHAnsi"/>
          <w:bCs/>
        </w:rPr>
        <w:t xml:space="preserve"> “</w:t>
      </w:r>
      <w:r w:rsidR="00CF0684" w:rsidRPr="00CF0684">
        <w:rPr>
          <w:rFonts w:asciiTheme="minorHAnsi" w:hAnsiTheme="minorHAnsi" w:cstheme="minorHAnsi"/>
          <w:bCs/>
        </w:rPr>
        <w:t>operated under a principle of designing standards that would ‘do no harm’ to background ‘natural’ forest conditions</w:t>
      </w:r>
      <w:r w:rsidR="00CF0684">
        <w:rPr>
          <w:rFonts w:asciiTheme="minorHAnsi" w:hAnsiTheme="minorHAnsi" w:cstheme="minorHAnsi"/>
          <w:bCs/>
        </w:rPr>
        <w:t>”</w:t>
      </w:r>
      <w:r w:rsidR="001749D2">
        <w:rPr>
          <w:rFonts w:asciiTheme="minorHAnsi" w:hAnsiTheme="minorHAnsi" w:cstheme="minorHAnsi"/>
          <w:bCs/>
        </w:rPr>
        <w:t xml:space="preserve"> </w:t>
      </w:r>
      <w:r w:rsidR="001D6A6C">
        <w:rPr>
          <w:rFonts w:asciiTheme="minorHAnsi" w:hAnsiTheme="minorHAnsi" w:cstheme="minorHAnsi"/>
          <w:bCs/>
          <w:color w:val="000000"/>
        </w:rPr>
        <w:fldChar w:fldCharType="begin"/>
      </w:r>
      <w:r w:rsidR="007722C4">
        <w:rPr>
          <w:rFonts w:asciiTheme="minorHAnsi" w:hAnsiTheme="minorHAnsi" w:cstheme="minorHAnsi"/>
          <w:bCs/>
          <w:color w:val="000000"/>
        </w:rPr>
        <w:instrText xml:space="preserve"> ADDIN EN.CITE &lt;EndNote&gt;&lt;Cite ExcludeAuth="1"&gt;&lt;Year&gt;CAR 2009&lt;/Year&gt;&lt;RecNum&gt;286&lt;/RecNum&gt;&lt;DisplayText&gt;(CAR 2009)&lt;/DisplayText&gt;&lt;record&gt;&lt;rec-number&gt;286&lt;/rec-number&gt;&lt;foreign-keys&gt;&lt;key app="EN" db-id="a90s5zadewrawxeer07v2f90xr5vxv022sat"&gt;286&lt;/key&gt;&lt;/foreign-keys&gt;&lt;ref-type name="Unpublished Work"&gt;34&lt;/ref-type&gt;&lt;contributors&gt;&lt;/contributors&gt;&lt;titles&gt;&lt;title&gt;Summary of comments &amp;amp; responses on the draft forest project protocol, Version 3.0&lt;/title&gt;&lt;/titles&gt;&lt;pages&gt;132&lt;/pages&gt;&lt;dates&gt;&lt;year&gt;CAR 2009&lt;/year&gt;&lt;pub-dates&gt;&lt;date&gt;August 4, 20109&lt;/date&gt;&lt;/pub-dates&gt;&lt;/dates&gt;&lt;pub-location&gt;Los Angelas, CA&lt;/pub-location&gt;&lt;publisher&gt;Climate Action Reserve&lt;/publisher&gt;&lt;urls&gt;&lt;/urls&gt;&lt;/record&gt;&lt;/Cite&gt;&lt;/EndNote&gt;</w:instrText>
      </w:r>
      <w:r w:rsidR="001D6A6C">
        <w:rPr>
          <w:rFonts w:asciiTheme="minorHAnsi" w:hAnsiTheme="minorHAnsi" w:cstheme="minorHAnsi"/>
          <w:bCs/>
          <w:color w:val="000000"/>
        </w:rPr>
        <w:fldChar w:fldCharType="separate"/>
      </w:r>
      <w:r w:rsidR="00A87D07">
        <w:rPr>
          <w:rFonts w:asciiTheme="minorHAnsi" w:hAnsiTheme="minorHAnsi" w:cstheme="minorHAnsi"/>
          <w:bCs/>
          <w:noProof/>
          <w:color w:val="000000"/>
        </w:rPr>
        <w:t>(</w:t>
      </w:r>
      <w:hyperlink w:anchor="_ENREF_1" w:tooltip=", CAR 2009 #286" w:history="1">
        <w:r w:rsidR="001E4C88">
          <w:rPr>
            <w:rFonts w:asciiTheme="minorHAnsi" w:hAnsiTheme="minorHAnsi" w:cstheme="minorHAnsi"/>
            <w:bCs/>
            <w:noProof/>
            <w:color w:val="000000"/>
          </w:rPr>
          <w:t xml:space="preserve">CAR </w:t>
        </w:r>
        <w:r w:rsidR="001E4C88">
          <w:rPr>
            <w:rFonts w:asciiTheme="minorHAnsi" w:hAnsiTheme="minorHAnsi" w:cstheme="minorHAnsi"/>
            <w:bCs/>
            <w:noProof/>
            <w:color w:val="000000"/>
          </w:rPr>
          <w:lastRenderedPageBreak/>
          <w:t>2009</w:t>
        </w:r>
      </w:hyperlink>
      <w:r w:rsidR="00A87D07">
        <w:rPr>
          <w:rFonts w:asciiTheme="minorHAnsi" w:hAnsiTheme="minorHAnsi" w:cstheme="minorHAnsi"/>
          <w:bCs/>
          <w:noProof/>
          <w:color w:val="000000"/>
        </w:rPr>
        <w:t>)</w:t>
      </w:r>
      <w:r w:rsidR="001D6A6C">
        <w:rPr>
          <w:rFonts w:asciiTheme="minorHAnsi" w:hAnsiTheme="minorHAnsi" w:cstheme="minorHAnsi"/>
          <w:bCs/>
          <w:color w:val="000000"/>
        </w:rPr>
        <w:fldChar w:fldCharType="end"/>
      </w:r>
      <w:r w:rsidR="00CF0684" w:rsidRPr="00CF0684">
        <w:rPr>
          <w:rFonts w:asciiTheme="minorHAnsi" w:hAnsiTheme="minorHAnsi" w:cstheme="minorHAnsi"/>
          <w:bCs/>
        </w:rPr>
        <w:t xml:space="preserve">. </w:t>
      </w:r>
      <w:r w:rsidR="001749D2">
        <w:rPr>
          <w:rFonts w:asciiTheme="minorHAnsi" w:hAnsiTheme="minorHAnsi" w:cstheme="minorHAnsi"/>
          <w:bCs/>
        </w:rPr>
        <w:t xml:space="preserve"> </w:t>
      </w:r>
      <w:r w:rsidR="00C212B2">
        <w:t>In pursuit of</w:t>
      </w:r>
      <w:r w:rsidR="00B30DC8">
        <w:t xml:space="preserve"> this goal, </w:t>
      </w:r>
      <w:r w:rsidR="00C212B2">
        <w:t>it</w:t>
      </w:r>
      <w:r w:rsidR="00B30DC8">
        <w:t xml:space="preserve"> appears </w:t>
      </w:r>
      <w:r w:rsidR="00C212B2">
        <w:t xml:space="preserve">that the </w:t>
      </w:r>
      <w:r w:rsidR="00A759E1">
        <w:t>CAR</w:t>
      </w:r>
      <w:r w:rsidR="00C212B2">
        <w:t xml:space="preserve"> protocol was designed too broadly </w:t>
      </w:r>
      <w:r w:rsidR="00865334">
        <w:t xml:space="preserve">in some ways </w:t>
      </w:r>
      <w:r w:rsidR="00C212B2">
        <w:t xml:space="preserve">and </w:t>
      </w:r>
      <w:r w:rsidR="00865334">
        <w:t xml:space="preserve">too </w:t>
      </w:r>
      <w:r w:rsidR="00C212B2">
        <w:t>restrictive</w:t>
      </w:r>
      <w:r w:rsidR="00865334">
        <w:t xml:space="preserve"> in others</w:t>
      </w:r>
      <w:r w:rsidR="00C212B2">
        <w:t xml:space="preserve">, for which </w:t>
      </w:r>
      <w:r w:rsidR="00E06A3C">
        <w:t>CAR</w:t>
      </w:r>
      <w:r w:rsidR="00C212B2">
        <w:t xml:space="preserve"> has be</w:t>
      </w:r>
      <w:r w:rsidR="00A977F6">
        <w:t xml:space="preserve">en both lauded and criticized.  </w:t>
      </w:r>
      <w:r w:rsidR="004518BE">
        <w:t xml:space="preserve">The reversal compensation issue is a key example of </w:t>
      </w:r>
      <w:r w:rsidR="00A759E1">
        <w:t xml:space="preserve">how the CAR protocol was structured too broadly.  </w:t>
      </w:r>
      <w:r w:rsidR="002E4126">
        <w:t xml:space="preserve">The rule as written seems appropriate for </w:t>
      </w:r>
      <w:r w:rsidR="004518BE">
        <w:t xml:space="preserve">avoided deforestation </w:t>
      </w:r>
      <w:r w:rsidR="002E4126">
        <w:t xml:space="preserve">projects that by definition are meant to permanently protect forest carbon stocks; </w:t>
      </w:r>
      <w:r w:rsidR="00B10059">
        <w:t>yet</w:t>
      </w:r>
      <w:r w:rsidR="006F47C4">
        <w:t xml:space="preserve"> it makes no</w:t>
      </w:r>
      <w:r w:rsidR="002E4126">
        <w:t xml:space="preserve"> sense for</w:t>
      </w:r>
      <w:r w:rsidR="004518BE">
        <w:t xml:space="preserve"> IFM projects</w:t>
      </w:r>
      <w:r w:rsidR="002E4126">
        <w:t xml:space="preserve"> that may involve </w:t>
      </w:r>
      <w:r w:rsidR="00B10059">
        <w:t xml:space="preserve">temporary but </w:t>
      </w:r>
      <w:r w:rsidR="002E4126">
        <w:t>significant reductions in carbon stocks</w:t>
      </w:r>
      <w:r w:rsidR="00B10059">
        <w:t xml:space="preserve"> at </w:t>
      </w:r>
      <w:r w:rsidR="008E3634">
        <w:t>one or more</w:t>
      </w:r>
      <w:r w:rsidR="00E65950">
        <w:t xml:space="preserve"> </w:t>
      </w:r>
      <w:r w:rsidR="00270F54">
        <w:t>instances</w:t>
      </w:r>
      <w:r w:rsidR="00B10059">
        <w:t xml:space="preserve"> in the 100 year </w:t>
      </w:r>
      <w:r w:rsidR="00E65950">
        <w:t>p</w:t>
      </w:r>
      <w:r w:rsidR="008E3634">
        <w:t>roject</w:t>
      </w:r>
      <w:r w:rsidR="004518BE">
        <w:t xml:space="preserve">. </w:t>
      </w:r>
      <w:r w:rsidR="00714C2E">
        <w:t xml:space="preserve"> </w:t>
      </w:r>
      <w:r w:rsidR="008E3634">
        <w:rPr>
          <w:rFonts w:asciiTheme="minorHAnsi" w:hAnsiTheme="minorHAnsi" w:cstheme="minorHAnsi"/>
        </w:rPr>
        <w:t>Moreover, t</w:t>
      </w:r>
      <w:r w:rsidR="008E3634">
        <w:rPr>
          <w:rFonts w:asciiTheme="minorHAnsi" w:hAnsiTheme="minorHAnsi" w:cstheme="minorHAnsi"/>
          <w:color w:val="000000"/>
        </w:rPr>
        <w:t xml:space="preserve">he diversity of </w:t>
      </w:r>
      <w:r w:rsidR="008E3634" w:rsidRPr="00951EC7">
        <w:rPr>
          <w:rFonts w:asciiTheme="minorHAnsi" w:hAnsiTheme="minorHAnsi" w:cstheme="minorHAnsi"/>
          <w:color w:val="000000"/>
        </w:rPr>
        <w:t xml:space="preserve">forest ownership and management intentions </w:t>
      </w:r>
      <w:r w:rsidR="008E3634">
        <w:rPr>
          <w:rFonts w:asciiTheme="minorHAnsi" w:hAnsiTheme="minorHAnsi" w:cstheme="minorHAnsi"/>
          <w:color w:val="000000"/>
        </w:rPr>
        <w:t xml:space="preserve">in the U.S. </w:t>
      </w:r>
      <w:r w:rsidR="008E3634" w:rsidRPr="00951EC7">
        <w:rPr>
          <w:rFonts w:asciiTheme="minorHAnsi" w:hAnsiTheme="minorHAnsi" w:cstheme="minorHAnsi"/>
          <w:color w:val="000000"/>
        </w:rPr>
        <w:t xml:space="preserve">does not </w:t>
      </w:r>
      <w:r w:rsidR="008E3634">
        <w:rPr>
          <w:rFonts w:asciiTheme="minorHAnsi" w:hAnsiTheme="minorHAnsi" w:cstheme="minorHAnsi"/>
          <w:color w:val="000000"/>
        </w:rPr>
        <w:t xml:space="preserve">seem to </w:t>
      </w:r>
      <w:r w:rsidR="008E3634" w:rsidRPr="00951EC7">
        <w:rPr>
          <w:rFonts w:asciiTheme="minorHAnsi" w:hAnsiTheme="minorHAnsi" w:cstheme="minorHAnsi"/>
          <w:color w:val="000000"/>
        </w:rPr>
        <w:t xml:space="preserve">lend support to the notion of an all-encompassing standardized IFM </w:t>
      </w:r>
      <w:r w:rsidR="00A12AAE">
        <w:rPr>
          <w:rFonts w:asciiTheme="minorHAnsi" w:hAnsiTheme="minorHAnsi" w:cstheme="minorHAnsi"/>
          <w:color w:val="000000"/>
        </w:rPr>
        <w:t>protocol</w:t>
      </w:r>
      <w:r w:rsidR="008E3634" w:rsidRPr="00951EC7">
        <w:rPr>
          <w:rFonts w:asciiTheme="minorHAnsi" w:hAnsiTheme="minorHAnsi" w:cstheme="minorHAnsi"/>
          <w:color w:val="000000"/>
        </w:rPr>
        <w:t xml:space="preserve"> that is </w:t>
      </w:r>
      <w:r w:rsidR="008E3634">
        <w:rPr>
          <w:rFonts w:asciiTheme="minorHAnsi" w:hAnsiTheme="minorHAnsi" w:cstheme="minorHAnsi"/>
          <w:color w:val="000000"/>
        </w:rPr>
        <w:t xml:space="preserve">largely </w:t>
      </w:r>
      <w:r w:rsidR="008E3634" w:rsidRPr="00951EC7">
        <w:rPr>
          <w:rFonts w:asciiTheme="minorHAnsi" w:hAnsiTheme="minorHAnsi" w:cstheme="minorHAnsi"/>
          <w:color w:val="000000"/>
        </w:rPr>
        <w:t>independent of owner characteristics and regional difference</w:t>
      </w:r>
      <w:r w:rsidR="008E3634">
        <w:rPr>
          <w:rFonts w:asciiTheme="minorHAnsi" w:hAnsiTheme="minorHAnsi" w:cstheme="minorHAnsi"/>
          <w:color w:val="000000"/>
        </w:rPr>
        <w:t>s in applied management.</w:t>
      </w:r>
      <w:r w:rsidR="008139DD">
        <w:rPr>
          <w:rFonts w:asciiTheme="minorHAnsi" w:hAnsiTheme="minorHAnsi" w:cstheme="minorHAnsi"/>
          <w:color w:val="000000"/>
        </w:rPr>
        <w:t xml:space="preserve"> </w:t>
      </w:r>
      <w:r w:rsidR="008139DD" w:rsidRPr="008139DD">
        <w:rPr>
          <w:rFonts w:asciiTheme="minorHAnsi" w:hAnsiTheme="minorHAnsi" w:cstheme="minorHAnsi"/>
          <w:color w:val="000000"/>
        </w:rPr>
        <w:t xml:space="preserve"> </w:t>
      </w:r>
    </w:p>
    <w:p w:rsidR="00F75015" w:rsidRPr="00F75015" w:rsidRDefault="00696BCC" w:rsidP="00AD097B">
      <w:pPr>
        <w:autoSpaceDE w:val="0"/>
        <w:autoSpaceDN w:val="0"/>
        <w:adjustRightInd w:val="0"/>
        <w:spacing w:after="0" w:line="480" w:lineRule="auto"/>
        <w:ind w:firstLine="720"/>
        <w:rPr>
          <w:rFonts w:asciiTheme="minorHAnsi" w:hAnsiTheme="minorHAnsi" w:cstheme="minorHAnsi"/>
          <w:color w:val="000000"/>
        </w:rPr>
      </w:pPr>
      <w:r>
        <w:t xml:space="preserve">While natural forest development sequesters more carbon than any form of active management </w:t>
      </w:r>
      <w:r>
        <w:fldChar w:fldCharType="begin"/>
      </w:r>
      <w:r w:rsidR="00A87D07">
        <w:instrText xml:space="preserve"> ADDIN EN.CITE &lt;EndNote&gt;&lt;Cite&gt;&lt;Author&gt;Nunery&lt;/Author&gt;&lt;Year&gt;2010&lt;/Year&gt;&lt;RecNum&gt;271&lt;/RecNum&gt;&lt;DisplayText&gt;(Nunery and Keeton 2010)&lt;/DisplayText&gt;&lt;record&gt;&lt;rec-number&gt;271&lt;/rec-number&gt;&lt;foreign-keys&gt;&lt;key app="EN" db-id="a90s5zadewrawxeer07v2f90xr5vxv022sat"&gt;271&lt;/key&gt;&lt;/foreign-keys&gt;&lt;ref-type name="Journal Article"&gt;17&lt;/ref-type&gt;&lt;contributors&gt;&lt;authors&gt;&lt;author&gt;Nunery, Jared S.&lt;/author&gt;&lt;author&gt;William S. Keeton&lt;/author&gt;&lt;/authors&gt;&lt;/contributors&gt;&lt;titles&gt;&lt;title&gt;Forest carbon storage in the northeastern United States: net effects of harvesting frequency, post-harvest retention, and wood products&lt;/title&gt;&lt;secondary-title&gt;Forest Ecology and Management&lt;/secondary-title&gt;&lt;/titles&gt;&lt;periodical&gt;&lt;full-title&gt;Forest Ecology and Management&lt;/full-title&gt;&lt;abbr-1&gt;For. Ecol. Manage.&lt;/abbr-1&gt;&lt;/periodical&gt;&lt;pages&gt;1363-1375&lt;/pages&gt;&lt;volume&gt;259&lt;/volume&gt;&lt;dates&gt;&lt;year&gt;2010&lt;/year&gt;&lt;/dates&gt;&lt;urls&gt;&lt;related-urls&gt;&lt;url&gt;http://www.uvm.edu/rsenr/wkeeton/?Page=pubs.html&lt;/url&gt;&lt;/related-urls&gt;&lt;/urls&gt;&lt;/record&gt;&lt;/Cite&gt;&lt;/EndNote&gt;</w:instrText>
      </w:r>
      <w:r>
        <w:fldChar w:fldCharType="separate"/>
      </w:r>
      <w:r w:rsidR="00A87D07">
        <w:rPr>
          <w:noProof/>
        </w:rPr>
        <w:t>(</w:t>
      </w:r>
      <w:hyperlink w:anchor="_ENREF_107" w:tooltip="Nunery, 2010 #271" w:history="1">
        <w:r w:rsidR="001E4C88">
          <w:rPr>
            <w:noProof/>
          </w:rPr>
          <w:t>Nunery and Keeton 2010</w:t>
        </w:r>
      </w:hyperlink>
      <w:r w:rsidR="00A87D07">
        <w:rPr>
          <w:noProof/>
        </w:rPr>
        <w:t>)</w:t>
      </w:r>
      <w:r>
        <w:fldChar w:fldCharType="end"/>
      </w:r>
      <w:r>
        <w:t xml:space="preserve">, the carbon benefits of IFM have principally been investigated in the context of managed forests only </w:t>
      </w:r>
      <w:r w:rsidR="001E5C07">
        <w:fldChar w:fldCharType="begin">
          <w:fldData xml:space="preserve">PEVuZE5vdGU+PENpdGU+PEF1dGhvcj5HdXRyaWNoPC9BdXRob3I+PFllYXI+MjAwNzwvWWVhcj48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</w:fldData>
        </w:fldChar>
      </w:r>
      <w:r w:rsidR="00737C5E">
        <w:instrText xml:space="preserve"> ADDIN EN.CITE </w:instrText>
      </w:r>
      <w:r w:rsidR="00737C5E">
        <w:fldChar w:fldCharType="begin">
          <w:fldData xml:space="preserve">PEVuZE5vdGU+PENpdGU+PEF1dGhvcj5HdXRyaWNoPC9BdXRob3I+PFllYXI+MjAwNzwvWWVhcj48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</w:fldData>
        </w:fldChar>
      </w:r>
      <w:r w:rsidR="00737C5E">
        <w:instrText xml:space="preserve"> ADDIN EN.CITE.DATA </w:instrText>
      </w:r>
      <w:r w:rsidR="00737C5E">
        <w:fldChar w:fldCharType="end"/>
      </w:r>
      <w:r w:rsidR="001E5C07">
        <w:fldChar w:fldCharType="separate"/>
      </w:r>
      <w:r w:rsidR="00737C5E">
        <w:rPr>
          <w:noProof/>
        </w:rPr>
        <w:t>(e.g.</w:t>
      </w:r>
      <w:hyperlink w:anchor="_ENREF_64" w:tooltip="Gutrich, 2007 #175" w:history="1">
        <w:r w:rsidR="001E4C88">
          <w:rPr>
            <w:noProof/>
          </w:rPr>
          <w:t>Gutrich and Howarth 2007</w:t>
        </w:r>
      </w:hyperlink>
      <w:r w:rsidR="00737C5E">
        <w:rPr>
          <w:noProof/>
        </w:rPr>
        <w:t xml:space="preserve">; </w:t>
      </w:r>
      <w:hyperlink w:anchor="_ENREF_131" w:tooltip="Sohngen, 2008 #43" w:history="1">
        <w:r w:rsidR="001E4C88">
          <w:rPr>
            <w:noProof/>
          </w:rPr>
          <w:t>Sohngen and Brown 2008</w:t>
        </w:r>
      </w:hyperlink>
      <w:r w:rsidR="00737C5E">
        <w:rPr>
          <w:noProof/>
        </w:rPr>
        <w:t xml:space="preserve">; </w:t>
      </w:r>
      <w:hyperlink w:anchor="_ENREF_56" w:tooltip="Galik, 2009b #97" w:history="1">
        <w:r w:rsidR="001E4C88">
          <w:rPr>
            <w:noProof/>
          </w:rPr>
          <w:t>Galik et al. 2009b</w:t>
        </w:r>
      </w:hyperlink>
      <w:r w:rsidR="00737C5E">
        <w:rPr>
          <w:noProof/>
        </w:rPr>
        <w:t>)</w:t>
      </w:r>
      <w:r w:rsidR="001E5C07">
        <w:fldChar w:fldCharType="end"/>
      </w:r>
      <w:r w:rsidR="00433E2F">
        <w:t>, that is,</w:t>
      </w:r>
      <w:r w:rsidR="008706B7">
        <w:t xml:space="preserve"> </w:t>
      </w:r>
      <w:r w:rsidR="004130F5">
        <w:t>under the assumption</w:t>
      </w:r>
      <w:r w:rsidR="00AF2576">
        <w:t xml:space="preserve"> that </w:t>
      </w:r>
      <w:r w:rsidR="00C16F8B">
        <w:t xml:space="preserve">management practices are </w:t>
      </w:r>
      <w:r w:rsidR="00C113EE">
        <w:t>altered not ceased</w:t>
      </w:r>
      <w:r w:rsidR="004C02CF">
        <w:t>.</w:t>
      </w:r>
      <w:r w:rsidR="00AF2576">
        <w:t xml:space="preserve"> </w:t>
      </w:r>
      <w:r w:rsidR="004C02CF">
        <w:t xml:space="preserve"> </w:t>
      </w:r>
      <w:r w:rsidR="00AF2576">
        <w:t xml:space="preserve">Thus, </w:t>
      </w:r>
      <w:r w:rsidR="004C02CF">
        <w:t>“</w:t>
      </w:r>
      <w:r w:rsidR="00AF2576">
        <w:t>natural</w:t>
      </w:r>
      <w:r w:rsidR="004C02CF">
        <w:t>”</w:t>
      </w:r>
      <w:r w:rsidR="00AF2576">
        <w:t xml:space="preserve"> forest conditions </w:t>
      </w:r>
      <w:r w:rsidR="00552532">
        <w:t xml:space="preserve">have never before been as pertinent to the </w:t>
      </w:r>
      <w:r w:rsidR="004316C3">
        <w:t xml:space="preserve">discussion on </w:t>
      </w:r>
      <w:r w:rsidR="00AF2576">
        <w:t xml:space="preserve">IFM </w:t>
      </w:r>
      <w:r w:rsidR="00552532">
        <w:t>as they are in the CAR protocol</w:t>
      </w:r>
      <w:r w:rsidR="00AF2576">
        <w:t xml:space="preserve">.  </w:t>
      </w:r>
      <w:r w:rsidR="004130F5">
        <w:t>T</w:t>
      </w:r>
      <w:r w:rsidR="004C02CF">
        <w:t>his “natural” forest consideration</w:t>
      </w:r>
      <w:r w:rsidR="004130F5">
        <w:t xml:space="preserve"> may explain why</w:t>
      </w:r>
      <w:r w:rsidR="00B30DC8" w:rsidRPr="00AD4A75">
        <w:t xml:space="preserve"> </w:t>
      </w:r>
      <w:r w:rsidR="004130F5">
        <w:t xml:space="preserve">CAR </w:t>
      </w:r>
      <w:r w:rsidR="00B10059">
        <w:t>appears</w:t>
      </w:r>
      <w:r w:rsidR="00433E2F">
        <w:t xml:space="preserve"> to </w:t>
      </w:r>
      <w:r w:rsidR="00B10059">
        <w:t>essentially</w:t>
      </w:r>
      <w:r w:rsidR="00433E2F">
        <w:t xml:space="preserve"> discourage </w:t>
      </w:r>
      <w:r w:rsidR="00B30DC8" w:rsidRPr="00AD4A75">
        <w:t xml:space="preserve">engagement from those </w:t>
      </w:r>
      <w:r w:rsidR="00433E2F" w:rsidRPr="00AD4A75">
        <w:t>with</w:t>
      </w:r>
      <w:r w:rsidR="00433E2F">
        <w:t xml:space="preserve"> </w:t>
      </w:r>
      <w:r w:rsidR="00433E2F" w:rsidRPr="00AD4A75">
        <w:t>i</w:t>
      </w:r>
      <w:r w:rsidR="00433E2F">
        <w:t xml:space="preserve">nterests in </w:t>
      </w:r>
      <w:r w:rsidR="00B10059">
        <w:t xml:space="preserve">sustainable </w:t>
      </w:r>
      <w:r w:rsidR="00433E2F">
        <w:t>timber production as opposed to those that would</w:t>
      </w:r>
      <w:r w:rsidR="00B30DC8">
        <w:t xml:space="preserve"> </w:t>
      </w:r>
      <w:r w:rsidR="00252599">
        <w:t xml:space="preserve">not pursue overstory removals </w:t>
      </w:r>
      <w:r w:rsidR="009B72CD">
        <w:t>to maximize carbon revenues</w:t>
      </w:r>
      <w:r w:rsidR="00433E2F">
        <w:t>.</w:t>
      </w:r>
      <w:r w:rsidR="00F75015">
        <w:t xml:space="preserve"> </w:t>
      </w:r>
      <w:r w:rsidR="00B10059">
        <w:t xml:space="preserve"> </w:t>
      </w:r>
      <w:r w:rsidR="00CE6256">
        <w:rPr>
          <w:rFonts w:asciiTheme="minorHAnsi" w:hAnsiTheme="minorHAnsi" w:cstheme="minorHAnsi"/>
          <w:color w:val="000000"/>
        </w:rPr>
        <w:t xml:space="preserve">It should be noted that the 100 year agreement to maintain carbon gains made by CAR participants minimizes the probability of conversion to developed use on project area.  </w:t>
      </w:r>
      <w:r w:rsidR="00F75015">
        <w:rPr>
          <w:rFonts w:asciiTheme="minorHAnsi" w:hAnsiTheme="minorHAnsi" w:cstheme="minorHAnsi"/>
          <w:color w:val="000000"/>
        </w:rPr>
        <w:t>However, t</w:t>
      </w:r>
      <w:r w:rsidR="00CE6256">
        <w:rPr>
          <w:rFonts w:asciiTheme="minorHAnsi" w:hAnsiTheme="minorHAnsi" w:cstheme="minorHAnsi"/>
          <w:color w:val="000000"/>
        </w:rPr>
        <w:t xml:space="preserve">he chances of development are </w:t>
      </w:r>
      <w:r w:rsidR="00F75015">
        <w:rPr>
          <w:rFonts w:asciiTheme="minorHAnsi" w:hAnsiTheme="minorHAnsi" w:cstheme="minorHAnsi"/>
          <w:color w:val="000000"/>
        </w:rPr>
        <w:t>also</w:t>
      </w:r>
      <w:r w:rsidR="00CE6256">
        <w:rPr>
          <w:rFonts w:asciiTheme="minorHAnsi" w:hAnsiTheme="minorHAnsi" w:cstheme="minorHAnsi"/>
          <w:color w:val="000000"/>
        </w:rPr>
        <w:t xml:space="preserve"> reduced if a tract remains a productive asset, in terms of the commercial sale of forest products, rather than an expendable asset.  </w:t>
      </w:r>
      <w:r w:rsidR="00F75015">
        <w:rPr>
          <w:rFonts w:asciiTheme="minorHAnsi" w:hAnsiTheme="minorHAnsi" w:cstheme="minorHAnsi"/>
          <w:color w:val="000000"/>
        </w:rPr>
        <w:t>Indeed</w:t>
      </w:r>
      <w:r w:rsidR="00CE6256">
        <w:rPr>
          <w:rFonts w:asciiTheme="minorHAnsi" w:hAnsiTheme="minorHAnsi" w:cstheme="minorHAnsi"/>
          <w:color w:val="000000"/>
        </w:rPr>
        <w:t xml:space="preserve">, </w:t>
      </w:r>
      <w:r w:rsidR="00F75015">
        <w:rPr>
          <w:rFonts w:asciiTheme="minorHAnsi" w:hAnsiTheme="minorHAnsi" w:cstheme="minorHAnsi"/>
          <w:color w:val="000000"/>
        </w:rPr>
        <w:t xml:space="preserve">it seems that </w:t>
      </w:r>
      <w:r w:rsidR="00CE6256">
        <w:rPr>
          <w:rFonts w:asciiTheme="minorHAnsi" w:hAnsiTheme="minorHAnsi" w:cstheme="minorHAnsi"/>
          <w:color w:val="000000"/>
        </w:rPr>
        <w:t xml:space="preserve">the added value from an IFM protocol should ultimately come from its ability to dovetail with sustainable forestry to enhance the permanence of IFM project activity in both ways as opposed to working primarily for forest preservation efforts. </w:t>
      </w:r>
    </w:p>
    <w:p w:rsidR="009D0F83" w:rsidRPr="002B58DD" w:rsidRDefault="009D0F83" w:rsidP="00AD097B">
      <w:pPr>
        <w:keepNext/>
        <w:numPr>
          <w:ilvl w:val="1"/>
          <w:numId w:val="21"/>
        </w:numPr>
        <w:autoSpaceDE w:val="0"/>
        <w:autoSpaceDN w:val="0"/>
        <w:adjustRightInd w:val="0"/>
        <w:spacing w:line="480" w:lineRule="auto"/>
        <w:rPr>
          <w:b/>
          <w:i/>
          <w:noProof/>
        </w:rPr>
      </w:pPr>
      <w:r>
        <w:rPr>
          <w:b/>
          <w:i/>
          <w:noProof/>
        </w:rPr>
        <w:lastRenderedPageBreak/>
        <w:t>Hybrid Baseline Approach</w:t>
      </w:r>
    </w:p>
    <w:p w:rsidR="00A31180" w:rsidRDefault="009D0F83" w:rsidP="00A31180">
      <w:pPr>
        <w:tabs>
          <w:tab w:val="left" w:pos="720"/>
        </w:tabs>
        <w:spacing w:line="480" w:lineRule="auto"/>
        <w:rPr>
          <w:rFonts w:asciiTheme="minorHAnsi" w:hAnsiTheme="minorHAnsi" w:cstheme="minorHAnsi"/>
          <w:color w:val="000000"/>
        </w:rPr>
      </w:pPr>
      <w:r>
        <w:rPr>
          <w:rFonts w:asciiTheme="minorHAnsi" w:hAnsiTheme="minorHAnsi" w:cstheme="minorHAnsi"/>
        </w:rPr>
        <w:tab/>
      </w:r>
      <w:r w:rsidR="00005821" w:rsidRPr="00951EC7">
        <w:rPr>
          <w:rFonts w:asciiTheme="minorHAnsi" w:hAnsiTheme="minorHAnsi" w:cstheme="minorHAnsi"/>
          <w:color w:val="000000"/>
        </w:rPr>
        <w:t xml:space="preserve">Many entities following the </w:t>
      </w:r>
      <w:r w:rsidR="00005821">
        <w:rPr>
          <w:rFonts w:asciiTheme="minorHAnsi" w:hAnsiTheme="minorHAnsi" w:cstheme="minorHAnsi"/>
          <w:color w:val="000000"/>
        </w:rPr>
        <w:t>evolution of</w:t>
      </w:r>
      <w:r w:rsidR="00005821" w:rsidRPr="00951EC7">
        <w:rPr>
          <w:rFonts w:asciiTheme="minorHAnsi" w:hAnsiTheme="minorHAnsi" w:cstheme="minorHAnsi"/>
          <w:color w:val="000000"/>
        </w:rPr>
        <w:t xml:space="preserve"> IFM methodologies advocate for measures that are practical and less expensive to implement.  </w:t>
      </w:r>
      <w:r w:rsidR="00005821">
        <w:rPr>
          <w:rFonts w:asciiTheme="minorHAnsi" w:hAnsiTheme="minorHAnsi" w:cstheme="minorHAnsi"/>
          <w:color w:val="000000"/>
        </w:rPr>
        <w:t>Yet</w:t>
      </w:r>
      <w:r w:rsidR="00005821" w:rsidRPr="00951EC7">
        <w:rPr>
          <w:rFonts w:asciiTheme="minorHAnsi" w:hAnsiTheme="minorHAnsi" w:cstheme="minorHAnsi"/>
          <w:color w:val="000000"/>
        </w:rPr>
        <w:t xml:space="preserve">, </w:t>
      </w:r>
      <w:r w:rsidR="00AE0465">
        <w:rPr>
          <w:rFonts w:asciiTheme="minorHAnsi" w:hAnsiTheme="minorHAnsi" w:cstheme="minorHAnsi"/>
          <w:color w:val="000000"/>
        </w:rPr>
        <w:t xml:space="preserve">it is hard to </w:t>
      </w:r>
      <w:r w:rsidR="00270F54">
        <w:rPr>
          <w:rFonts w:asciiTheme="minorHAnsi" w:hAnsiTheme="minorHAnsi" w:cstheme="minorHAnsi"/>
          <w:color w:val="000000"/>
        </w:rPr>
        <w:t>envision</w:t>
      </w:r>
      <w:r w:rsidR="00AE0465">
        <w:rPr>
          <w:rFonts w:asciiTheme="minorHAnsi" w:hAnsiTheme="minorHAnsi" w:cstheme="minorHAnsi"/>
          <w:color w:val="000000"/>
        </w:rPr>
        <w:t xml:space="preserve"> how a</w:t>
      </w:r>
      <w:r w:rsidR="00995E72">
        <w:rPr>
          <w:rFonts w:asciiTheme="minorHAnsi" w:hAnsiTheme="minorHAnsi" w:cstheme="minorHAnsi"/>
          <w:color w:val="000000"/>
        </w:rPr>
        <w:t xml:space="preserve"> process employing </w:t>
      </w:r>
      <w:r w:rsidR="00270F54">
        <w:rPr>
          <w:rFonts w:asciiTheme="minorHAnsi" w:hAnsiTheme="minorHAnsi" w:cstheme="minorHAnsi"/>
          <w:color w:val="000000"/>
        </w:rPr>
        <w:t>sufficient</w:t>
      </w:r>
      <w:r w:rsidR="00005821" w:rsidRPr="00951EC7">
        <w:rPr>
          <w:rFonts w:asciiTheme="minorHAnsi" w:hAnsiTheme="minorHAnsi" w:cstheme="minorHAnsi"/>
          <w:color w:val="000000"/>
        </w:rPr>
        <w:t xml:space="preserve"> additionality</w:t>
      </w:r>
      <w:r w:rsidR="00995E72">
        <w:rPr>
          <w:rFonts w:asciiTheme="minorHAnsi" w:hAnsiTheme="minorHAnsi" w:cstheme="minorHAnsi"/>
          <w:color w:val="000000"/>
        </w:rPr>
        <w:t>-tests</w:t>
      </w:r>
      <w:r w:rsidR="00005821" w:rsidRPr="00951EC7">
        <w:rPr>
          <w:rFonts w:asciiTheme="minorHAnsi" w:hAnsiTheme="minorHAnsi" w:cstheme="minorHAnsi"/>
          <w:color w:val="000000"/>
        </w:rPr>
        <w:t xml:space="preserve"> c</w:t>
      </w:r>
      <w:r w:rsidR="00AE0465">
        <w:rPr>
          <w:rFonts w:asciiTheme="minorHAnsi" w:hAnsiTheme="minorHAnsi" w:cstheme="minorHAnsi"/>
          <w:color w:val="000000"/>
        </w:rPr>
        <w:t>ould</w:t>
      </w:r>
      <w:r w:rsidR="00005821" w:rsidRPr="00951EC7">
        <w:rPr>
          <w:rFonts w:asciiTheme="minorHAnsi" w:hAnsiTheme="minorHAnsi" w:cstheme="minorHAnsi"/>
          <w:color w:val="000000"/>
        </w:rPr>
        <w:t xml:space="preserve"> reduce the complexity of IFM </w:t>
      </w:r>
      <w:r w:rsidR="00263A5A">
        <w:rPr>
          <w:rFonts w:asciiTheme="minorHAnsi" w:hAnsiTheme="minorHAnsi" w:cstheme="minorHAnsi"/>
          <w:color w:val="000000"/>
        </w:rPr>
        <w:t>project development</w:t>
      </w:r>
      <w:r w:rsidR="00005821" w:rsidRPr="00951EC7">
        <w:rPr>
          <w:rFonts w:asciiTheme="minorHAnsi" w:hAnsiTheme="minorHAnsi" w:cstheme="minorHAnsi"/>
          <w:color w:val="000000"/>
        </w:rPr>
        <w:t xml:space="preserve"> without substantially limiting participation in th</w:t>
      </w:r>
      <w:r w:rsidR="000A4556">
        <w:rPr>
          <w:rFonts w:asciiTheme="minorHAnsi" w:hAnsiTheme="minorHAnsi" w:cstheme="minorHAnsi"/>
          <w:color w:val="000000"/>
        </w:rPr>
        <w:t>e hope of averting a flood</w:t>
      </w:r>
      <w:r w:rsidR="00005821" w:rsidRPr="00951EC7">
        <w:rPr>
          <w:rFonts w:asciiTheme="minorHAnsi" w:hAnsiTheme="minorHAnsi" w:cstheme="minorHAnsi"/>
          <w:color w:val="000000"/>
        </w:rPr>
        <w:t xml:space="preserve"> of credits entering the market that would dampen both market price and confidence.  </w:t>
      </w:r>
      <w:r w:rsidR="00D22A11">
        <w:rPr>
          <w:rFonts w:asciiTheme="minorHAnsi" w:hAnsiTheme="minorHAnsi" w:cstheme="minorHAnsi"/>
          <w:color w:val="000000"/>
        </w:rPr>
        <w:t>As all IFM methodologies rely on growth and yield models</w:t>
      </w:r>
      <w:r w:rsidR="000A201C">
        <w:rPr>
          <w:rFonts w:asciiTheme="minorHAnsi" w:hAnsiTheme="minorHAnsi" w:cstheme="minorHAnsi"/>
          <w:color w:val="000000"/>
        </w:rPr>
        <w:t xml:space="preserve"> for baseline </w:t>
      </w:r>
      <w:r w:rsidR="00270146">
        <w:rPr>
          <w:rFonts w:asciiTheme="minorHAnsi" w:hAnsiTheme="minorHAnsi" w:cstheme="minorHAnsi"/>
          <w:color w:val="000000"/>
        </w:rPr>
        <w:t>quantification</w:t>
      </w:r>
      <w:r w:rsidR="00D22A11">
        <w:rPr>
          <w:rFonts w:asciiTheme="minorHAnsi" w:hAnsiTheme="minorHAnsi" w:cstheme="minorHAnsi"/>
          <w:color w:val="000000"/>
        </w:rPr>
        <w:t xml:space="preserve">, forest </w:t>
      </w:r>
      <w:r w:rsidR="008F3BEE">
        <w:rPr>
          <w:rFonts w:asciiTheme="minorHAnsi" w:hAnsiTheme="minorHAnsi" w:cstheme="minorHAnsi"/>
          <w:color w:val="000000"/>
        </w:rPr>
        <w:t xml:space="preserve">modeling is one </w:t>
      </w:r>
      <w:r w:rsidR="00270146">
        <w:rPr>
          <w:rFonts w:asciiTheme="minorHAnsi" w:hAnsiTheme="minorHAnsi" w:cstheme="minorHAnsi"/>
          <w:color w:val="000000"/>
        </w:rPr>
        <w:t xml:space="preserve">complicated </w:t>
      </w:r>
      <w:r w:rsidR="008F3BEE">
        <w:rPr>
          <w:rFonts w:asciiTheme="minorHAnsi" w:hAnsiTheme="minorHAnsi" w:cstheme="minorHAnsi"/>
          <w:color w:val="000000"/>
        </w:rPr>
        <w:t>element of IFM project development that seems to be a necessary evil in determining either a</w:t>
      </w:r>
      <w:r w:rsidR="00D17CAB" w:rsidRPr="00951EC7">
        <w:rPr>
          <w:rFonts w:asciiTheme="minorHAnsi" w:hAnsiTheme="minorHAnsi" w:cstheme="minorHAnsi"/>
          <w:color w:val="000000"/>
        </w:rPr>
        <w:t xml:space="preserve"> standardized baseline stocking level </w:t>
      </w:r>
      <w:r w:rsidR="008F3BEE">
        <w:rPr>
          <w:rFonts w:asciiTheme="minorHAnsi" w:hAnsiTheme="minorHAnsi" w:cstheme="minorHAnsi"/>
          <w:color w:val="000000"/>
        </w:rPr>
        <w:t xml:space="preserve">or </w:t>
      </w:r>
      <w:r w:rsidR="000A4556">
        <w:rPr>
          <w:rFonts w:asciiTheme="minorHAnsi" w:hAnsiTheme="minorHAnsi" w:cstheme="minorHAnsi"/>
          <w:color w:val="000000"/>
        </w:rPr>
        <w:t xml:space="preserve">a dynamic </w:t>
      </w:r>
      <w:r w:rsidR="00D22A11">
        <w:rPr>
          <w:rFonts w:asciiTheme="minorHAnsi" w:hAnsiTheme="minorHAnsi" w:cstheme="minorHAnsi"/>
          <w:color w:val="000000"/>
        </w:rPr>
        <w:t>baseline</w:t>
      </w:r>
      <w:r w:rsidR="000A4556">
        <w:rPr>
          <w:rFonts w:asciiTheme="minorHAnsi" w:hAnsiTheme="minorHAnsi" w:cstheme="minorHAnsi"/>
          <w:color w:val="000000"/>
        </w:rPr>
        <w:t xml:space="preserve"> </w:t>
      </w:r>
      <w:r w:rsidR="00D17CAB" w:rsidRPr="00951EC7">
        <w:rPr>
          <w:rFonts w:asciiTheme="minorHAnsi" w:hAnsiTheme="minorHAnsi" w:cstheme="minorHAnsi"/>
          <w:color w:val="000000"/>
        </w:rPr>
        <w:t>linked to</w:t>
      </w:r>
      <w:r w:rsidR="000A4556">
        <w:rPr>
          <w:rFonts w:asciiTheme="minorHAnsi" w:hAnsiTheme="minorHAnsi" w:cstheme="minorHAnsi"/>
          <w:color w:val="000000"/>
        </w:rPr>
        <w:t xml:space="preserve"> anticipated </w:t>
      </w:r>
      <w:r w:rsidR="00263A5A">
        <w:rPr>
          <w:rFonts w:asciiTheme="minorHAnsi" w:hAnsiTheme="minorHAnsi" w:cstheme="minorHAnsi"/>
          <w:color w:val="000000"/>
        </w:rPr>
        <w:t xml:space="preserve">conventional </w:t>
      </w:r>
      <w:r w:rsidR="000A4556">
        <w:rPr>
          <w:rFonts w:asciiTheme="minorHAnsi" w:hAnsiTheme="minorHAnsi" w:cstheme="minorHAnsi"/>
          <w:color w:val="000000"/>
        </w:rPr>
        <w:t>management</w:t>
      </w:r>
      <w:r w:rsidR="00263A5A">
        <w:rPr>
          <w:rFonts w:asciiTheme="minorHAnsi" w:hAnsiTheme="minorHAnsi" w:cstheme="minorHAnsi"/>
          <w:color w:val="000000"/>
        </w:rPr>
        <w:t>.</w:t>
      </w:r>
    </w:p>
    <w:p w:rsidR="00B744C4" w:rsidRPr="00E6622F" w:rsidRDefault="00A31180" w:rsidP="00A31180">
      <w:pPr>
        <w:tabs>
          <w:tab w:val="left" w:pos="720"/>
        </w:tabs>
        <w:spacing w:line="480" w:lineRule="auto"/>
        <w:rPr>
          <w:rFonts w:cs="Calibri"/>
        </w:rPr>
      </w:pPr>
      <w:r>
        <w:rPr>
          <w:rFonts w:asciiTheme="minorHAnsi" w:hAnsiTheme="minorHAnsi" w:cstheme="minorHAnsi"/>
          <w:color w:val="000000"/>
        </w:rPr>
        <w:tab/>
      </w:r>
      <w:r w:rsidR="00B2084E" w:rsidRPr="00CF0684">
        <w:rPr>
          <w:rFonts w:asciiTheme="minorHAnsi" w:hAnsiTheme="minorHAnsi" w:cstheme="minorHAnsi"/>
        </w:rPr>
        <w:t xml:space="preserve">Determining the baseline from which to measure progress is the most important step in offset quantification because forest offsets in theory represent additions to a baseline level of carbon </w:t>
      </w:r>
      <w:r w:rsidR="006D27EF">
        <w:rPr>
          <w:rFonts w:asciiTheme="minorHAnsi" w:hAnsiTheme="minorHAnsi" w:cstheme="minorHAnsi"/>
        </w:rPr>
        <w:t>stocks</w:t>
      </w:r>
      <w:r w:rsidR="00B2084E" w:rsidRPr="00CF0684">
        <w:rPr>
          <w:rFonts w:asciiTheme="minorHAnsi" w:hAnsiTheme="minorHAnsi" w:cstheme="minorHAnsi"/>
        </w:rPr>
        <w:t xml:space="preserve">.  </w:t>
      </w:r>
      <w:r w:rsidR="00D35376">
        <w:rPr>
          <w:rFonts w:cs="Calibri"/>
        </w:rPr>
        <w:t>Realistically simulating 100 year management regimes is a difficult and time consuming task, even for forest modeling experts.  The expense of such complex modeling is not well understood</w:t>
      </w:r>
      <w:r w:rsidR="00777C0E">
        <w:rPr>
          <w:rFonts w:cs="Calibri"/>
        </w:rPr>
        <w:t xml:space="preserve"> either</w:t>
      </w:r>
      <w:r w:rsidR="00D35376">
        <w:rPr>
          <w:rFonts w:cs="Calibri"/>
        </w:rPr>
        <w:t>, especially in the context of aggregator-developed projects.  It is even unclear what context the modeling cost assumed in this analysis was calculated under.  What is clear is that projections of diverse hardwood forests and dynamic management regimes are likely to be relatively expensive.  Yet, there does not appear to be any tacit advantages in the CAR protocol to building such complex and expensive model</w:t>
      </w:r>
      <w:r w:rsidR="004059B2">
        <w:rPr>
          <w:rFonts w:cs="Calibri"/>
        </w:rPr>
        <w:t>ing efforts</w:t>
      </w:r>
      <w:r w:rsidR="00D35376">
        <w:rPr>
          <w:rFonts w:cs="Calibri"/>
        </w:rPr>
        <w:t xml:space="preserve">, as perhaps there should be.  The hybrid baseline determination approach that was tested represents a fundamental revision to the CAR baseline methodology in this regard as it produces creditable carbon somewhat proportional to the actual difference in carbon stocks between the BAU and project scenarios.  </w:t>
      </w:r>
      <w:r w:rsidR="00C31979">
        <w:rPr>
          <w:rFonts w:cs="Calibri"/>
        </w:rPr>
        <w:t xml:space="preserve">In other words, the </w:t>
      </w:r>
      <w:r w:rsidR="0044447B">
        <w:rPr>
          <w:rFonts w:cs="Calibri"/>
        </w:rPr>
        <w:t>investment</w:t>
      </w:r>
      <w:r w:rsidR="00E6622F">
        <w:rPr>
          <w:rFonts w:cs="Calibri"/>
        </w:rPr>
        <w:t xml:space="preserve"> in modeling i</w:t>
      </w:r>
      <w:r w:rsidR="00C31979">
        <w:rPr>
          <w:rFonts w:cs="Calibri"/>
        </w:rPr>
        <w:t>s re</w:t>
      </w:r>
      <w:r w:rsidR="0044447B">
        <w:rPr>
          <w:rFonts w:cs="Calibri"/>
        </w:rPr>
        <w:t>warded</w:t>
      </w:r>
      <w:r w:rsidR="00C31979">
        <w:rPr>
          <w:rFonts w:cs="Calibri"/>
        </w:rPr>
        <w:t xml:space="preserve"> </w:t>
      </w:r>
      <w:r w:rsidR="0044447B">
        <w:rPr>
          <w:rFonts w:cs="Calibri"/>
        </w:rPr>
        <w:t>with more</w:t>
      </w:r>
      <w:r w:rsidR="00C31979">
        <w:rPr>
          <w:rFonts w:cs="Calibri"/>
        </w:rPr>
        <w:t xml:space="preserve"> creditable carbon earnings.  </w:t>
      </w:r>
    </w:p>
    <w:p w:rsidR="00715885" w:rsidRPr="002B58DD" w:rsidRDefault="00715885" w:rsidP="006D27EF">
      <w:pPr>
        <w:keepNext/>
        <w:numPr>
          <w:ilvl w:val="2"/>
          <w:numId w:val="21"/>
        </w:numPr>
        <w:autoSpaceDE w:val="0"/>
        <w:autoSpaceDN w:val="0"/>
        <w:adjustRightInd w:val="0"/>
        <w:spacing w:line="480" w:lineRule="auto"/>
        <w:rPr>
          <w:b/>
          <w:i/>
          <w:noProof/>
        </w:rPr>
      </w:pPr>
      <w:r>
        <w:rPr>
          <w:b/>
          <w:i/>
          <w:noProof/>
        </w:rPr>
        <w:lastRenderedPageBreak/>
        <w:t>Implications of Alterntive Hybrid Baseline Methodology</w:t>
      </w:r>
    </w:p>
    <w:p w:rsidR="00770903" w:rsidRDefault="00B2057C" w:rsidP="00345819">
      <w:pPr>
        <w:keepNext/>
        <w:tabs>
          <w:tab w:val="left" w:pos="0"/>
        </w:tabs>
        <w:spacing w:line="480" w:lineRule="auto"/>
        <w:ind w:firstLine="720"/>
      </w:pPr>
      <w:r>
        <w:t xml:space="preserve">The hybrid baseline alternative was found to counteract the apparent disadvantage of starting with AGL stocks near but below CAR’s </w:t>
      </w:r>
      <w:r w:rsidR="00A2158B">
        <w:t>CP</w:t>
      </w:r>
      <w:r>
        <w:t xml:space="preserve"> threshold.  </w:t>
      </w:r>
      <w:r w:rsidR="00ED1DE7">
        <w:t>D</w:t>
      </w:r>
      <w:r>
        <w:rPr>
          <w:rFonts w:cs="Calibri"/>
        </w:rPr>
        <w:t>espite multiple attempts at adjusting CAR’s baseline methodology, the hybrid baseline alternative was the only variation found to make CAR participation more economically attractive than the timber-only project scenario</w:t>
      </w:r>
      <w:r w:rsidR="006F1C87">
        <w:rPr>
          <w:rFonts w:cs="Calibri"/>
        </w:rPr>
        <w:t xml:space="preserve"> at foreseeable carbon prices</w:t>
      </w:r>
      <w:r>
        <w:rPr>
          <w:rFonts w:cs="Calibri"/>
        </w:rPr>
        <w:t xml:space="preserve">.  </w:t>
      </w:r>
      <w:r w:rsidR="00345819">
        <w:t xml:space="preserve">This alternative baseline methodology implicitly assumes a more onerous review of the BAU management simulations than is presently dictated in the CAR protocol.  </w:t>
      </w:r>
      <w:r w:rsidR="00E6622F">
        <w:rPr>
          <w:rFonts w:asciiTheme="minorHAnsi" w:hAnsiTheme="minorHAnsi" w:cstheme="minorHAnsi"/>
          <w:bCs/>
        </w:rPr>
        <w:t xml:space="preserve">Because </w:t>
      </w:r>
      <w:r w:rsidR="00E6622F" w:rsidRPr="000A09E9">
        <w:rPr>
          <w:rStyle w:val="apple-style-span"/>
          <w:rFonts w:asciiTheme="minorHAnsi" w:hAnsiTheme="minorHAnsi" w:cstheme="minorHAnsi"/>
          <w:color w:val="000000"/>
        </w:rPr>
        <w:t xml:space="preserve">BAU </w:t>
      </w:r>
      <w:r w:rsidR="00E6622F">
        <w:rPr>
          <w:rStyle w:val="apple-style-span"/>
          <w:rFonts w:asciiTheme="minorHAnsi" w:hAnsiTheme="minorHAnsi" w:cstheme="minorHAnsi"/>
          <w:color w:val="000000"/>
        </w:rPr>
        <w:t>simulation</w:t>
      </w:r>
      <w:r w:rsidR="00E6622F" w:rsidRPr="000A09E9">
        <w:rPr>
          <w:rStyle w:val="apple-style-span"/>
          <w:rFonts w:asciiTheme="minorHAnsi" w:hAnsiTheme="minorHAnsi" w:cstheme="minorHAnsi"/>
          <w:color w:val="000000"/>
        </w:rPr>
        <w:t xml:space="preserve"> specifics are only speculative guesses of what might happen in the future</w:t>
      </w:r>
      <w:r w:rsidR="00E6622F">
        <w:rPr>
          <w:rStyle w:val="apple-style-span"/>
          <w:rFonts w:asciiTheme="minorHAnsi" w:hAnsiTheme="minorHAnsi" w:cstheme="minorHAnsi"/>
          <w:color w:val="000000"/>
        </w:rPr>
        <w:t>, not much confidence can be placed in them</w:t>
      </w:r>
      <w:r w:rsidR="00E6622F" w:rsidRPr="000A09E9">
        <w:rPr>
          <w:rStyle w:val="apple-style-span"/>
          <w:rFonts w:asciiTheme="minorHAnsi" w:hAnsiTheme="minorHAnsi" w:cstheme="minorHAnsi"/>
          <w:color w:val="000000"/>
        </w:rPr>
        <w:t>.</w:t>
      </w:r>
      <w:r w:rsidR="00E6622F">
        <w:rPr>
          <w:rStyle w:val="apple-style-span"/>
          <w:rFonts w:asciiTheme="minorHAnsi" w:hAnsiTheme="minorHAnsi" w:cstheme="minorHAnsi"/>
          <w:color w:val="000000"/>
        </w:rPr>
        <w:t xml:space="preserve">  </w:t>
      </w:r>
      <w:r w:rsidR="00345819">
        <w:t xml:space="preserve">If IFM baselines become more dependent on forest growth and yield modeling, oversight of the justification given for parameters and assumptions used in baseline simulations must in turn become more rigorous and methodical.  Even if this were the case, proponents of projects </w:t>
      </w:r>
      <w:r w:rsidR="00BB44CB">
        <w:t>s</w:t>
      </w:r>
      <w:r w:rsidR="007E7FCD">
        <w:t>imilar to this hypothetical project</w:t>
      </w:r>
      <w:r w:rsidR="00345819">
        <w:t xml:space="preserve"> would be incentivized to simulate low DL cuts that occur frequently</w:t>
      </w:r>
      <w:r w:rsidR="00345819" w:rsidRPr="00750218">
        <w:rPr>
          <w:rFonts w:asciiTheme="minorHAnsi" w:hAnsiTheme="minorHAnsi" w:cstheme="minorHAnsi"/>
          <w:color w:val="000000"/>
        </w:rPr>
        <w:t xml:space="preserve"> </w:t>
      </w:r>
      <w:r w:rsidR="00345819">
        <w:rPr>
          <w:rFonts w:asciiTheme="minorHAnsi" w:hAnsiTheme="minorHAnsi" w:cstheme="minorHAnsi"/>
          <w:color w:val="000000"/>
        </w:rPr>
        <w:t>or otherwise lie about their management intentions</w:t>
      </w:r>
      <w:r w:rsidR="00345819">
        <w:t xml:space="preserve">, since heavier cutting results in the lowest baseline AGL carbon stocks.  In practice, DL cutting occurs at a variety of DBHs, scales, and time intervals, as do virtually all cutting practices.  </w:t>
      </w:r>
      <w:r w:rsidR="00770903">
        <w:t xml:space="preserve">Similarly, </w:t>
      </w:r>
      <w:r w:rsidR="00164376">
        <w:t xml:space="preserve">project proponents </w:t>
      </w:r>
      <w:r w:rsidR="00D0039A">
        <w:t>would</w:t>
      </w:r>
      <w:r w:rsidR="00164376">
        <w:t xml:space="preserve"> be incentivized to simulate heavy and long lasting damage to the residual stand caused by imprudent logging crews.</w:t>
      </w:r>
    </w:p>
    <w:p w:rsidR="006C51A2" w:rsidRDefault="005952B4" w:rsidP="006C51A2">
      <w:pPr>
        <w:keepNext/>
        <w:tabs>
          <w:tab w:val="left" w:pos="0"/>
        </w:tabs>
        <w:spacing w:line="480" w:lineRule="auto"/>
        <w:ind w:firstLine="720"/>
        <w:rPr>
          <w:rFonts w:asciiTheme="minorHAnsi" w:hAnsiTheme="minorHAnsi" w:cstheme="minorHAnsi"/>
          <w:color w:val="000000"/>
        </w:rPr>
      </w:pPr>
      <w:r>
        <w:t>R</w:t>
      </w:r>
      <w:r w:rsidR="00345819">
        <w:t xml:space="preserve">equiring </w:t>
      </w:r>
      <w:r w:rsidR="00345819" w:rsidRPr="001C4237">
        <w:rPr>
          <w:rFonts w:asciiTheme="minorHAnsi" w:hAnsiTheme="minorHAnsi" w:cstheme="minorHAnsi"/>
          <w:color w:val="000000"/>
        </w:rPr>
        <w:t>BAU management justification to be drawn from historical timber sale records and</w:t>
      </w:r>
      <w:r w:rsidR="005058A9">
        <w:rPr>
          <w:rFonts w:asciiTheme="minorHAnsi" w:hAnsiTheme="minorHAnsi" w:cstheme="minorHAnsi"/>
          <w:color w:val="000000"/>
        </w:rPr>
        <w:t>/or</w:t>
      </w:r>
      <w:r w:rsidR="00345819" w:rsidRPr="001C4237">
        <w:rPr>
          <w:rFonts w:asciiTheme="minorHAnsi" w:hAnsiTheme="minorHAnsi" w:cstheme="minorHAnsi"/>
          <w:color w:val="000000"/>
        </w:rPr>
        <w:t xml:space="preserve"> management plans </w:t>
      </w:r>
      <w:r w:rsidR="00345819">
        <w:t xml:space="preserve">would probably disqualify most FFOs that are likely to engage in unsustainable </w:t>
      </w:r>
      <w:r>
        <w:t>harvesting</w:t>
      </w:r>
      <w:r w:rsidR="00345819">
        <w:t xml:space="preserve">.  Thus, oversight of IFM baseline modeling could not be so rigid that it would preclude relatively large numbers of FFOs from financially feasible CAR involvement.  </w:t>
      </w:r>
      <w:r w:rsidR="00FC4668" w:rsidRPr="00692BCB">
        <w:t>Current a</w:t>
      </w:r>
      <w:r w:rsidR="00692BCB" w:rsidRPr="00692BCB">
        <w:t xml:space="preserve">nd projected timber prices </w:t>
      </w:r>
      <w:r w:rsidR="006F1C87">
        <w:t xml:space="preserve">and the financial feasibility of various operations at different scales and locales </w:t>
      </w:r>
      <w:r w:rsidR="00692BCB" w:rsidRPr="00692BCB">
        <w:t xml:space="preserve">play </w:t>
      </w:r>
      <w:r w:rsidR="006F1C87">
        <w:t>would play an</w:t>
      </w:r>
      <w:r w:rsidR="006478CD">
        <w:t xml:space="preserve"> important</w:t>
      </w:r>
      <w:r w:rsidR="00692BCB" w:rsidRPr="00692BCB">
        <w:t xml:space="preserve"> </w:t>
      </w:r>
      <w:r w:rsidR="00FC4668" w:rsidRPr="00692BCB">
        <w:t xml:space="preserve">role in </w:t>
      </w:r>
      <w:r w:rsidR="006478CD">
        <w:t>the justification</w:t>
      </w:r>
      <w:r w:rsidR="00FC4668" w:rsidRPr="00692BCB">
        <w:t xml:space="preserve"> </w:t>
      </w:r>
      <w:r w:rsidR="006478CD">
        <w:t xml:space="preserve">of </w:t>
      </w:r>
      <w:r w:rsidR="00FC4668" w:rsidRPr="00692BCB">
        <w:t>baseline harvest</w:t>
      </w:r>
      <w:r w:rsidR="006478CD">
        <w:t>s</w:t>
      </w:r>
      <w:r w:rsidR="00D33678">
        <w:t xml:space="preserve"> </w:t>
      </w:r>
      <w:r w:rsidR="00217AD8">
        <w:t>under this alternative approach</w:t>
      </w:r>
      <w:r w:rsidR="00170B9D">
        <w:t xml:space="preserve">. </w:t>
      </w:r>
      <w:r w:rsidR="00FC4668" w:rsidRPr="00692BCB">
        <w:t xml:space="preserve"> </w:t>
      </w:r>
      <w:r w:rsidR="00345819">
        <w:t xml:space="preserve">Because </w:t>
      </w:r>
      <w:r w:rsidR="00DD5B03">
        <w:t>th</w:t>
      </w:r>
      <w:r w:rsidR="00D33678">
        <w:t xml:space="preserve">e </w:t>
      </w:r>
      <w:r w:rsidR="00DD5B03">
        <w:t>alternative</w:t>
      </w:r>
      <w:r w:rsidR="00345819" w:rsidRPr="001D53F1">
        <w:rPr>
          <w:rFonts w:asciiTheme="minorHAnsi" w:hAnsiTheme="minorHAnsi" w:cstheme="minorHAnsi"/>
          <w:color w:val="000000"/>
        </w:rPr>
        <w:t xml:space="preserve"> </w:t>
      </w:r>
      <w:r w:rsidR="00345819">
        <w:rPr>
          <w:rFonts w:asciiTheme="minorHAnsi" w:hAnsiTheme="minorHAnsi" w:cstheme="minorHAnsi"/>
          <w:color w:val="000000"/>
        </w:rPr>
        <w:t xml:space="preserve">baseline </w:t>
      </w:r>
      <w:r w:rsidR="00345819" w:rsidRPr="001D53F1">
        <w:rPr>
          <w:rFonts w:asciiTheme="minorHAnsi" w:hAnsiTheme="minorHAnsi" w:cstheme="minorHAnsi"/>
          <w:color w:val="000000"/>
        </w:rPr>
        <w:t>methodology would increase the reli</w:t>
      </w:r>
      <w:r w:rsidR="00345819">
        <w:rPr>
          <w:rFonts w:asciiTheme="minorHAnsi" w:hAnsiTheme="minorHAnsi" w:cstheme="minorHAnsi"/>
          <w:color w:val="000000"/>
        </w:rPr>
        <w:t>anc</w:t>
      </w:r>
      <w:r w:rsidR="00DD5B03">
        <w:rPr>
          <w:rFonts w:asciiTheme="minorHAnsi" w:hAnsiTheme="minorHAnsi" w:cstheme="minorHAnsi"/>
          <w:color w:val="000000"/>
        </w:rPr>
        <w:t>e on speculative assumptions, CAR</w:t>
      </w:r>
      <w:r w:rsidR="00345819">
        <w:rPr>
          <w:rFonts w:asciiTheme="minorHAnsi" w:hAnsiTheme="minorHAnsi" w:cstheme="minorHAnsi"/>
          <w:color w:val="000000"/>
        </w:rPr>
        <w:t xml:space="preserve"> </w:t>
      </w:r>
      <w:r w:rsidR="00692BCB">
        <w:rPr>
          <w:rFonts w:asciiTheme="minorHAnsi" w:hAnsiTheme="minorHAnsi" w:cstheme="minorHAnsi"/>
          <w:color w:val="000000"/>
        </w:rPr>
        <w:t>w</w:t>
      </w:r>
      <w:r w:rsidR="00345819">
        <w:rPr>
          <w:rFonts w:asciiTheme="minorHAnsi" w:hAnsiTheme="minorHAnsi" w:cstheme="minorHAnsi"/>
          <w:color w:val="000000"/>
        </w:rPr>
        <w:t>ould</w:t>
      </w:r>
      <w:r w:rsidR="00345819" w:rsidRPr="001D53F1">
        <w:rPr>
          <w:rFonts w:asciiTheme="minorHAnsi" w:hAnsiTheme="minorHAnsi" w:cstheme="minorHAnsi"/>
          <w:color w:val="000000"/>
        </w:rPr>
        <w:t xml:space="preserve"> </w:t>
      </w:r>
      <w:r w:rsidR="00692BCB">
        <w:rPr>
          <w:rFonts w:asciiTheme="minorHAnsi" w:hAnsiTheme="minorHAnsi" w:cstheme="minorHAnsi"/>
          <w:color w:val="000000"/>
        </w:rPr>
        <w:t xml:space="preserve">probably need to </w:t>
      </w:r>
      <w:r w:rsidR="00345819" w:rsidRPr="001D53F1">
        <w:rPr>
          <w:rFonts w:asciiTheme="minorHAnsi" w:hAnsiTheme="minorHAnsi" w:cstheme="minorHAnsi"/>
          <w:color w:val="000000"/>
        </w:rPr>
        <w:t>require periodic revisions of the assumptions affecting the baseline simulation in future years</w:t>
      </w:r>
      <w:r w:rsidR="00EA409D">
        <w:rPr>
          <w:rFonts w:asciiTheme="minorHAnsi" w:hAnsiTheme="minorHAnsi" w:cstheme="minorHAnsi"/>
          <w:color w:val="000000"/>
        </w:rPr>
        <w:t>.  Although</w:t>
      </w:r>
      <w:r w:rsidR="00345819">
        <w:rPr>
          <w:rFonts w:asciiTheme="minorHAnsi" w:hAnsiTheme="minorHAnsi" w:cstheme="minorHAnsi"/>
          <w:color w:val="000000"/>
        </w:rPr>
        <w:t xml:space="preserve"> doing so could inject more uncertainty </w:t>
      </w:r>
      <w:r w:rsidR="00345819">
        <w:rPr>
          <w:rFonts w:asciiTheme="minorHAnsi" w:hAnsiTheme="minorHAnsi" w:cstheme="minorHAnsi"/>
          <w:color w:val="000000"/>
        </w:rPr>
        <w:lastRenderedPageBreak/>
        <w:t>into projects than many potential proponents might tolerate</w:t>
      </w:r>
      <w:r w:rsidR="00EA409D">
        <w:rPr>
          <w:rFonts w:asciiTheme="minorHAnsi" w:hAnsiTheme="minorHAnsi" w:cstheme="minorHAnsi"/>
          <w:color w:val="000000"/>
        </w:rPr>
        <w:t>, baseline assumption revisions could benefit project owners by allowing the</w:t>
      </w:r>
      <w:r w:rsidR="00256EA9">
        <w:rPr>
          <w:rFonts w:asciiTheme="minorHAnsi" w:hAnsiTheme="minorHAnsi" w:cstheme="minorHAnsi"/>
          <w:color w:val="000000"/>
        </w:rPr>
        <w:t>m to adjust the</w:t>
      </w:r>
      <w:r w:rsidR="00EA409D">
        <w:rPr>
          <w:rFonts w:asciiTheme="minorHAnsi" w:hAnsiTheme="minorHAnsi" w:cstheme="minorHAnsi"/>
          <w:color w:val="000000"/>
        </w:rPr>
        <w:t xml:space="preserve"> baseline</w:t>
      </w:r>
      <w:r w:rsidR="00D33678">
        <w:rPr>
          <w:rFonts w:asciiTheme="minorHAnsi" w:hAnsiTheme="minorHAnsi" w:cstheme="minorHAnsi"/>
          <w:color w:val="000000"/>
        </w:rPr>
        <w:t xml:space="preserve"> down</w:t>
      </w:r>
      <w:r w:rsidR="00EA409D">
        <w:rPr>
          <w:rFonts w:asciiTheme="minorHAnsi" w:hAnsiTheme="minorHAnsi" w:cstheme="minorHAnsi"/>
          <w:color w:val="000000"/>
        </w:rPr>
        <w:t xml:space="preserve"> to </w:t>
      </w:r>
      <w:r w:rsidR="006C51A2">
        <w:rPr>
          <w:rFonts w:asciiTheme="minorHAnsi" w:hAnsiTheme="minorHAnsi" w:cstheme="minorHAnsi"/>
          <w:color w:val="000000"/>
        </w:rPr>
        <w:t>account for</w:t>
      </w:r>
      <w:r w:rsidR="00D26F89">
        <w:rPr>
          <w:rFonts w:asciiTheme="minorHAnsi" w:hAnsiTheme="minorHAnsi" w:cstheme="minorHAnsi"/>
          <w:color w:val="000000"/>
        </w:rPr>
        <w:t xml:space="preserve"> </w:t>
      </w:r>
      <w:r w:rsidR="002B6DCA">
        <w:rPr>
          <w:rFonts w:asciiTheme="minorHAnsi" w:hAnsiTheme="minorHAnsi" w:cstheme="minorHAnsi"/>
          <w:color w:val="000000"/>
        </w:rPr>
        <w:t>better than expected timber markets and</w:t>
      </w:r>
      <w:r w:rsidR="007A7DB8">
        <w:rPr>
          <w:rFonts w:asciiTheme="minorHAnsi" w:hAnsiTheme="minorHAnsi" w:cstheme="minorHAnsi"/>
          <w:color w:val="000000"/>
        </w:rPr>
        <w:t xml:space="preserve"> </w:t>
      </w:r>
      <w:r w:rsidR="00EA409D">
        <w:rPr>
          <w:rFonts w:asciiTheme="minorHAnsi" w:hAnsiTheme="minorHAnsi" w:cstheme="minorHAnsi"/>
          <w:color w:val="000000"/>
        </w:rPr>
        <w:t xml:space="preserve">significant </w:t>
      </w:r>
      <w:r w:rsidR="00256EA9">
        <w:rPr>
          <w:rFonts w:asciiTheme="minorHAnsi" w:hAnsiTheme="minorHAnsi" w:cstheme="minorHAnsi"/>
          <w:color w:val="000000"/>
        </w:rPr>
        <w:t>natural disturbances</w:t>
      </w:r>
      <w:r w:rsidR="007A7DB8">
        <w:rPr>
          <w:rFonts w:asciiTheme="minorHAnsi" w:hAnsiTheme="minorHAnsi" w:cstheme="minorHAnsi"/>
          <w:color w:val="000000"/>
        </w:rPr>
        <w:t xml:space="preserve"> in </w:t>
      </w:r>
      <w:r w:rsidR="00217AD8">
        <w:rPr>
          <w:rFonts w:asciiTheme="minorHAnsi" w:hAnsiTheme="minorHAnsi" w:cstheme="minorHAnsi"/>
          <w:color w:val="000000"/>
        </w:rPr>
        <w:t>qualifying</w:t>
      </w:r>
      <w:r w:rsidR="007A7DB8">
        <w:rPr>
          <w:rFonts w:asciiTheme="minorHAnsi" w:hAnsiTheme="minorHAnsi" w:cstheme="minorHAnsi"/>
          <w:color w:val="000000"/>
        </w:rPr>
        <w:t xml:space="preserve"> circumstances</w:t>
      </w:r>
      <w:r w:rsidR="006C51A2">
        <w:rPr>
          <w:rFonts w:asciiTheme="minorHAnsi" w:hAnsiTheme="minorHAnsi" w:cstheme="minorHAnsi"/>
          <w:color w:val="000000"/>
        </w:rPr>
        <w:t>.</w:t>
      </w:r>
    </w:p>
    <w:p w:rsidR="00E6622F" w:rsidRDefault="00E6622F" w:rsidP="00E6622F">
      <w:pPr>
        <w:keepNext/>
        <w:tabs>
          <w:tab w:val="left" w:pos="0"/>
        </w:tabs>
        <w:spacing w:line="480" w:lineRule="auto"/>
        <w:ind w:firstLine="720"/>
        <w:rPr>
          <w:rStyle w:val="apple-style-span"/>
          <w:rFonts w:asciiTheme="minorHAnsi" w:hAnsiTheme="minorHAnsi" w:cstheme="minorHAnsi"/>
          <w:color w:val="000000"/>
        </w:rPr>
      </w:pPr>
      <w:r w:rsidRPr="00ED1DE7">
        <w:rPr>
          <w:rFonts w:cs="Calibri"/>
        </w:rPr>
        <w:t xml:space="preserve">While the justification of speculated BAU management is </w:t>
      </w:r>
      <w:r w:rsidR="006F1C87">
        <w:rPr>
          <w:rFonts w:cs="Calibri"/>
        </w:rPr>
        <w:t xml:space="preserve">currently </w:t>
      </w:r>
      <w:r w:rsidRPr="00ED1DE7">
        <w:rPr>
          <w:rFonts w:cs="Calibri"/>
        </w:rPr>
        <w:t xml:space="preserve">required, a financial analysis is merely one of the two options </w:t>
      </w:r>
      <w:r>
        <w:rPr>
          <w:rFonts w:cs="Calibri"/>
        </w:rPr>
        <w:t>a</w:t>
      </w:r>
      <w:r w:rsidRPr="00ED1DE7">
        <w:rPr>
          <w:rFonts w:cs="Calibri"/>
        </w:rPr>
        <w:t xml:space="preserve"> </w:t>
      </w:r>
      <w:r>
        <w:rPr>
          <w:rFonts w:cs="Calibri"/>
        </w:rPr>
        <w:t xml:space="preserve">CAR </w:t>
      </w:r>
      <w:r w:rsidRPr="00ED1DE7">
        <w:rPr>
          <w:rFonts w:cs="Calibri"/>
        </w:rPr>
        <w:t xml:space="preserve">project proponent can use to do so.  </w:t>
      </w:r>
      <w:r>
        <w:rPr>
          <w:rFonts w:cs="Calibri"/>
        </w:rPr>
        <w:t>Even if CAR were to necessitate</w:t>
      </w:r>
      <w:r w:rsidRPr="00ED1DE7">
        <w:rPr>
          <w:rFonts w:cs="Calibri"/>
        </w:rPr>
        <w:t xml:space="preserve"> this financial analysis of the BAU regime, </w:t>
      </w:r>
      <w:r w:rsidR="005952B4">
        <w:rPr>
          <w:rFonts w:cs="Calibri"/>
        </w:rPr>
        <w:t xml:space="preserve">such a </w:t>
      </w:r>
      <w:r w:rsidRPr="00ED1DE7">
        <w:rPr>
          <w:rFonts w:cs="Calibri"/>
        </w:rPr>
        <w:t xml:space="preserve">rule would be of little value </w:t>
      </w:r>
      <w:r>
        <w:rPr>
          <w:rFonts w:cs="Calibri"/>
        </w:rPr>
        <w:t xml:space="preserve">if not assessed in comparison with </w:t>
      </w:r>
      <w:r w:rsidRPr="00ED1DE7">
        <w:rPr>
          <w:rFonts w:cs="Calibri"/>
        </w:rPr>
        <w:t>the anticipated project management regime’s profitability (valuing timber and carbon value)</w:t>
      </w:r>
      <w:r w:rsidR="00DD5B03">
        <w:rPr>
          <w:rFonts w:cs="Calibri"/>
        </w:rPr>
        <w:t xml:space="preserve">; this would </w:t>
      </w:r>
      <w:r w:rsidRPr="00ED1DE7">
        <w:rPr>
          <w:rFonts w:cs="Calibri"/>
        </w:rPr>
        <w:t>constitute a financial additionality test.  Although</w:t>
      </w:r>
      <w:r>
        <w:rPr>
          <w:rFonts w:cs="Calibri"/>
        </w:rPr>
        <w:t xml:space="preserve"> the CAR protocol </w:t>
      </w:r>
      <w:r w:rsidRPr="00CF0684">
        <w:rPr>
          <w:rFonts w:asciiTheme="minorHAnsi" w:hAnsiTheme="minorHAnsi" w:cstheme="minorHAnsi"/>
        </w:rPr>
        <w:t>employs a standardized performance benchmark and requires proof of regulatory additionality,</w:t>
      </w:r>
      <w:r>
        <w:rPr>
          <w:rFonts w:cs="Calibri"/>
        </w:rPr>
        <w:t xml:space="preserve"> a financial additionality test similar to the cost-benefit analysis undertaken for this study </w:t>
      </w:r>
      <w:r w:rsidR="00DD5B03">
        <w:rPr>
          <w:rFonts w:cs="Calibri"/>
        </w:rPr>
        <w:t>also seems warranted</w:t>
      </w:r>
      <w:r w:rsidR="006940CB">
        <w:rPr>
          <w:rFonts w:cs="Calibri"/>
        </w:rPr>
        <w:t xml:space="preserve"> given the need to </w:t>
      </w:r>
      <w:r w:rsidR="00455F32">
        <w:rPr>
          <w:rFonts w:cs="Calibri"/>
        </w:rPr>
        <w:t>substantiate BAU management claims</w:t>
      </w:r>
      <w:r w:rsidR="00E03352">
        <w:rPr>
          <w:rFonts w:cs="Calibri"/>
        </w:rPr>
        <w:t>.</w:t>
      </w:r>
      <w:r>
        <w:rPr>
          <w:rFonts w:cs="Calibri"/>
        </w:rPr>
        <w:t xml:space="preserve">  However, i</w:t>
      </w:r>
      <w:r>
        <w:t>t is important to note that i</w:t>
      </w:r>
      <w:r w:rsidRPr="00C7348B">
        <w:t xml:space="preserve">f the simulation of </w:t>
      </w:r>
      <w:r>
        <w:t>forest management</w:t>
      </w:r>
      <w:r w:rsidRPr="00C7348B">
        <w:t xml:space="preserve"> is to be commonly used to define IFM baselines</w:t>
      </w:r>
      <w:r>
        <w:t xml:space="preserve"> and to forecast the viability of project management regimes</w:t>
      </w:r>
      <w:r w:rsidRPr="00C7348B">
        <w:t xml:space="preserve">, the </w:t>
      </w:r>
      <w:r>
        <w:t xml:space="preserve">area required for skid roads, haul roads, and landings corresponding with different harvest techniques on various slopes </w:t>
      </w:r>
      <w:r w:rsidRPr="00C7348B">
        <w:t>need</w:t>
      </w:r>
      <w:r>
        <w:t>s</w:t>
      </w:r>
      <w:r w:rsidRPr="00C7348B">
        <w:t xml:space="preserve"> to be understood far better</w:t>
      </w:r>
      <w:r>
        <w:t xml:space="preserve"> given how little current information exists on the expense and environmental impact of steep terrain logging equipment and roads</w:t>
      </w:r>
      <w:r w:rsidRPr="00956115">
        <w:rPr>
          <w:rFonts w:asciiTheme="minorHAnsi" w:hAnsiTheme="minorHAnsi" w:cstheme="minorHAnsi"/>
        </w:rPr>
        <w:t xml:space="preserve">.  </w:t>
      </w:r>
      <w:r>
        <w:rPr>
          <w:rFonts w:asciiTheme="minorHAnsi" w:hAnsiTheme="minorHAnsi" w:cstheme="minorHAnsi"/>
        </w:rPr>
        <w:t xml:space="preserve">Further </w:t>
      </w:r>
      <w:r>
        <w:rPr>
          <w:rStyle w:val="apple-style-span"/>
          <w:rFonts w:asciiTheme="minorHAnsi" w:hAnsiTheme="minorHAnsi" w:cstheme="minorHAnsi"/>
          <w:color w:val="000000"/>
        </w:rPr>
        <w:t>research</w:t>
      </w:r>
      <w:r w:rsidRPr="00956115">
        <w:rPr>
          <w:rStyle w:val="apple-style-span"/>
          <w:rFonts w:asciiTheme="minorHAnsi" w:hAnsiTheme="minorHAnsi" w:cstheme="minorHAnsi"/>
          <w:color w:val="000000"/>
        </w:rPr>
        <w:t xml:space="preserve"> </w:t>
      </w:r>
      <w:r>
        <w:rPr>
          <w:rStyle w:val="apple-style-span"/>
          <w:rFonts w:asciiTheme="minorHAnsi" w:hAnsiTheme="minorHAnsi" w:cstheme="minorHAnsi"/>
          <w:color w:val="000000"/>
        </w:rPr>
        <w:t>is also needed</w:t>
      </w:r>
      <w:r w:rsidRPr="00956115">
        <w:rPr>
          <w:rStyle w:val="apple-style-span"/>
          <w:rFonts w:asciiTheme="minorHAnsi" w:hAnsiTheme="minorHAnsi" w:cstheme="minorHAnsi"/>
          <w:color w:val="000000"/>
        </w:rPr>
        <w:t xml:space="preserve"> on finding acceptable bounds for </w:t>
      </w:r>
      <w:r>
        <w:rPr>
          <w:rStyle w:val="apple-style-span"/>
          <w:rFonts w:asciiTheme="minorHAnsi" w:hAnsiTheme="minorHAnsi" w:cstheme="minorHAnsi"/>
          <w:color w:val="000000"/>
        </w:rPr>
        <w:t xml:space="preserve">many other </w:t>
      </w:r>
      <w:r w:rsidRPr="00956115">
        <w:rPr>
          <w:rStyle w:val="apple-style-span"/>
          <w:rFonts w:asciiTheme="minorHAnsi" w:hAnsiTheme="minorHAnsi" w:cstheme="minorHAnsi"/>
          <w:color w:val="000000"/>
        </w:rPr>
        <w:t xml:space="preserve">assumptions in </w:t>
      </w:r>
      <w:r>
        <w:rPr>
          <w:rStyle w:val="apple-style-span"/>
          <w:rFonts w:asciiTheme="minorHAnsi" w:hAnsiTheme="minorHAnsi" w:cstheme="minorHAnsi"/>
          <w:color w:val="000000"/>
        </w:rPr>
        <w:t>IFM project assessments</w:t>
      </w:r>
      <w:r w:rsidR="00DA7F07">
        <w:rPr>
          <w:rStyle w:val="apple-style-span"/>
          <w:rFonts w:asciiTheme="minorHAnsi" w:hAnsiTheme="minorHAnsi" w:cstheme="minorHAnsi"/>
          <w:color w:val="000000"/>
        </w:rPr>
        <w:t xml:space="preserve"> </w:t>
      </w:r>
      <w:r w:rsidR="00DD5B03">
        <w:rPr>
          <w:rStyle w:val="apple-style-span"/>
          <w:rFonts w:asciiTheme="minorHAnsi" w:hAnsiTheme="minorHAnsi" w:cstheme="minorHAnsi"/>
          <w:color w:val="000000"/>
        </w:rPr>
        <w:t>and particularly on</w:t>
      </w:r>
      <w:r w:rsidR="00DA7F07">
        <w:rPr>
          <w:rStyle w:val="apple-style-span"/>
          <w:rFonts w:asciiTheme="minorHAnsi" w:hAnsiTheme="minorHAnsi" w:cstheme="minorHAnsi"/>
          <w:color w:val="000000"/>
        </w:rPr>
        <w:t xml:space="preserve"> elucidating the effect of specific silvicultural applications on the establishment, composition, and growth of natural regeneration if simulation models are to serve such a meaningful role</w:t>
      </w:r>
      <w:r>
        <w:rPr>
          <w:rStyle w:val="apple-style-span"/>
          <w:rFonts w:asciiTheme="minorHAnsi" w:hAnsiTheme="minorHAnsi" w:cstheme="minorHAnsi"/>
          <w:color w:val="000000"/>
        </w:rPr>
        <w:t>.</w:t>
      </w:r>
    </w:p>
    <w:p w:rsidR="007A1C5F" w:rsidRPr="00046BA5" w:rsidRDefault="006940CB" w:rsidP="00046BA5">
      <w:pPr>
        <w:keepNext/>
        <w:tabs>
          <w:tab w:val="left" w:pos="0"/>
        </w:tabs>
        <w:spacing w:line="480" w:lineRule="auto"/>
        <w:ind w:firstLine="720"/>
      </w:pPr>
      <w:r>
        <w:rPr>
          <w:rFonts w:asciiTheme="minorHAnsi" w:hAnsiTheme="minorHAnsi" w:cstheme="minorHAnsi"/>
          <w:color w:val="000000"/>
        </w:rPr>
        <w:t>T</w:t>
      </w:r>
      <w:r w:rsidR="00B37D86">
        <w:rPr>
          <w:rFonts w:asciiTheme="minorHAnsi" w:hAnsiTheme="minorHAnsi" w:cstheme="minorHAnsi"/>
          <w:color w:val="000000"/>
        </w:rPr>
        <w:t xml:space="preserve">he addition of </w:t>
      </w:r>
      <w:r w:rsidR="00AD2E1F">
        <w:rPr>
          <w:rFonts w:asciiTheme="minorHAnsi" w:hAnsiTheme="minorHAnsi" w:cstheme="minorHAnsi"/>
          <w:color w:val="000000"/>
        </w:rPr>
        <w:t xml:space="preserve">a financial additionality test to the </w:t>
      </w:r>
      <w:r w:rsidR="00DA7F07">
        <w:rPr>
          <w:rFonts w:asciiTheme="minorHAnsi" w:hAnsiTheme="minorHAnsi" w:cstheme="minorHAnsi"/>
          <w:color w:val="000000"/>
        </w:rPr>
        <w:t xml:space="preserve">CAR </w:t>
      </w:r>
      <w:r w:rsidR="00AD2E1F">
        <w:rPr>
          <w:rFonts w:asciiTheme="minorHAnsi" w:hAnsiTheme="minorHAnsi" w:cstheme="minorHAnsi"/>
          <w:color w:val="000000"/>
        </w:rPr>
        <w:t xml:space="preserve">protocol </w:t>
      </w:r>
      <w:r>
        <w:rPr>
          <w:rFonts w:asciiTheme="minorHAnsi" w:hAnsiTheme="minorHAnsi" w:cstheme="minorHAnsi"/>
          <w:color w:val="000000"/>
        </w:rPr>
        <w:t>—</w:t>
      </w:r>
      <w:r w:rsidR="0085223F">
        <w:rPr>
          <w:rFonts w:asciiTheme="minorHAnsi" w:hAnsiTheme="minorHAnsi" w:cstheme="minorHAnsi"/>
          <w:color w:val="000000"/>
        </w:rPr>
        <w:t xml:space="preserve">requiring </w:t>
      </w:r>
      <w:r w:rsidR="001D283F">
        <w:rPr>
          <w:rFonts w:asciiTheme="minorHAnsi" w:hAnsiTheme="minorHAnsi" w:cstheme="minorHAnsi"/>
          <w:color w:val="000000"/>
        </w:rPr>
        <w:t xml:space="preserve">the positive </w:t>
      </w:r>
      <w:r w:rsidR="0085223F">
        <w:rPr>
          <w:rFonts w:asciiTheme="minorHAnsi" w:hAnsiTheme="minorHAnsi" w:cstheme="minorHAnsi"/>
          <w:color w:val="000000"/>
        </w:rPr>
        <w:t>marginal value</w:t>
      </w:r>
      <w:r w:rsidR="001D283F">
        <w:rPr>
          <w:rFonts w:asciiTheme="minorHAnsi" w:hAnsiTheme="minorHAnsi" w:cstheme="minorHAnsi"/>
          <w:color w:val="000000"/>
        </w:rPr>
        <w:t xml:space="preserve"> of carbon sequestration be demonstrated</w:t>
      </w:r>
      <w:r>
        <w:rPr>
          <w:rFonts w:asciiTheme="minorHAnsi" w:hAnsiTheme="minorHAnsi" w:cstheme="minorHAnsi"/>
          <w:color w:val="000000"/>
        </w:rPr>
        <w:t>—</w:t>
      </w:r>
      <w:r w:rsidR="0085223F">
        <w:rPr>
          <w:rFonts w:asciiTheme="minorHAnsi" w:hAnsiTheme="minorHAnsi" w:cstheme="minorHAnsi"/>
          <w:color w:val="000000"/>
        </w:rPr>
        <w:t xml:space="preserve"> </w:t>
      </w:r>
      <w:r w:rsidR="00DD5B03">
        <w:rPr>
          <w:rFonts w:asciiTheme="minorHAnsi" w:hAnsiTheme="minorHAnsi" w:cstheme="minorHAnsi"/>
          <w:color w:val="000000"/>
        </w:rPr>
        <w:t>would</w:t>
      </w:r>
      <w:r w:rsidR="00B37D86">
        <w:rPr>
          <w:rFonts w:asciiTheme="minorHAnsi" w:hAnsiTheme="minorHAnsi" w:cstheme="minorHAnsi"/>
          <w:color w:val="000000"/>
        </w:rPr>
        <w:t xml:space="preserve"> </w:t>
      </w:r>
      <w:r>
        <w:rPr>
          <w:rFonts w:asciiTheme="minorHAnsi" w:hAnsiTheme="minorHAnsi" w:cstheme="minorHAnsi"/>
          <w:color w:val="000000"/>
        </w:rPr>
        <w:t>effectively</w:t>
      </w:r>
      <w:r w:rsidR="00B37D86">
        <w:rPr>
          <w:rFonts w:asciiTheme="minorHAnsi" w:hAnsiTheme="minorHAnsi" w:cstheme="minorHAnsi"/>
          <w:color w:val="000000"/>
        </w:rPr>
        <w:t xml:space="preserve"> </w:t>
      </w:r>
      <w:r w:rsidR="00AF7ABC">
        <w:rPr>
          <w:rFonts w:asciiTheme="minorHAnsi" w:hAnsiTheme="minorHAnsi" w:cstheme="minorHAnsi"/>
          <w:color w:val="000000"/>
        </w:rPr>
        <w:t>reverse the incentive to embellish management intensity in B</w:t>
      </w:r>
      <w:r w:rsidR="00AD2E1F">
        <w:rPr>
          <w:rFonts w:asciiTheme="minorHAnsi" w:hAnsiTheme="minorHAnsi" w:cstheme="minorHAnsi"/>
          <w:color w:val="000000"/>
        </w:rPr>
        <w:t xml:space="preserve">AU </w:t>
      </w:r>
      <w:r w:rsidR="00AF7ABC">
        <w:rPr>
          <w:rFonts w:asciiTheme="minorHAnsi" w:hAnsiTheme="minorHAnsi" w:cstheme="minorHAnsi"/>
          <w:color w:val="000000"/>
        </w:rPr>
        <w:t>simulations</w:t>
      </w:r>
      <w:r w:rsidR="00EC63B2">
        <w:rPr>
          <w:rFonts w:asciiTheme="minorHAnsi" w:hAnsiTheme="minorHAnsi" w:cstheme="minorHAnsi"/>
          <w:color w:val="000000"/>
        </w:rPr>
        <w:t xml:space="preserve"> and would</w:t>
      </w:r>
      <w:r w:rsidR="00EC63B2" w:rsidRPr="00EC63B2">
        <w:rPr>
          <w:rFonts w:asciiTheme="minorHAnsi" w:hAnsiTheme="minorHAnsi" w:cstheme="minorHAnsi"/>
          <w:color w:val="000000"/>
        </w:rPr>
        <w:t xml:space="preserve"> </w:t>
      </w:r>
      <w:r w:rsidR="00EC63B2">
        <w:rPr>
          <w:rFonts w:asciiTheme="minorHAnsi" w:hAnsiTheme="minorHAnsi" w:cstheme="minorHAnsi"/>
          <w:color w:val="000000"/>
        </w:rPr>
        <w:t>thereby minimize the issuance of non-additional CRTs</w:t>
      </w:r>
      <w:r w:rsidR="00AD2E1F">
        <w:rPr>
          <w:rFonts w:asciiTheme="minorHAnsi" w:hAnsiTheme="minorHAnsi" w:cstheme="minorHAnsi"/>
          <w:color w:val="000000"/>
        </w:rPr>
        <w:t xml:space="preserve">.  </w:t>
      </w:r>
      <w:r w:rsidR="00AF7ABC">
        <w:rPr>
          <w:rFonts w:asciiTheme="minorHAnsi" w:hAnsiTheme="minorHAnsi" w:cstheme="minorHAnsi"/>
          <w:color w:val="000000"/>
        </w:rPr>
        <w:t>Note that t</w:t>
      </w:r>
      <w:r w:rsidR="00345819">
        <w:t xml:space="preserve">he </w:t>
      </w:r>
      <w:r w:rsidR="00BA7CC9">
        <w:lastRenderedPageBreak/>
        <w:t xml:space="preserve">low </w:t>
      </w:r>
      <w:r w:rsidR="00345819">
        <w:t xml:space="preserve">DL </w:t>
      </w:r>
      <w:r w:rsidR="00046BA5">
        <w:t>cutting regime simulated herein</w:t>
      </w:r>
      <w:r w:rsidR="00F95EE0">
        <w:t xml:space="preserve"> </w:t>
      </w:r>
      <w:r w:rsidR="00046BA5">
        <w:t>c</w:t>
      </w:r>
      <w:r w:rsidR="00345819">
        <w:t xml:space="preserve">ould be considered a </w:t>
      </w:r>
      <w:r w:rsidR="005B1AD6">
        <w:t>“</w:t>
      </w:r>
      <w:r w:rsidR="00345819">
        <w:t>worst case scenario</w:t>
      </w:r>
      <w:r w:rsidR="005B1AD6">
        <w:t>”</w:t>
      </w:r>
      <w:r w:rsidR="00046BA5">
        <w:t xml:space="preserve"> </w:t>
      </w:r>
      <w:r w:rsidR="00CE7F7D">
        <w:t xml:space="preserve">in the sense that </w:t>
      </w:r>
      <w:r w:rsidR="00345819">
        <w:t>purely exploitative</w:t>
      </w:r>
      <w:r w:rsidR="00EA503D">
        <w:rPr>
          <w:rStyle w:val="FootnoteReference"/>
        </w:rPr>
        <w:footnoteReference w:id="34"/>
      </w:r>
      <w:r w:rsidR="00345819">
        <w:t xml:space="preserve"> practices were simulated </w:t>
      </w:r>
      <w:r w:rsidR="005952B4">
        <w:t>early in the projection</w:t>
      </w:r>
      <w:r w:rsidR="00CE7F7D">
        <w:t xml:space="preserve"> and </w:t>
      </w:r>
      <w:r w:rsidR="007116F8">
        <w:t>because</w:t>
      </w:r>
      <w:r w:rsidR="00CE7F7D">
        <w:t xml:space="preserve"> the </w:t>
      </w:r>
      <w:r w:rsidR="005952B4">
        <w:t>return</w:t>
      </w:r>
      <w:r w:rsidR="00CE7F7D">
        <w:t xml:space="preserve"> interval was quite long, allowing enough time </w:t>
      </w:r>
      <w:r w:rsidR="005952B4">
        <w:t>for residual trees to grow large</w:t>
      </w:r>
      <w:r w:rsidR="00345819">
        <w:t xml:space="preserve">.  As such, </w:t>
      </w:r>
      <w:r w:rsidR="0064353E">
        <w:t>the BAU regime</w:t>
      </w:r>
      <w:r w:rsidR="00345819" w:rsidRPr="00D60124">
        <w:rPr>
          <w:rFonts w:asciiTheme="minorHAnsi" w:hAnsiTheme="minorHAnsi" w:cstheme="minorHAnsi"/>
        </w:rPr>
        <w:t xml:space="preserve"> </w:t>
      </w:r>
      <w:r w:rsidR="00B4795D">
        <w:rPr>
          <w:rFonts w:asciiTheme="minorHAnsi" w:hAnsiTheme="minorHAnsi" w:cstheme="minorHAnsi"/>
        </w:rPr>
        <w:t xml:space="preserve">nearly </w:t>
      </w:r>
      <w:r w:rsidR="00345819" w:rsidRPr="00D60124">
        <w:rPr>
          <w:rFonts w:asciiTheme="minorHAnsi" w:hAnsiTheme="minorHAnsi" w:cstheme="minorHAnsi"/>
        </w:rPr>
        <w:t xml:space="preserve">produced the highest </w:t>
      </w:r>
      <w:r w:rsidR="00BA7CC9">
        <w:rPr>
          <w:rFonts w:asciiTheme="minorHAnsi" w:hAnsiTheme="minorHAnsi" w:cstheme="minorHAnsi"/>
        </w:rPr>
        <w:t xml:space="preserve">timber </w:t>
      </w:r>
      <w:r w:rsidR="00345819" w:rsidRPr="00D60124">
        <w:rPr>
          <w:rFonts w:asciiTheme="minorHAnsi" w:hAnsiTheme="minorHAnsi" w:cstheme="minorHAnsi"/>
        </w:rPr>
        <w:t>revenues possible</w:t>
      </w:r>
      <w:r w:rsidR="00BA7CC9">
        <w:rPr>
          <w:rFonts w:asciiTheme="minorHAnsi" w:hAnsiTheme="minorHAnsi" w:cstheme="minorHAnsi"/>
        </w:rPr>
        <w:t xml:space="preserve"> and </w:t>
      </w:r>
      <w:r w:rsidR="00674652">
        <w:rPr>
          <w:rFonts w:asciiTheme="minorHAnsi" w:hAnsiTheme="minorHAnsi" w:cstheme="minorHAnsi"/>
        </w:rPr>
        <w:t xml:space="preserve">ironically </w:t>
      </w:r>
      <w:r w:rsidR="0064353E">
        <w:rPr>
          <w:rFonts w:asciiTheme="minorHAnsi" w:hAnsiTheme="minorHAnsi" w:cstheme="minorHAnsi"/>
        </w:rPr>
        <w:t>induced an</w:t>
      </w:r>
      <w:r w:rsidR="00965DE3">
        <w:rPr>
          <w:rFonts w:asciiTheme="minorHAnsi" w:hAnsiTheme="minorHAnsi" w:cstheme="minorHAnsi"/>
        </w:rPr>
        <w:t xml:space="preserve"> impressive</w:t>
      </w:r>
      <w:r w:rsidR="0064353E">
        <w:rPr>
          <w:rFonts w:asciiTheme="minorHAnsi" w:hAnsiTheme="minorHAnsi" w:cstheme="minorHAnsi"/>
        </w:rPr>
        <w:t xml:space="preserve"> increase in carbon stocks over time</w:t>
      </w:r>
      <w:r w:rsidR="006919EC">
        <w:rPr>
          <w:rFonts w:asciiTheme="minorHAnsi" w:hAnsiTheme="minorHAnsi" w:cstheme="minorHAnsi"/>
        </w:rPr>
        <w:t>,</w:t>
      </w:r>
      <w:r w:rsidR="00345819" w:rsidRPr="00D60124">
        <w:rPr>
          <w:rFonts w:asciiTheme="minorHAnsi" w:hAnsiTheme="minorHAnsi" w:cstheme="minorHAnsi"/>
        </w:rPr>
        <w:t xml:space="preserve"> thereby raising the bar for IFM </w:t>
      </w:r>
      <w:r w:rsidR="00925ABD">
        <w:rPr>
          <w:rFonts w:asciiTheme="minorHAnsi" w:hAnsiTheme="minorHAnsi" w:cstheme="minorHAnsi"/>
        </w:rPr>
        <w:t>relative profitability</w:t>
      </w:r>
      <w:r w:rsidR="0064353E">
        <w:rPr>
          <w:rFonts w:asciiTheme="minorHAnsi" w:hAnsiTheme="minorHAnsi" w:cstheme="minorHAnsi"/>
        </w:rPr>
        <w:t xml:space="preserve"> under all tested-cases</w:t>
      </w:r>
      <w:r>
        <w:rPr>
          <w:rFonts w:asciiTheme="minorHAnsi" w:hAnsiTheme="minorHAnsi" w:cstheme="minorHAnsi"/>
          <w:color w:val="000000"/>
        </w:rPr>
        <w:t xml:space="preserve">. </w:t>
      </w:r>
      <w:r w:rsidR="00B37D86">
        <w:rPr>
          <w:rFonts w:asciiTheme="minorHAnsi" w:hAnsiTheme="minorHAnsi" w:cstheme="minorHAnsi"/>
          <w:color w:val="000000"/>
        </w:rPr>
        <w:t xml:space="preserve"> </w:t>
      </w:r>
      <w:r>
        <w:rPr>
          <w:rFonts w:asciiTheme="minorHAnsi" w:hAnsiTheme="minorHAnsi" w:cstheme="minorHAnsi"/>
          <w:color w:val="000000"/>
        </w:rPr>
        <w:t>N</w:t>
      </w:r>
      <w:r w:rsidR="00345819">
        <w:rPr>
          <w:rFonts w:asciiTheme="minorHAnsi" w:hAnsiTheme="minorHAnsi" w:cstheme="minorHAnsi"/>
          <w:color w:val="000000"/>
        </w:rPr>
        <w:t xml:space="preserve">ot even the alternative baseline </w:t>
      </w:r>
      <w:r w:rsidR="0064353E">
        <w:rPr>
          <w:rFonts w:asciiTheme="minorHAnsi" w:hAnsiTheme="minorHAnsi" w:cstheme="minorHAnsi"/>
          <w:color w:val="000000"/>
        </w:rPr>
        <w:t>case</w:t>
      </w:r>
      <w:r w:rsidR="00345819">
        <w:rPr>
          <w:rFonts w:asciiTheme="minorHAnsi" w:hAnsiTheme="minorHAnsi" w:cstheme="minorHAnsi"/>
          <w:color w:val="000000"/>
        </w:rPr>
        <w:t xml:space="preserve"> could produce results that favor</w:t>
      </w:r>
      <w:r w:rsidR="0064353E">
        <w:rPr>
          <w:rFonts w:asciiTheme="minorHAnsi" w:hAnsiTheme="minorHAnsi" w:cstheme="minorHAnsi"/>
          <w:color w:val="000000"/>
        </w:rPr>
        <w:t>ed</w:t>
      </w:r>
      <w:r w:rsidR="00345819">
        <w:rPr>
          <w:rFonts w:asciiTheme="minorHAnsi" w:hAnsiTheme="minorHAnsi" w:cstheme="minorHAnsi"/>
          <w:color w:val="000000"/>
        </w:rPr>
        <w:t xml:space="preserve"> the IFM oak-management scenario over BAU</w:t>
      </w:r>
      <w:r w:rsidR="006978F0">
        <w:rPr>
          <w:rFonts w:asciiTheme="minorHAnsi" w:hAnsiTheme="minorHAnsi" w:cstheme="minorHAnsi"/>
          <w:color w:val="000000"/>
        </w:rPr>
        <w:t xml:space="preserve">. </w:t>
      </w:r>
      <w:r w:rsidR="00486575">
        <w:rPr>
          <w:rFonts w:asciiTheme="minorHAnsi" w:hAnsiTheme="minorHAnsi" w:cstheme="minorHAnsi"/>
          <w:color w:val="000000"/>
        </w:rPr>
        <w:t xml:space="preserve"> </w:t>
      </w:r>
      <w:r w:rsidR="001A4BBC">
        <w:rPr>
          <w:rFonts w:asciiTheme="minorHAnsi" w:hAnsiTheme="minorHAnsi" w:cstheme="minorHAnsi"/>
          <w:color w:val="000000"/>
        </w:rPr>
        <w:t>While</w:t>
      </w:r>
      <w:r w:rsidR="00EC63B2">
        <w:rPr>
          <w:rFonts w:asciiTheme="minorHAnsi" w:hAnsiTheme="minorHAnsi" w:cstheme="minorHAnsi"/>
          <w:color w:val="000000"/>
        </w:rPr>
        <w:t xml:space="preserve"> adding</w:t>
      </w:r>
      <w:r w:rsidR="001A4BBC">
        <w:rPr>
          <w:rFonts w:asciiTheme="minorHAnsi" w:hAnsiTheme="minorHAnsi" w:cstheme="minorHAnsi"/>
          <w:color w:val="000000"/>
        </w:rPr>
        <w:t xml:space="preserve"> </w:t>
      </w:r>
      <w:r w:rsidR="006978F0">
        <w:rPr>
          <w:rFonts w:asciiTheme="minorHAnsi" w:hAnsiTheme="minorHAnsi" w:cstheme="minorHAnsi"/>
          <w:color w:val="000000"/>
        </w:rPr>
        <w:t>a</w:t>
      </w:r>
      <w:r w:rsidR="001A4BBC">
        <w:rPr>
          <w:rFonts w:asciiTheme="minorHAnsi" w:hAnsiTheme="minorHAnsi" w:cstheme="minorHAnsi"/>
          <w:color w:val="000000"/>
        </w:rPr>
        <w:t xml:space="preserve"> financial additionality-test </w:t>
      </w:r>
      <w:r w:rsidR="00EC63B2">
        <w:rPr>
          <w:rFonts w:asciiTheme="minorHAnsi" w:hAnsiTheme="minorHAnsi" w:cstheme="minorHAnsi"/>
          <w:color w:val="000000"/>
        </w:rPr>
        <w:t>to</w:t>
      </w:r>
      <w:r w:rsidR="001A4BBC">
        <w:rPr>
          <w:rFonts w:asciiTheme="minorHAnsi" w:hAnsiTheme="minorHAnsi" w:cstheme="minorHAnsi"/>
          <w:color w:val="000000"/>
        </w:rPr>
        <w:t xml:space="preserve"> current requirement</w:t>
      </w:r>
      <w:r w:rsidR="00EC63B2">
        <w:rPr>
          <w:rFonts w:asciiTheme="minorHAnsi" w:hAnsiTheme="minorHAnsi" w:cstheme="minorHAnsi"/>
          <w:color w:val="000000"/>
        </w:rPr>
        <w:t>s</w:t>
      </w:r>
      <w:r w:rsidR="001A4BBC">
        <w:rPr>
          <w:rFonts w:asciiTheme="minorHAnsi" w:hAnsiTheme="minorHAnsi" w:cstheme="minorHAnsi"/>
          <w:color w:val="000000"/>
        </w:rPr>
        <w:t xml:space="preserve"> </w:t>
      </w:r>
      <w:r w:rsidR="00EC63B2">
        <w:rPr>
          <w:rFonts w:asciiTheme="minorHAnsi" w:hAnsiTheme="minorHAnsi" w:cstheme="minorHAnsi"/>
          <w:color w:val="000000"/>
        </w:rPr>
        <w:t>(</w:t>
      </w:r>
      <w:r w:rsidR="001A4BBC">
        <w:rPr>
          <w:rFonts w:asciiTheme="minorHAnsi" w:hAnsiTheme="minorHAnsi" w:cstheme="minorHAnsi"/>
          <w:color w:val="000000"/>
        </w:rPr>
        <w:t>that the commonality and legality of BAU management be demonstrated</w:t>
      </w:r>
      <w:r w:rsidR="00EC63B2">
        <w:rPr>
          <w:rFonts w:asciiTheme="minorHAnsi" w:hAnsiTheme="minorHAnsi" w:cstheme="minorHAnsi"/>
          <w:color w:val="000000"/>
        </w:rPr>
        <w:t>)</w:t>
      </w:r>
      <w:r w:rsidR="001A4BBC">
        <w:rPr>
          <w:rFonts w:asciiTheme="minorHAnsi" w:hAnsiTheme="minorHAnsi" w:cstheme="minorHAnsi"/>
          <w:color w:val="000000"/>
        </w:rPr>
        <w:t xml:space="preserve"> would increase project development costs, it would benefit project owners by ensuring that they are fully informed about the financial prospects of IFM adoption.  </w:t>
      </w:r>
    </w:p>
    <w:p w:rsidR="00C40813" w:rsidRDefault="00CE39F5" w:rsidP="007A1C5F">
      <w:pPr>
        <w:tabs>
          <w:tab w:val="left" w:pos="0"/>
        </w:tabs>
        <w:spacing w:line="480" w:lineRule="auto"/>
        <w:ind w:firstLine="720"/>
        <w:rPr>
          <w:rFonts w:asciiTheme="minorHAnsi" w:hAnsiTheme="minorHAnsi" w:cstheme="minorHAnsi"/>
          <w:color w:val="000000"/>
        </w:rPr>
      </w:pPr>
      <w:r>
        <w:rPr>
          <w:rFonts w:asciiTheme="minorHAnsi" w:hAnsiTheme="minorHAnsi" w:cstheme="minorHAnsi"/>
          <w:color w:val="000000"/>
        </w:rPr>
        <w:t>On the other hand</w:t>
      </w:r>
      <w:r w:rsidR="00C501DA">
        <w:rPr>
          <w:rFonts w:asciiTheme="minorHAnsi" w:hAnsiTheme="minorHAnsi" w:cstheme="minorHAnsi"/>
          <w:color w:val="000000"/>
        </w:rPr>
        <w:t xml:space="preserve">, </w:t>
      </w:r>
      <w:r w:rsidR="00A12AAE">
        <w:rPr>
          <w:rFonts w:asciiTheme="minorHAnsi" w:hAnsiTheme="minorHAnsi" w:cstheme="minorHAnsi"/>
          <w:color w:val="000000"/>
        </w:rPr>
        <w:t>applying this financial additionality test</w:t>
      </w:r>
      <w:r w:rsidR="00A1515C">
        <w:rPr>
          <w:rFonts w:asciiTheme="minorHAnsi" w:hAnsiTheme="minorHAnsi" w:cstheme="minorHAnsi"/>
          <w:color w:val="000000"/>
        </w:rPr>
        <w:t xml:space="preserve"> could lead to many missed opportunities with FFOs that would engage in practices</w:t>
      </w:r>
      <w:r w:rsidR="006919EC">
        <w:rPr>
          <w:rFonts w:asciiTheme="minorHAnsi" w:hAnsiTheme="minorHAnsi" w:cstheme="minorHAnsi"/>
          <w:color w:val="000000"/>
        </w:rPr>
        <w:t xml:space="preserve"> </w:t>
      </w:r>
      <w:r w:rsidR="00164376">
        <w:rPr>
          <w:rFonts w:asciiTheme="minorHAnsi" w:hAnsiTheme="minorHAnsi" w:cstheme="minorHAnsi"/>
          <w:color w:val="000000"/>
        </w:rPr>
        <w:t xml:space="preserve">approaching a </w:t>
      </w:r>
      <w:r w:rsidR="00AF7ABC">
        <w:rPr>
          <w:rFonts w:asciiTheme="minorHAnsi" w:hAnsiTheme="minorHAnsi" w:cstheme="minorHAnsi"/>
          <w:color w:val="000000"/>
        </w:rPr>
        <w:t>“</w:t>
      </w:r>
      <w:r w:rsidR="00A1515C">
        <w:rPr>
          <w:rFonts w:asciiTheme="minorHAnsi" w:hAnsiTheme="minorHAnsi" w:cstheme="minorHAnsi"/>
          <w:color w:val="000000"/>
        </w:rPr>
        <w:t>worst case scenario</w:t>
      </w:r>
      <w:r w:rsidR="00AF7ABC">
        <w:rPr>
          <w:rFonts w:asciiTheme="minorHAnsi" w:hAnsiTheme="minorHAnsi" w:cstheme="minorHAnsi"/>
          <w:color w:val="000000"/>
        </w:rPr>
        <w:t>”</w:t>
      </w:r>
      <w:r w:rsidR="00A0557E">
        <w:rPr>
          <w:rFonts w:asciiTheme="minorHAnsi" w:hAnsiTheme="minorHAnsi" w:cstheme="minorHAnsi"/>
          <w:color w:val="000000"/>
        </w:rPr>
        <w:t xml:space="preserve"> similar to the circumstances modeled herein</w:t>
      </w:r>
      <w:r w:rsidR="00A1515C">
        <w:rPr>
          <w:rFonts w:asciiTheme="minorHAnsi" w:hAnsiTheme="minorHAnsi" w:cstheme="minorHAnsi"/>
          <w:color w:val="000000"/>
        </w:rPr>
        <w:t>.</w:t>
      </w:r>
      <w:r w:rsidR="0021319D">
        <w:rPr>
          <w:rFonts w:asciiTheme="minorHAnsi" w:hAnsiTheme="minorHAnsi" w:cstheme="minorHAnsi"/>
          <w:color w:val="000000"/>
        </w:rPr>
        <w:t xml:space="preserve">  </w:t>
      </w:r>
      <w:r>
        <w:rPr>
          <w:rFonts w:asciiTheme="minorHAnsi" w:hAnsiTheme="minorHAnsi" w:cstheme="minorHAnsi"/>
          <w:color w:val="000000"/>
        </w:rPr>
        <w:t>Yet, considering that it</w:t>
      </w:r>
      <w:r>
        <w:t xml:space="preserve"> is unknown</w:t>
      </w:r>
      <w:r w:rsidRPr="008661BE">
        <w:t xml:space="preserve"> whether </w:t>
      </w:r>
      <w:r>
        <w:t xml:space="preserve">a less intensive BAU harvesting regime </w:t>
      </w:r>
      <w:r w:rsidRPr="008661BE">
        <w:t xml:space="preserve">would </w:t>
      </w:r>
      <w:r>
        <w:t>render this hypothetical project scenario profitable, the potential for missed opportunities may</w:t>
      </w:r>
      <w:r w:rsidR="00965DE3">
        <w:t xml:space="preserve"> be</w:t>
      </w:r>
      <w:r>
        <w:t xml:space="preserve"> </w:t>
      </w:r>
      <w:r w:rsidR="004E023F">
        <w:t>much greater than implied by this case-study.</w:t>
      </w:r>
      <w:r>
        <w:t xml:space="preserve">  </w:t>
      </w:r>
      <w:r w:rsidR="004E023F">
        <w:rPr>
          <w:rFonts w:asciiTheme="minorHAnsi" w:hAnsiTheme="minorHAnsi" w:cstheme="minorHAnsi"/>
          <w:color w:val="000000"/>
        </w:rPr>
        <w:t xml:space="preserve">Projects proposing </w:t>
      </w:r>
      <w:r w:rsidR="00925ABD">
        <w:rPr>
          <w:rFonts w:asciiTheme="minorHAnsi" w:hAnsiTheme="minorHAnsi" w:cstheme="minorHAnsi"/>
          <w:color w:val="000000"/>
        </w:rPr>
        <w:t xml:space="preserve">relatively </w:t>
      </w:r>
      <w:r w:rsidR="00965DE3">
        <w:rPr>
          <w:rFonts w:asciiTheme="minorHAnsi" w:hAnsiTheme="minorHAnsi" w:cstheme="minorHAnsi"/>
          <w:color w:val="000000"/>
        </w:rPr>
        <w:t>un</w:t>
      </w:r>
      <w:r w:rsidR="004E023F">
        <w:rPr>
          <w:rFonts w:asciiTheme="minorHAnsi" w:hAnsiTheme="minorHAnsi" w:cstheme="minorHAnsi"/>
          <w:color w:val="000000"/>
        </w:rPr>
        <w:t xml:space="preserve">profitable IFM scenarios </w:t>
      </w:r>
      <w:r w:rsidR="00965DE3">
        <w:rPr>
          <w:rFonts w:asciiTheme="minorHAnsi" w:hAnsiTheme="minorHAnsi" w:cstheme="minorHAnsi"/>
          <w:color w:val="000000"/>
        </w:rPr>
        <w:t xml:space="preserve">in comparison to BAU </w:t>
      </w:r>
      <w:r w:rsidR="004E023F">
        <w:rPr>
          <w:rFonts w:asciiTheme="minorHAnsi" w:hAnsiTheme="minorHAnsi" w:cstheme="minorHAnsi"/>
          <w:color w:val="000000"/>
        </w:rPr>
        <w:t>can be considered missed opportunities</w:t>
      </w:r>
      <w:r w:rsidR="0021319D">
        <w:rPr>
          <w:rFonts w:asciiTheme="minorHAnsi" w:hAnsiTheme="minorHAnsi" w:cstheme="minorHAnsi"/>
          <w:color w:val="000000"/>
        </w:rPr>
        <w:t xml:space="preserve"> because some FFOs intending to harvest timber in </w:t>
      </w:r>
      <w:r w:rsidR="004E023F">
        <w:rPr>
          <w:rFonts w:asciiTheme="minorHAnsi" w:hAnsiTheme="minorHAnsi" w:cstheme="minorHAnsi"/>
          <w:color w:val="000000"/>
        </w:rPr>
        <w:t>a</w:t>
      </w:r>
      <w:r w:rsidR="0021319D">
        <w:rPr>
          <w:rFonts w:asciiTheme="minorHAnsi" w:hAnsiTheme="minorHAnsi" w:cstheme="minorHAnsi"/>
          <w:color w:val="000000"/>
        </w:rPr>
        <w:t xml:space="preserve"> </w:t>
      </w:r>
      <w:r w:rsidR="004504AC">
        <w:rPr>
          <w:rFonts w:asciiTheme="minorHAnsi" w:hAnsiTheme="minorHAnsi" w:cstheme="minorHAnsi"/>
          <w:color w:val="000000"/>
        </w:rPr>
        <w:t>short-term</w:t>
      </w:r>
      <w:r w:rsidR="0021319D">
        <w:rPr>
          <w:rFonts w:asciiTheme="minorHAnsi" w:hAnsiTheme="minorHAnsi" w:cstheme="minorHAnsi"/>
          <w:color w:val="000000"/>
        </w:rPr>
        <w:t xml:space="preserve"> </w:t>
      </w:r>
      <w:r w:rsidR="00777C0E">
        <w:rPr>
          <w:rFonts w:asciiTheme="minorHAnsi" w:hAnsiTheme="minorHAnsi" w:cstheme="minorHAnsi"/>
          <w:color w:val="000000"/>
        </w:rPr>
        <w:t xml:space="preserve">profit </w:t>
      </w:r>
      <w:r w:rsidR="0021319D">
        <w:rPr>
          <w:rFonts w:asciiTheme="minorHAnsi" w:hAnsiTheme="minorHAnsi" w:cstheme="minorHAnsi"/>
          <w:color w:val="000000"/>
        </w:rPr>
        <w:t xml:space="preserve">maximizing way could presumably be convinced to avoid such practices </w:t>
      </w:r>
      <w:r w:rsidR="00FE0694">
        <w:rPr>
          <w:rFonts w:asciiTheme="minorHAnsi" w:hAnsiTheme="minorHAnsi" w:cstheme="minorHAnsi"/>
          <w:color w:val="000000"/>
        </w:rPr>
        <w:t xml:space="preserve">and accept lower short-term timber revenues </w:t>
      </w:r>
      <w:r w:rsidR="0021319D">
        <w:rPr>
          <w:rFonts w:asciiTheme="minorHAnsi" w:hAnsiTheme="minorHAnsi" w:cstheme="minorHAnsi"/>
          <w:color w:val="000000"/>
        </w:rPr>
        <w:t>if made aware of the</w:t>
      </w:r>
      <w:r w:rsidR="00FE0694">
        <w:rPr>
          <w:rFonts w:asciiTheme="minorHAnsi" w:hAnsiTheme="minorHAnsi" w:cstheme="minorHAnsi"/>
          <w:color w:val="000000"/>
        </w:rPr>
        <w:t xml:space="preserve"> long-term</w:t>
      </w:r>
      <w:r w:rsidR="0021319D">
        <w:rPr>
          <w:rFonts w:asciiTheme="minorHAnsi" w:hAnsiTheme="minorHAnsi" w:cstheme="minorHAnsi"/>
          <w:color w:val="000000"/>
        </w:rPr>
        <w:t xml:space="preserve"> i</w:t>
      </w:r>
      <w:r w:rsidR="009C7B2F">
        <w:rPr>
          <w:rFonts w:asciiTheme="minorHAnsi" w:hAnsiTheme="minorHAnsi" w:cstheme="minorHAnsi"/>
          <w:color w:val="000000"/>
        </w:rPr>
        <w:t>mplications</w:t>
      </w:r>
      <w:r w:rsidR="002E451A">
        <w:rPr>
          <w:rFonts w:asciiTheme="minorHAnsi" w:hAnsiTheme="minorHAnsi" w:cstheme="minorHAnsi"/>
          <w:color w:val="000000"/>
        </w:rPr>
        <w:t xml:space="preserve">.  </w:t>
      </w:r>
      <w:r w:rsidR="00965DE3">
        <w:rPr>
          <w:rFonts w:asciiTheme="minorHAnsi" w:hAnsiTheme="minorHAnsi" w:cstheme="minorHAnsi"/>
          <w:color w:val="000000"/>
        </w:rPr>
        <w:t xml:space="preserve">That is, the relevant break-even price would fall from </w:t>
      </w:r>
      <w:r w:rsidR="00965DE3" w:rsidRPr="00965DE3">
        <w:rPr>
          <w:rFonts w:asciiTheme="minorHAnsi" w:hAnsiTheme="minorHAnsi" w:cstheme="minorHAnsi"/>
          <w:color w:val="000000"/>
        </w:rPr>
        <w:t>$</w:t>
      </w:r>
      <w:r w:rsidR="00965DE3">
        <w:rPr>
          <w:rFonts w:asciiTheme="minorHAnsi" w:hAnsiTheme="minorHAnsi" w:cstheme="minorHAnsi"/>
          <w:color w:val="000000"/>
        </w:rPr>
        <w:t>86-$119 Mt</w:t>
      </w:r>
      <w:r w:rsidR="00965DE3" w:rsidRPr="00965DE3">
        <w:rPr>
          <w:rFonts w:asciiTheme="minorHAnsi" w:hAnsiTheme="minorHAnsi" w:cstheme="minorHAnsi"/>
          <w:color w:val="000000"/>
          <w:vertAlign w:val="superscript"/>
        </w:rPr>
        <w:t>-1</w:t>
      </w:r>
      <w:r w:rsidR="00965DE3">
        <w:rPr>
          <w:rFonts w:asciiTheme="minorHAnsi" w:hAnsiTheme="minorHAnsi" w:cstheme="minorHAnsi"/>
          <w:color w:val="000000"/>
        </w:rPr>
        <w:t xml:space="preserve"> to </w:t>
      </w:r>
      <w:r w:rsidR="00965DE3" w:rsidRPr="00965DE3">
        <w:rPr>
          <w:rFonts w:asciiTheme="minorHAnsi" w:hAnsiTheme="minorHAnsi" w:cstheme="minorHAnsi"/>
          <w:color w:val="000000"/>
        </w:rPr>
        <w:t>$</w:t>
      </w:r>
      <w:r w:rsidR="00965DE3">
        <w:rPr>
          <w:rFonts w:asciiTheme="minorHAnsi" w:hAnsiTheme="minorHAnsi" w:cstheme="minorHAnsi"/>
          <w:color w:val="000000"/>
        </w:rPr>
        <w:t>11</w:t>
      </w:r>
      <w:r w:rsidR="00965DE3" w:rsidRPr="00965DE3">
        <w:rPr>
          <w:rFonts w:asciiTheme="minorHAnsi" w:hAnsiTheme="minorHAnsi" w:cstheme="minorHAnsi"/>
          <w:color w:val="000000"/>
        </w:rPr>
        <w:t xml:space="preserve"> Mt</w:t>
      </w:r>
      <w:r w:rsidR="00965DE3" w:rsidRPr="00965DE3">
        <w:rPr>
          <w:rFonts w:asciiTheme="minorHAnsi" w:hAnsiTheme="minorHAnsi" w:cstheme="minorHAnsi"/>
          <w:color w:val="000000"/>
          <w:vertAlign w:val="superscript"/>
        </w:rPr>
        <w:t>-1</w:t>
      </w:r>
      <w:r w:rsidR="00965DE3">
        <w:rPr>
          <w:rFonts w:asciiTheme="minorHAnsi" w:hAnsiTheme="minorHAnsi" w:cstheme="minorHAnsi"/>
          <w:color w:val="000000"/>
        </w:rPr>
        <w:t>.  O</w:t>
      </w:r>
      <w:r w:rsidR="002E451A">
        <w:rPr>
          <w:rFonts w:asciiTheme="minorHAnsi" w:hAnsiTheme="minorHAnsi" w:cstheme="minorHAnsi"/>
          <w:color w:val="000000"/>
        </w:rPr>
        <w:t xml:space="preserve">nly under </w:t>
      </w:r>
      <w:r w:rsidR="00466894">
        <w:rPr>
          <w:rFonts w:asciiTheme="minorHAnsi" w:hAnsiTheme="minorHAnsi" w:cstheme="minorHAnsi"/>
          <w:color w:val="000000"/>
        </w:rPr>
        <w:t>this assumption and the alternative baseline scenario would th</w:t>
      </w:r>
      <w:r w:rsidR="00164376">
        <w:rPr>
          <w:rFonts w:asciiTheme="minorHAnsi" w:hAnsiTheme="minorHAnsi" w:cstheme="minorHAnsi"/>
          <w:color w:val="000000"/>
        </w:rPr>
        <w:t>e hypothetical FFO in this case-</w:t>
      </w:r>
      <w:r w:rsidR="00466894">
        <w:rPr>
          <w:rFonts w:asciiTheme="minorHAnsi" w:hAnsiTheme="minorHAnsi" w:cstheme="minorHAnsi"/>
          <w:color w:val="000000"/>
        </w:rPr>
        <w:t>study look</w:t>
      </w:r>
      <w:r w:rsidR="00715730">
        <w:rPr>
          <w:rFonts w:asciiTheme="minorHAnsi" w:hAnsiTheme="minorHAnsi" w:cstheme="minorHAnsi"/>
          <w:color w:val="000000"/>
        </w:rPr>
        <w:t xml:space="preserve"> favorably on CAR involvement.  </w:t>
      </w:r>
    </w:p>
    <w:p w:rsidR="00D568A0" w:rsidRPr="007A1C5F" w:rsidRDefault="00890D88" w:rsidP="007A1C5F">
      <w:pPr>
        <w:tabs>
          <w:tab w:val="left" w:pos="0"/>
        </w:tabs>
        <w:spacing w:line="480" w:lineRule="auto"/>
        <w:ind w:firstLine="720"/>
      </w:pPr>
      <w:r>
        <w:rPr>
          <w:rFonts w:asciiTheme="minorHAnsi" w:hAnsiTheme="minorHAnsi" w:cstheme="minorHAnsi"/>
          <w:color w:val="000000"/>
        </w:rPr>
        <w:lastRenderedPageBreak/>
        <w:t>A</w:t>
      </w:r>
      <w:r w:rsidR="008F7956">
        <w:rPr>
          <w:rFonts w:asciiTheme="minorHAnsi" w:hAnsiTheme="minorHAnsi" w:cstheme="minorHAnsi"/>
          <w:color w:val="000000"/>
        </w:rPr>
        <w:t xml:space="preserve">rguing a counterfactual such as this </w:t>
      </w:r>
      <w:r w:rsidR="009C7B2F">
        <w:rPr>
          <w:rFonts w:asciiTheme="minorHAnsi" w:hAnsiTheme="minorHAnsi" w:cstheme="minorHAnsi"/>
        </w:rPr>
        <w:t xml:space="preserve">may </w:t>
      </w:r>
      <w:r w:rsidR="00CE1BCE">
        <w:rPr>
          <w:rFonts w:asciiTheme="minorHAnsi" w:hAnsiTheme="minorHAnsi" w:cstheme="minorHAnsi"/>
        </w:rPr>
        <w:t xml:space="preserve">seem like </w:t>
      </w:r>
      <w:r w:rsidR="00715730" w:rsidRPr="00951EC7">
        <w:rPr>
          <w:rFonts w:asciiTheme="minorHAnsi" w:hAnsiTheme="minorHAnsi" w:cstheme="minorHAnsi"/>
        </w:rPr>
        <w:t xml:space="preserve">an exceedingly tall order, </w:t>
      </w:r>
      <w:r w:rsidR="00DA3116">
        <w:rPr>
          <w:rFonts w:asciiTheme="minorHAnsi" w:hAnsiTheme="minorHAnsi" w:cstheme="minorHAnsi"/>
        </w:rPr>
        <w:t xml:space="preserve">but it is quite plausible for an FFO to be convinced to abandon lucrative harvesting </w:t>
      </w:r>
      <w:r w:rsidR="002E3C28">
        <w:rPr>
          <w:rFonts w:asciiTheme="minorHAnsi" w:hAnsiTheme="minorHAnsi" w:cstheme="minorHAnsi"/>
        </w:rPr>
        <w:t>plans</w:t>
      </w:r>
      <w:r w:rsidR="00DA3116">
        <w:rPr>
          <w:rFonts w:asciiTheme="minorHAnsi" w:hAnsiTheme="minorHAnsi" w:cstheme="minorHAnsi"/>
        </w:rPr>
        <w:t xml:space="preserve"> in favor of sustainable forestry given that far more </w:t>
      </w:r>
      <w:r w:rsidR="00DA3116">
        <w:t>FFOs in the South consider</w:t>
      </w:r>
      <w:r w:rsidR="009B4034">
        <w:t xml:space="preserve"> </w:t>
      </w:r>
      <w:r w:rsidR="00D70F48">
        <w:t>passing on their property to their</w:t>
      </w:r>
      <w:r w:rsidR="001E38C6">
        <w:t xml:space="preserve"> heirs </w:t>
      </w:r>
      <w:r w:rsidR="00D70F48">
        <w:t xml:space="preserve">and aesthetic values </w:t>
      </w:r>
      <w:r w:rsidR="00DA3116">
        <w:t>important reason</w:t>
      </w:r>
      <w:r w:rsidR="00D70F48">
        <w:t>s</w:t>
      </w:r>
      <w:r w:rsidR="00DA3116">
        <w:t xml:space="preserve"> for owning forestland</w:t>
      </w:r>
      <w:r w:rsidR="009B4034">
        <w:t xml:space="preserve"> than do those that find timber production </w:t>
      </w:r>
      <w:r w:rsidR="006D7970" w:rsidRPr="006D7970">
        <w:t xml:space="preserve">a central reason </w:t>
      </w:r>
      <w:r w:rsidR="009B4034">
        <w:fldChar w:fldCharType="begin"/>
      </w:r>
      <w:r w:rsidR="00737C5E">
        <w:instrText xml:space="preserve"> ADDIN EN.CITE &lt;EndNote&gt;&lt;Cite&gt;&lt;Author&gt;Butler&lt;/Author&gt;&lt;Year&gt;2008&lt;/Year&gt;&lt;RecNum&gt;47&lt;/RecNum&gt;&lt;DisplayText&gt;(Butler 2008b)&lt;/DisplayText&gt;&lt;record&gt;&lt;rec-number&gt;47&lt;/rec-number&gt;&lt;foreign-keys&gt;&lt;key app="EN" db-id="a90s5zadewrawxeer07v2f90xr5vxv022sat"&gt;47&lt;/key&gt;&lt;key app="ENWeb" db-id="S3c-7ArtqgcAACfG-zs"&gt;49&lt;/key&gt;&lt;/foreign-keys&gt;&lt;ref-type name="Report"&gt;27&lt;/ref-type&gt;&lt;contributors&gt;&lt;authors&gt;&lt;author&gt;Butler, Brett J.&lt;/author&gt;&lt;/authors&gt;&lt;/contributors&gt;&lt;titles&gt;&lt;title&gt;Family Forest Owners of the United States, 2006&lt;/title&gt;&lt;/titles&gt;&lt;dates&gt;&lt;year&gt;2008b&lt;/year&gt;&lt;/dates&gt;&lt;publisher&gt;Gen. Tech. Rep. NRS-27. Newtown Square, PA: U.S. Department of Agriculture, Forest Service, Northern Research Station.72p&lt;/publisher&gt;&lt;urls&gt;&lt;related-urls&gt;&lt;url&gt;http://www.treesearch.fs.fed.us/pubs/15758&lt;/url&gt;&lt;/related-urls&gt;&lt;/urls&gt;&lt;/record&gt;&lt;/Cite&gt;&lt;/EndNote&gt;</w:instrText>
      </w:r>
      <w:r w:rsidR="009B4034">
        <w:fldChar w:fldCharType="separate"/>
      </w:r>
      <w:r w:rsidR="00737C5E">
        <w:rPr>
          <w:noProof/>
        </w:rPr>
        <w:t>(</w:t>
      </w:r>
      <w:hyperlink w:anchor="_ENREF_32" w:tooltip="Butler, 2008b #47" w:history="1">
        <w:r w:rsidR="001E4C88">
          <w:rPr>
            <w:noProof/>
          </w:rPr>
          <w:t>Butler 2008b</w:t>
        </w:r>
      </w:hyperlink>
      <w:r w:rsidR="00737C5E">
        <w:rPr>
          <w:noProof/>
        </w:rPr>
        <w:t>)</w:t>
      </w:r>
      <w:r w:rsidR="009B4034">
        <w:fldChar w:fldCharType="end"/>
      </w:r>
      <w:r w:rsidR="009B4034">
        <w:t>.</w:t>
      </w:r>
      <w:r w:rsidR="00DA3116">
        <w:t xml:space="preserve">  </w:t>
      </w:r>
      <w:r w:rsidR="001E38C6">
        <w:t>Although many FFOs care about l</w:t>
      </w:r>
      <w:r w:rsidR="001E38C6">
        <w:rPr>
          <w:rFonts w:asciiTheme="minorHAnsi" w:hAnsiTheme="minorHAnsi" w:cstheme="minorHAnsi"/>
        </w:rPr>
        <w:t xml:space="preserve">eaving their forests in good condition so that their heirs can benefit from future timber sales, </w:t>
      </w:r>
      <w:r w:rsidR="00C40813">
        <w:rPr>
          <w:rFonts w:asciiTheme="minorHAnsi" w:hAnsiTheme="minorHAnsi" w:cstheme="minorHAnsi"/>
        </w:rPr>
        <w:t>p</w:t>
      </w:r>
      <w:r w:rsidR="00AD7A5E">
        <w:t xml:space="preserve">roperty taxes </w:t>
      </w:r>
      <w:r w:rsidR="00C40813">
        <w:t>are also a prominent</w:t>
      </w:r>
      <w:r w:rsidR="001E38C6">
        <w:t xml:space="preserve"> </w:t>
      </w:r>
      <w:r w:rsidR="00AD7A5E">
        <w:t xml:space="preserve">concern, second to the importance of </w:t>
      </w:r>
      <w:r w:rsidR="001E38C6">
        <w:t>land bequeathal.  P</w:t>
      </w:r>
      <w:r w:rsidR="00AD7A5E">
        <w:t xml:space="preserve">roperty taxes are </w:t>
      </w:r>
      <w:r w:rsidR="00DA3116">
        <w:t xml:space="preserve">actually </w:t>
      </w:r>
      <w:r w:rsidR="00320730">
        <w:t>of equal concern</w:t>
      </w:r>
      <w:r w:rsidR="00AD7A5E">
        <w:t xml:space="preserve"> for those without written management plans</w:t>
      </w:r>
      <w:r w:rsidR="001E38C6">
        <w:t xml:space="preserve"> </w:t>
      </w:r>
      <w:r w:rsidR="001E38C6">
        <w:fldChar w:fldCharType="begin"/>
      </w:r>
      <w:r w:rsidR="00737C5E">
        <w:instrText xml:space="preserve"> ADDIN EN.CITE &lt;EndNote&gt;&lt;Cite&gt;&lt;Author&gt;Butler&lt;/Author&gt;&lt;Year&gt;2008&lt;/Year&gt;&lt;RecNum&gt;47&lt;/RecNum&gt;&lt;DisplayText&gt;(Butler 2008b)&lt;/DisplayText&gt;&lt;record&gt;&lt;rec-number&gt;47&lt;/rec-number&gt;&lt;foreign-keys&gt;&lt;key app="EN" db-id="a90s5zadewrawxeer07v2f90xr5vxv022sat"&gt;47&lt;/key&gt;&lt;key app="ENWeb" db-id="S3c-7ArtqgcAACfG-zs"&gt;49&lt;/key&gt;&lt;/foreign-keys&gt;&lt;ref-type name="Report"&gt;27&lt;/ref-type&gt;&lt;contributors&gt;&lt;authors&gt;&lt;author&gt;Butler, Brett J.&lt;/author&gt;&lt;/authors&gt;&lt;/contributors&gt;&lt;titles&gt;&lt;title&gt;Family Forest Owners of the United States, 2006&lt;/title&gt;&lt;/titles&gt;&lt;dates&gt;&lt;year&gt;2008b&lt;/year&gt;&lt;/dates&gt;&lt;publisher&gt;Gen. Tech. Rep. NRS-27. Newtown Square, PA: U.S. Department of Agriculture, Forest Service, Northern Research Station.72p&lt;/publisher&gt;&lt;urls&gt;&lt;related-urls&gt;&lt;url&gt;http://www.treesearch.fs.fed.us/pubs/15758&lt;/url&gt;&lt;/related-urls&gt;&lt;/urls&gt;&lt;/record&gt;&lt;/Cite&gt;&lt;/EndNote&gt;</w:instrText>
      </w:r>
      <w:r w:rsidR="001E38C6">
        <w:fldChar w:fldCharType="separate"/>
      </w:r>
      <w:r w:rsidR="00737C5E">
        <w:rPr>
          <w:noProof/>
        </w:rPr>
        <w:t>(</w:t>
      </w:r>
      <w:hyperlink w:anchor="_ENREF_32" w:tooltip="Butler, 2008b #47" w:history="1">
        <w:r w:rsidR="001E4C88">
          <w:rPr>
            <w:noProof/>
          </w:rPr>
          <w:t>Butler 2008b</w:t>
        </w:r>
      </w:hyperlink>
      <w:r w:rsidR="00737C5E">
        <w:rPr>
          <w:noProof/>
        </w:rPr>
        <w:t>)</w:t>
      </w:r>
      <w:r w:rsidR="001E38C6">
        <w:fldChar w:fldCharType="end"/>
      </w:r>
      <w:r w:rsidR="00AD7A5E">
        <w:t>.</w:t>
      </w:r>
      <w:r w:rsidR="00DA3116">
        <w:rPr>
          <w:rFonts w:asciiTheme="minorHAnsi" w:hAnsiTheme="minorHAnsi" w:cstheme="minorHAnsi"/>
        </w:rPr>
        <w:t xml:space="preserve">  </w:t>
      </w:r>
      <w:r w:rsidR="00DA3116">
        <w:t>This is probably due to the fact that FFOs without a written plan are usual</w:t>
      </w:r>
      <w:r w:rsidR="00B35BA7">
        <w:t>ly not eligible for present-use</w:t>
      </w:r>
      <w:r w:rsidR="00DA3116">
        <w:t xml:space="preserve"> valuation</w:t>
      </w:r>
      <w:r w:rsidR="00B35BA7">
        <w:t xml:space="preserve"> (i.e. timberland appraisal)</w:t>
      </w:r>
      <w:r w:rsidR="00DA3116">
        <w:t>, which markedly reduces assessed property taxes</w:t>
      </w:r>
      <w:r w:rsidR="009B4034">
        <w:t>.</w:t>
      </w:r>
      <w:r w:rsidR="00DA3116">
        <w:t xml:space="preserve"> </w:t>
      </w:r>
      <w:r w:rsidR="009B4034">
        <w:t xml:space="preserve"> </w:t>
      </w:r>
      <w:r w:rsidR="00DA3116">
        <w:t>Therefore, m</w:t>
      </w:r>
      <w:r w:rsidR="002E3C28">
        <w:t>any</w:t>
      </w:r>
      <w:r w:rsidR="00DA3116">
        <w:t xml:space="preserve"> FFOs </w:t>
      </w:r>
      <w:r w:rsidR="002E3C28">
        <w:t>could</w:t>
      </w:r>
      <w:r w:rsidR="008918AE">
        <w:t xml:space="preserve"> presumably</w:t>
      </w:r>
      <w:r w:rsidR="009B4034">
        <w:t xml:space="preserve"> be persuaded </w:t>
      </w:r>
      <w:r w:rsidR="008918AE">
        <w:t xml:space="preserve">by a qualified forester </w:t>
      </w:r>
      <w:r w:rsidR="009B4034">
        <w:t xml:space="preserve">to </w:t>
      </w:r>
      <w:r w:rsidR="0062167D">
        <w:t>revise</w:t>
      </w:r>
      <w:r w:rsidR="002E3C28">
        <w:t xml:space="preserve"> unsustainable harvesting plans for </w:t>
      </w:r>
      <w:r w:rsidR="00B35BA7">
        <w:t>property tax,</w:t>
      </w:r>
      <w:r w:rsidR="002E3C28">
        <w:t xml:space="preserve"> </w:t>
      </w:r>
      <w:r w:rsidR="00B35BA7">
        <w:t xml:space="preserve">sustainability, </w:t>
      </w:r>
      <w:r w:rsidR="002E3C28">
        <w:t>and legacy purposes</w:t>
      </w:r>
      <w:r w:rsidR="008918AE">
        <w:t>.</w:t>
      </w:r>
      <w:r w:rsidR="002E3C28">
        <w:t xml:space="preserve"> </w:t>
      </w:r>
      <w:r w:rsidR="007E7FCD">
        <w:t xml:space="preserve"> </w:t>
      </w:r>
      <w:r w:rsidR="00C40813">
        <w:rPr>
          <w:rFonts w:asciiTheme="minorHAnsi" w:hAnsiTheme="minorHAnsi" w:cstheme="minorHAnsi"/>
        </w:rPr>
        <w:t>This presents a dilemma, as pr</w:t>
      </w:r>
      <w:r w:rsidR="008F7956">
        <w:rPr>
          <w:rFonts w:asciiTheme="minorHAnsi" w:hAnsiTheme="minorHAnsi" w:cstheme="minorHAnsi"/>
        </w:rPr>
        <w:t>ojects</w:t>
      </w:r>
      <w:r w:rsidR="003F6D2B">
        <w:rPr>
          <w:rFonts w:asciiTheme="minorHAnsi" w:hAnsiTheme="minorHAnsi" w:cstheme="minorHAnsi"/>
        </w:rPr>
        <w:t xml:space="preserve"> </w:t>
      </w:r>
      <w:r w:rsidR="00320730">
        <w:rPr>
          <w:rFonts w:asciiTheme="minorHAnsi" w:hAnsiTheme="minorHAnsi" w:cstheme="minorHAnsi"/>
        </w:rPr>
        <w:t xml:space="preserve">in </w:t>
      </w:r>
      <w:r w:rsidR="003F6D2B">
        <w:rPr>
          <w:rFonts w:asciiTheme="minorHAnsi" w:hAnsiTheme="minorHAnsi" w:cstheme="minorHAnsi"/>
        </w:rPr>
        <w:t>similar</w:t>
      </w:r>
      <w:r w:rsidR="008F7956">
        <w:rPr>
          <w:rFonts w:asciiTheme="minorHAnsi" w:hAnsiTheme="minorHAnsi" w:cstheme="minorHAnsi"/>
        </w:rPr>
        <w:t xml:space="preserve"> </w:t>
      </w:r>
      <w:r w:rsidR="00320730">
        <w:rPr>
          <w:rFonts w:asciiTheme="minorHAnsi" w:hAnsiTheme="minorHAnsi" w:cstheme="minorHAnsi"/>
        </w:rPr>
        <w:t>circumstances as those modeled herein</w:t>
      </w:r>
      <w:r w:rsidR="008F7956">
        <w:rPr>
          <w:rFonts w:asciiTheme="minorHAnsi" w:hAnsiTheme="minorHAnsi" w:cstheme="minorHAnsi"/>
        </w:rPr>
        <w:t xml:space="preserve"> would </w:t>
      </w:r>
      <w:r w:rsidR="007E7FCD">
        <w:rPr>
          <w:rFonts w:asciiTheme="minorHAnsi" w:hAnsiTheme="minorHAnsi" w:cstheme="minorHAnsi"/>
        </w:rPr>
        <w:t>not be conceivable</w:t>
      </w:r>
      <w:r w:rsidR="008F7956">
        <w:rPr>
          <w:rFonts w:asciiTheme="minorHAnsi" w:hAnsiTheme="minorHAnsi" w:cstheme="minorHAnsi"/>
        </w:rPr>
        <w:t xml:space="preserve"> under </w:t>
      </w:r>
      <w:r w:rsidR="00A0557E">
        <w:rPr>
          <w:rFonts w:asciiTheme="minorHAnsi" w:hAnsiTheme="minorHAnsi" w:cstheme="minorHAnsi"/>
        </w:rPr>
        <w:t>the alternative</w:t>
      </w:r>
      <w:r>
        <w:rPr>
          <w:rFonts w:asciiTheme="minorHAnsi" w:hAnsiTheme="minorHAnsi" w:cstheme="minorHAnsi"/>
        </w:rPr>
        <w:t xml:space="preserve"> baseline</w:t>
      </w:r>
      <w:r w:rsidR="005058A9">
        <w:rPr>
          <w:rFonts w:asciiTheme="minorHAnsi" w:hAnsiTheme="minorHAnsi" w:cstheme="minorHAnsi"/>
        </w:rPr>
        <w:t xml:space="preserve"> </w:t>
      </w:r>
      <w:r w:rsidR="00A0557E">
        <w:rPr>
          <w:rFonts w:asciiTheme="minorHAnsi" w:hAnsiTheme="minorHAnsi" w:cstheme="minorHAnsi"/>
        </w:rPr>
        <w:t>approach</w:t>
      </w:r>
      <w:r>
        <w:rPr>
          <w:rFonts w:asciiTheme="minorHAnsi" w:hAnsiTheme="minorHAnsi" w:cstheme="minorHAnsi"/>
        </w:rPr>
        <w:t xml:space="preserve"> </w:t>
      </w:r>
      <w:r w:rsidR="00A0557E">
        <w:rPr>
          <w:rFonts w:asciiTheme="minorHAnsi" w:hAnsiTheme="minorHAnsi" w:cstheme="minorHAnsi"/>
        </w:rPr>
        <w:t>if</w:t>
      </w:r>
      <w:r>
        <w:rPr>
          <w:rFonts w:asciiTheme="minorHAnsi" w:hAnsiTheme="minorHAnsi" w:cstheme="minorHAnsi"/>
        </w:rPr>
        <w:t xml:space="preserve"> financial additionality</w:t>
      </w:r>
      <w:r w:rsidR="00A0557E">
        <w:rPr>
          <w:rFonts w:asciiTheme="minorHAnsi" w:hAnsiTheme="minorHAnsi" w:cstheme="minorHAnsi"/>
        </w:rPr>
        <w:t xml:space="preserve"> was </w:t>
      </w:r>
      <w:r w:rsidR="00EA503D">
        <w:rPr>
          <w:rFonts w:asciiTheme="minorHAnsi" w:hAnsiTheme="minorHAnsi" w:cstheme="minorHAnsi"/>
        </w:rPr>
        <w:t xml:space="preserve">strictly </w:t>
      </w:r>
      <w:r w:rsidR="00A0557E">
        <w:rPr>
          <w:rFonts w:asciiTheme="minorHAnsi" w:hAnsiTheme="minorHAnsi" w:cstheme="minorHAnsi"/>
        </w:rPr>
        <w:t>required</w:t>
      </w:r>
      <w:r w:rsidR="009E05C6">
        <w:rPr>
          <w:rFonts w:asciiTheme="minorHAnsi" w:hAnsiTheme="minorHAnsi" w:cstheme="minorHAnsi"/>
        </w:rPr>
        <w:t xml:space="preserve"> despite the obvious additionality of oak sustaining silviculture</w:t>
      </w:r>
      <w:r w:rsidR="009370CA">
        <w:rPr>
          <w:rFonts w:asciiTheme="minorHAnsi" w:hAnsiTheme="minorHAnsi" w:cstheme="minorHAnsi"/>
        </w:rPr>
        <w:t>.</w:t>
      </w:r>
      <w:r w:rsidR="00320730">
        <w:rPr>
          <w:rFonts w:asciiTheme="minorHAnsi" w:hAnsiTheme="minorHAnsi" w:cstheme="minorHAnsi"/>
        </w:rPr>
        <w:t xml:space="preserve">  However</w:t>
      </w:r>
      <w:r w:rsidR="00C501DA">
        <w:rPr>
          <w:rFonts w:asciiTheme="minorHAnsi" w:hAnsiTheme="minorHAnsi" w:cstheme="minorHAnsi"/>
        </w:rPr>
        <w:t xml:space="preserve">, perhaps </w:t>
      </w:r>
      <w:r w:rsidR="00674652">
        <w:rPr>
          <w:rFonts w:asciiTheme="minorHAnsi" w:hAnsiTheme="minorHAnsi" w:cstheme="minorHAnsi"/>
        </w:rPr>
        <w:t>this</w:t>
      </w:r>
      <w:r w:rsidR="00C501DA">
        <w:rPr>
          <w:rFonts w:asciiTheme="minorHAnsi" w:hAnsiTheme="minorHAnsi" w:cstheme="minorHAnsi"/>
        </w:rPr>
        <w:t xml:space="preserve"> </w:t>
      </w:r>
      <w:r w:rsidR="001E38C6">
        <w:rPr>
          <w:rFonts w:asciiTheme="minorHAnsi" w:hAnsiTheme="minorHAnsi" w:cstheme="minorHAnsi"/>
        </w:rPr>
        <w:t xml:space="preserve">potential </w:t>
      </w:r>
      <w:r w:rsidR="007E7FCD">
        <w:rPr>
          <w:rFonts w:asciiTheme="minorHAnsi" w:hAnsiTheme="minorHAnsi" w:cstheme="minorHAnsi"/>
        </w:rPr>
        <w:t xml:space="preserve">for </w:t>
      </w:r>
      <w:r w:rsidR="00C501DA">
        <w:rPr>
          <w:rFonts w:asciiTheme="minorHAnsi" w:hAnsiTheme="minorHAnsi" w:cstheme="minorHAnsi"/>
        </w:rPr>
        <w:t>missed opportunities could be minimized with a “back door” provision</w:t>
      </w:r>
      <w:r w:rsidR="00BB02E0">
        <w:rPr>
          <w:rFonts w:asciiTheme="minorHAnsi" w:hAnsiTheme="minorHAnsi" w:cstheme="minorHAnsi"/>
        </w:rPr>
        <w:t>,</w:t>
      </w:r>
      <w:r w:rsidR="00C501DA">
        <w:rPr>
          <w:rFonts w:asciiTheme="minorHAnsi" w:hAnsiTheme="minorHAnsi" w:cstheme="minorHAnsi"/>
        </w:rPr>
        <w:t xml:space="preserve"> whereby projects </w:t>
      </w:r>
      <w:r w:rsidR="00203EF9">
        <w:rPr>
          <w:rFonts w:asciiTheme="minorHAnsi" w:hAnsiTheme="minorHAnsi" w:cstheme="minorHAnsi"/>
        </w:rPr>
        <w:t>that sacrifice economic value</w:t>
      </w:r>
      <w:r w:rsidR="00C54DA8">
        <w:rPr>
          <w:rFonts w:asciiTheme="minorHAnsi" w:hAnsiTheme="minorHAnsi" w:cstheme="minorHAnsi"/>
        </w:rPr>
        <w:t xml:space="preserve"> (relative to BAU)</w:t>
      </w:r>
      <w:r w:rsidR="00203EF9">
        <w:rPr>
          <w:rFonts w:asciiTheme="minorHAnsi" w:hAnsiTheme="minorHAnsi" w:cstheme="minorHAnsi"/>
        </w:rPr>
        <w:t xml:space="preserve"> </w:t>
      </w:r>
      <w:r w:rsidR="00916C3F">
        <w:rPr>
          <w:rFonts w:asciiTheme="minorHAnsi" w:hAnsiTheme="minorHAnsi" w:cstheme="minorHAnsi"/>
        </w:rPr>
        <w:t xml:space="preserve">by adopting unconventional </w:t>
      </w:r>
      <w:r w:rsidR="00320730">
        <w:rPr>
          <w:rFonts w:asciiTheme="minorHAnsi" w:hAnsiTheme="minorHAnsi" w:cstheme="minorHAnsi"/>
        </w:rPr>
        <w:t xml:space="preserve">management </w:t>
      </w:r>
      <w:r w:rsidR="00916C3F">
        <w:rPr>
          <w:rFonts w:asciiTheme="minorHAnsi" w:hAnsiTheme="minorHAnsi" w:cstheme="minorHAnsi"/>
        </w:rPr>
        <w:t>practices</w:t>
      </w:r>
      <w:r w:rsidR="007E7FCD">
        <w:rPr>
          <w:rFonts w:asciiTheme="minorHAnsi" w:hAnsiTheme="minorHAnsi" w:cstheme="minorHAnsi"/>
        </w:rPr>
        <w:t>,</w:t>
      </w:r>
      <w:r w:rsidR="00916C3F">
        <w:rPr>
          <w:rFonts w:asciiTheme="minorHAnsi" w:hAnsiTheme="minorHAnsi" w:cstheme="minorHAnsi"/>
        </w:rPr>
        <w:t xml:space="preserve"> </w:t>
      </w:r>
      <w:r w:rsidR="00C501DA">
        <w:rPr>
          <w:rFonts w:asciiTheme="minorHAnsi" w:hAnsiTheme="minorHAnsi" w:cstheme="minorHAnsi"/>
        </w:rPr>
        <w:t xml:space="preserve">such as those </w:t>
      </w:r>
      <w:r w:rsidR="009E05C6">
        <w:rPr>
          <w:rFonts w:asciiTheme="minorHAnsi" w:hAnsiTheme="minorHAnsi" w:cstheme="minorHAnsi"/>
        </w:rPr>
        <w:t xml:space="preserve">that regenerate </w:t>
      </w:r>
      <w:r w:rsidR="007E7FCD">
        <w:rPr>
          <w:rFonts w:asciiTheme="minorHAnsi" w:hAnsiTheme="minorHAnsi" w:cstheme="minorHAnsi"/>
        </w:rPr>
        <w:t>and sustain</w:t>
      </w:r>
      <w:r w:rsidR="009E05C6">
        <w:rPr>
          <w:rFonts w:asciiTheme="minorHAnsi" w:hAnsiTheme="minorHAnsi" w:cstheme="minorHAnsi"/>
        </w:rPr>
        <w:t xml:space="preserve"> oaks</w:t>
      </w:r>
      <w:r w:rsidR="007E7FCD">
        <w:rPr>
          <w:rFonts w:asciiTheme="minorHAnsi" w:hAnsiTheme="minorHAnsi" w:cstheme="minorHAnsi"/>
        </w:rPr>
        <w:t>,</w:t>
      </w:r>
      <w:r w:rsidR="00C501DA">
        <w:rPr>
          <w:rFonts w:asciiTheme="minorHAnsi" w:hAnsiTheme="minorHAnsi" w:cstheme="minorHAnsi"/>
        </w:rPr>
        <w:t xml:space="preserve"> would </w:t>
      </w:r>
      <w:r w:rsidR="00BB02E0">
        <w:rPr>
          <w:rFonts w:asciiTheme="minorHAnsi" w:hAnsiTheme="minorHAnsi" w:cstheme="minorHAnsi"/>
        </w:rPr>
        <w:t xml:space="preserve">still </w:t>
      </w:r>
      <w:r w:rsidR="00C501DA">
        <w:rPr>
          <w:rFonts w:asciiTheme="minorHAnsi" w:hAnsiTheme="minorHAnsi" w:cstheme="minorHAnsi"/>
        </w:rPr>
        <w:t xml:space="preserve">be eligible </w:t>
      </w:r>
      <w:r w:rsidR="00916C3F">
        <w:rPr>
          <w:rFonts w:asciiTheme="minorHAnsi" w:hAnsiTheme="minorHAnsi" w:cstheme="minorHAnsi"/>
        </w:rPr>
        <w:t>for participation</w:t>
      </w:r>
      <w:r w:rsidR="007E7FCD">
        <w:rPr>
          <w:rFonts w:asciiTheme="minorHAnsi" w:hAnsiTheme="minorHAnsi" w:cstheme="minorHAnsi"/>
        </w:rPr>
        <w:t xml:space="preserve">. </w:t>
      </w:r>
    </w:p>
    <w:p w:rsidR="00715885" w:rsidRPr="002B58DD" w:rsidRDefault="00715885" w:rsidP="00715885">
      <w:pPr>
        <w:numPr>
          <w:ilvl w:val="1"/>
          <w:numId w:val="21"/>
        </w:numPr>
        <w:rPr>
          <w:rFonts w:cs="Calibri"/>
          <w:b/>
          <w:i/>
        </w:rPr>
      </w:pPr>
      <w:r w:rsidRPr="002B58DD">
        <w:rPr>
          <w:rFonts w:cs="Calibri"/>
          <w:b/>
          <w:i/>
        </w:rPr>
        <w:t>Alternative Strategies and Niche Opportunities</w:t>
      </w:r>
    </w:p>
    <w:p w:rsidR="00715885" w:rsidRPr="0050343F" w:rsidRDefault="00715885" w:rsidP="00715885">
      <w:pPr>
        <w:autoSpaceDE w:val="0"/>
        <w:autoSpaceDN w:val="0"/>
        <w:adjustRightInd w:val="0"/>
        <w:spacing w:line="480" w:lineRule="auto"/>
        <w:ind w:firstLine="720"/>
        <w:rPr>
          <w:rFonts w:cs="Calibri"/>
        </w:rPr>
      </w:pPr>
      <w:r w:rsidRPr="0050343F">
        <w:rPr>
          <w:rFonts w:cs="Calibri"/>
        </w:rPr>
        <w:t>Group selection may be a more compatible harvesting strategy for IFM projects, especially</w:t>
      </w:r>
      <w:r w:rsidR="006D7970">
        <w:rPr>
          <w:rFonts w:cs="Calibri"/>
        </w:rPr>
        <w:t xml:space="preserve"> those that are relatively smal</w:t>
      </w:r>
      <w:r w:rsidR="006D27EF">
        <w:rPr>
          <w:rFonts w:cs="Calibri"/>
        </w:rPr>
        <w:t>l</w:t>
      </w:r>
      <w:r w:rsidRPr="0050343F">
        <w:rPr>
          <w:rFonts w:cs="Calibri"/>
        </w:rPr>
        <w:t xml:space="preserve">, since patch cuts of adequate size can successfully regenerate monetarily valuable </w:t>
      </w:r>
      <w:r>
        <w:rPr>
          <w:rFonts w:cs="Calibri"/>
        </w:rPr>
        <w:t xml:space="preserve">intolerant </w:t>
      </w:r>
      <w:r w:rsidRPr="0050343F">
        <w:rPr>
          <w:rFonts w:cs="Calibri"/>
        </w:rPr>
        <w:t xml:space="preserve">species </w:t>
      </w:r>
      <w:r w:rsidRPr="0050343F">
        <w:rPr>
          <w:rFonts w:cs="Calibri"/>
        </w:rPr>
        <w:fldChar w:fldCharType="begin"/>
      </w:r>
      <w:r w:rsidR="00A87D07">
        <w:rPr>
          <w:rFonts w:cs="Calibri"/>
        </w:rPr>
        <w:instrText xml:space="preserve"> ADDIN EN.CITE &lt;EndNote&gt;&lt;Cite&gt;&lt;Author&gt;Dale&lt;/Author&gt;&lt;Year&gt;1995&lt;/Year&gt;&lt;RecNum&gt;215&lt;/RecNum&gt;&lt;DisplayText&gt;(Dale et al. 1995)&lt;/DisplayText&gt;&lt;record&gt;&lt;rec-number&gt;215&lt;/rec-number&gt;&lt;foreign-keys&gt;&lt;key app="EN" db-id="a90s5zadewrawxeer07v2f90xr5vxv022sat"&gt;215&lt;/key&gt;&lt;/foreign-keys&gt;&lt;ref-type name="Report"&gt;27&lt;/ref-type&gt;&lt;contributors&gt;&lt;authors&gt;&lt;author&gt;Dale, Martin E.&lt;/author&gt;&lt;author&gt;Smith, H. Clay&lt;/author&gt;&lt;author&gt;Pearcy, Jeffrey N.&lt;/author&gt;&lt;/authors&gt;&lt;/contributors&gt;&lt;titles&gt;&lt;title&gt;Size of clearcut opening affects species composition, growth rate, and stand characteristics. Res. Pap. NE-698. Radnor, PA: U.S. Department of Agriculture, Forest Service, Northeastern Forest Experiment Station. 21 p&lt;/title&gt;&lt;/titles&gt;&lt;keywords&gt;&lt;keyword&gt;Central hardwoods, opening size, species composition, stand productivity&lt;/keyword&gt;&lt;/keywords&gt;&lt;dates&gt;&lt;year&gt;1995&lt;/year&gt;&lt;/dates&gt;&lt;urls&gt;&lt;/urls&gt;&lt;/record&gt;&lt;/Cite&gt;&lt;/EndNote&gt;</w:instrText>
      </w:r>
      <w:r w:rsidRPr="0050343F">
        <w:rPr>
          <w:rFonts w:cs="Calibri"/>
        </w:rPr>
        <w:fldChar w:fldCharType="separate"/>
      </w:r>
      <w:r w:rsidR="00A87D07">
        <w:rPr>
          <w:rFonts w:cs="Calibri"/>
          <w:noProof/>
        </w:rPr>
        <w:t>(</w:t>
      </w:r>
      <w:hyperlink w:anchor="_ENREF_43" w:tooltip="Dale, 1995 #215" w:history="1">
        <w:r w:rsidR="001E4C88">
          <w:rPr>
            <w:rFonts w:cs="Calibri"/>
            <w:noProof/>
          </w:rPr>
          <w:t>Dale et al. 1995</w:t>
        </w:r>
      </w:hyperlink>
      <w:r w:rsidR="00A87D07">
        <w:rPr>
          <w:rFonts w:cs="Calibri"/>
          <w:noProof/>
        </w:rPr>
        <w:t>)</w:t>
      </w:r>
      <w:r w:rsidRPr="0050343F">
        <w:rPr>
          <w:rFonts w:cs="Calibri"/>
        </w:rPr>
        <w:fldChar w:fldCharType="end"/>
      </w:r>
      <w:r>
        <w:rPr>
          <w:rFonts w:cs="Calibri"/>
        </w:rPr>
        <w:t xml:space="preserve">, </w:t>
      </w:r>
      <w:r w:rsidR="00C15FF5">
        <w:rPr>
          <w:rFonts w:cs="Calibri"/>
        </w:rPr>
        <w:t>perhaps even oaks if coupled with requisite treatments</w:t>
      </w:r>
      <w:r w:rsidRPr="0050343F">
        <w:rPr>
          <w:rFonts w:cs="Calibri"/>
        </w:rPr>
        <w:t xml:space="preserve">.  </w:t>
      </w:r>
      <w:r w:rsidR="009F4F16">
        <w:rPr>
          <w:rFonts w:cs="Calibri"/>
        </w:rPr>
        <w:t xml:space="preserve">In fact, </w:t>
      </w:r>
      <w:r w:rsidR="001920E8">
        <w:rPr>
          <w:rFonts w:cs="Calibri"/>
        </w:rPr>
        <w:t xml:space="preserve">hardwood management can become more efficient in this way by targeting </w:t>
      </w:r>
      <w:r w:rsidR="009F4F16">
        <w:rPr>
          <w:rFonts w:cs="Calibri"/>
        </w:rPr>
        <w:t>mixed-oak forest patches in most need of management</w:t>
      </w:r>
      <w:r w:rsidR="001920E8">
        <w:rPr>
          <w:rFonts w:cs="Calibri"/>
        </w:rPr>
        <w:t>.</w:t>
      </w:r>
      <w:r w:rsidR="009F4F16">
        <w:rPr>
          <w:rFonts w:cs="Calibri"/>
        </w:rPr>
        <w:t xml:space="preserve">  </w:t>
      </w:r>
      <w:r w:rsidRPr="0050343F">
        <w:rPr>
          <w:rFonts w:cs="Calibri"/>
        </w:rPr>
        <w:t xml:space="preserve">Apart from species diversity considerations, the establishment of even age cohorts </w:t>
      </w:r>
      <w:r w:rsidR="00256EA9">
        <w:rPr>
          <w:rFonts w:cs="Calibri"/>
        </w:rPr>
        <w:t xml:space="preserve">in this way </w:t>
      </w:r>
      <w:r w:rsidRPr="0050343F">
        <w:rPr>
          <w:rFonts w:cs="Calibri"/>
        </w:rPr>
        <w:t xml:space="preserve">(as opposed to single-tree selection) facilitates good stem form development </w:t>
      </w:r>
      <w:r w:rsidRPr="0050343F">
        <w:rPr>
          <w:rFonts w:cs="Calibri"/>
        </w:rPr>
        <w:fldChar w:fldCharType="begin"/>
      </w:r>
      <w:r w:rsidR="00CE2DF2">
        <w:rPr>
          <w:rFonts w:cs="Calibri"/>
        </w:rPr>
        <w:instrText xml:space="preserve"> ADDIN EN.CITE &lt;EndNote&gt;&lt;Cite&gt;&lt;Author&gt;Smith&lt;/Author&gt;&lt;Year&gt;1981&lt;/Year&gt;&lt;RecNum&gt;216&lt;/RecNum&gt;&lt;DisplayText&gt;(Smith 1981)&lt;/DisplayText&gt;&lt;record&gt;&lt;rec-number&gt;216&lt;/rec-number&gt;&lt;foreign-keys&gt;&lt;key app="EN" db-id="a90s5zadewrawxeer07v2f90xr5vxv022sat"&gt;216&lt;/key&gt;&lt;/foreign-keys&gt;&lt;ref-type name="Report"&gt;27&lt;/ref-type&gt;&lt;contributors&gt;&lt;authors&gt;&lt;author&gt;Smith, H.C.&lt;/author&gt;&lt;/authors&gt;&lt;/contributors&gt;&lt;titles&gt;&lt;title&gt;Diameters of clearcut openings influence central Appalachian hardwood stem development -A 10-year study. Res. Pap. NE-476. Broomall, PA: U.S. Department of Agriculture, Forest Service, Northeastern Forest Experiment Station. 8 p&lt;/title&gt;&lt;/titles&gt;&lt;dates&gt;&lt;year&gt;1981&lt;/year&gt;&lt;/dates&gt;&lt;urls&gt;&lt;/urls&gt;&lt;/record&gt;&lt;/Cite&gt;&lt;/EndNote&gt;</w:instrText>
      </w:r>
      <w:r w:rsidRPr="0050343F">
        <w:rPr>
          <w:rFonts w:cs="Calibri"/>
        </w:rPr>
        <w:fldChar w:fldCharType="separate"/>
      </w:r>
      <w:r w:rsidR="00CE2DF2">
        <w:rPr>
          <w:rFonts w:cs="Calibri"/>
          <w:noProof/>
        </w:rPr>
        <w:t>(</w:t>
      </w:r>
      <w:hyperlink w:anchor="_ENREF_124" w:tooltip="Smith, 1981 #216" w:history="1">
        <w:r w:rsidR="001E4C88">
          <w:rPr>
            <w:rFonts w:cs="Calibri"/>
            <w:noProof/>
          </w:rPr>
          <w:t>Smith 1981</w:t>
        </w:r>
      </w:hyperlink>
      <w:r w:rsidR="00CE2DF2">
        <w:rPr>
          <w:rFonts w:cs="Calibri"/>
          <w:noProof/>
        </w:rPr>
        <w:t>)</w:t>
      </w:r>
      <w:r w:rsidRPr="0050343F">
        <w:rPr>
          <w:rFonts w:cs="Calibri"/>
        </w:rPr>
        <w:fldChar w:fldCharType="end"/>
      </w:r>
      <w:r w:rsidRPr="0050343F">
        <w:rPr>
          <w:rFonts w:cs="Calibri"/>
        </w:rPr>
        <w:t xml:space="preserve">, which is </w:t>
      </w:r>
      <w:r w:rsidR="007F5A14">
        <w:rPr>
          <w:rFonts w:cs="Calibri"/>
        </w:rPr>
        <w:t>essential</w:t>
      </w:r>
      <w:r w:rsidRPr="0050343F">
        <w:rPr>
          <w:rFonts w:cs="Calibri"/>
        </w:rPr>
        <w:t xml:space="preserve"> in </w:t>
      </w:r>
      <w:r w:rsidRPr="0050343F">
        <w:rPr>
          <w:rFonts w:cs="Calibri"/>
        </w:rPr>
        <w:lastRenderedPageBreak/>
        <w:t xml:space="preserve">hardwood timber production.  Group selection complicates management planning and lowers financial yields, but harvesting small patches in lieu of entire stands lends itself to maintaining overall carbon stocks and </w:t>
      </w:r>
      <w:r w:rsidR="006D27EF">
        <w:rPr>
          <w:rFonts w:cs="Calibri"/>
        </w:rPr>
        <w:t xml:space="preserve">a potentially </w:t>
      </w:r>
      <w:r w:rsidRPr="0050343F">
        <w:rPr>
          <w:rFonts w:cs="Calibri"/>
        </w:rPr>
        <w:t>rapi</w:t>
      </w:r>
      <w:r w:rsidR="00C15FF5">
        <w:rPr>
          <w:rFonts w:cs="Calibri"/>
        </w:rPr>
        <w:t>d return to creditable carbon gains, whose value could offset increased management costs.</w:t>
      </w:r>
      <w:r w:rsidRPr="0050343F">
        <w:rPr>
          <w:rFonts w:cs="Calibri"/>
        </w:rPr>
        <w:t xml:space="preserve"> </w:t>
      </w:r>
      <w:r w:rsidR="00C15FF5">
        <w:rPr>
          <w:rFonts w:cs="Calibri"/>
        </w:rPr>
        <w:t xml:space="preserve"> </w:t>
      </w:r>
      <w:r w:rsidR="007F5A14" w:rsidRPr="0050343F">
        <w:rPr>
          <w:rFonts w:cs="Calibri"/>
        </w:rPr>
        <w:t>Patch cuts in some cases can</w:t>
      </w:r>
      <w:r w:rsidR="007F5A14">
        <w:rPr>
          <w:rFonts w:cs="Calibri"/>
        </w:rPr>
        <w:t xml:space="preserve"> actually</w:t>
      </w:r>
      <w:r w:rsidR="007F5A14" w:rsidRPr="0050343F">
        <w:rPr>
          <w:rFonts w:cs="Calibri"/>
        </w:rPr>
        <w:t xml:space="preserve"> be as financially attractive as diameter limit cuts </w:t>
      </w:r>
      <w:r w:rsidR="006D27EF">
        <w:rPr>
          <w:rFonts w:cs="Calibri"/>
        </w:rPr>
        <w:t xml:space="preserve">without carbon compensation </w:t>
      </w:r>
      <w:r w:rsidR="007F5A14" w:rsidRPr="0050343F">
        <w:rPr>
          <w:rFonts w:cs="Calibri"/>
        </w:rPr>
        <w:fldChar w:fldCharType="begin"/>
      </w:r>
      <w:r w:rsidR="00083723">
        <w:rPr>
          <w:rFonts w:cs="Calibri"/>
        </w:rPr>
        <w:instrText xml:space="preserve"> ADDIN EN.CITE &lt;EndNote&gt;&lt;Cite&gt;&lt;Author&gt;Baumgras&lt;/Author&gt;&lt;Year&gt;1995&lt;/Year&gt;&lt;RecNum&gt;157&lt;/RecNum&gt;&lt;DisplayText&gt;(Baumgras and Ledoux 1995)&lt;/DisplayText&gt;&lt;record&gt;&lt;rec-number&gt;157&lt;/rec-number&gt;&lt;foreign-keys&gt;&lt;key app="EN" db-id="a90s5zadewrawxeer07v2f90xr5vxv022sat"&gt;157&lt;/key&gt;&lt;/foreign-keys&gt;&lt;ref-type name="Report"&gt;27&lt;/ref-type&gt;&lt;contributors&gt;&lt;authors&gt;&lt;author&gt;Baumgras, John E.&lt;/author&gt;&lt;author&gt;LeDoux, Chris B.&lt;/author&gt;&lt;/authors&gt;&lt;/contributors&gt;&lt;titles&gt;&lt;title&gt;Hardwood silviculture and skyline yarding on steep slopes: economic and environmental impacts. In: Gottschalk, Kurt W.; Fosbroke, Sandra L. C., ed. Proceedings, 10th Central Hardwood Forest Conference; 1995 March 5-8; Morgantown, WV.: Gen. Tech. Rep. NE-197. Radnor, PA: U.S. Department of Agriculture, Forest Service, Northeastern Forest Experiment Station. 463-473&lt;/title&gt;&lt;/titles&gt;&lt;dates&gt;&lt;year&gt;1995&lt;/year&gt;&lt;/dates&gt;&lt;urls&gt;&lt;/urls&gt;&lt;/record&gt;&lt;/Cite&gt;&lt;/EndNote&gt;</w:instrText>
      </w:r>
      <w:r w:rsidR="007F5A14" w:rsidRPr="0050343F">
        <w:rPr>
          <w:rFonts w:cs="Calibri"/>
        </w:rPr>
        <w:fldChar w:fldCharType="separate"/>
      </w:r>
      <w:r w:rsidR="00083723">
        <w:rPr>
          <w:rFonts w:cs="Calibri"/>
          <w:noProof/>
        </w:rPr>
        <w:t>(</w:t>
      </w:r>
      <w:hyperlink w:anchor="_ENREF_24" w:tooltip="Baumgras, 1995 #157" w:history="1">
        <w:r w:rsidR="001E4C88">
          <w:rPr>
            <w:rFonts w:cs="Calibri"/>
            <w:noProof/>
          </w:rPr>
          <w:t>Baumgras and Ledoux 1995</w:t>
        </w:r>
      </w:hyperlink>
      <w:r w:rsidR="00083723">
        <w:rPr>
          <w:rFonts w:cs="Calibri"/>
          <w:noProof/>
        </w:rPr>
        <w:t>)</w:t>
      </w:r>
      <w:r w:rsidR="007F5A14" w:rsidRPr="0050343F">
        <w:rPr>
          <w:rFonts w:cs="Calibri"/>
        </w:rPr>
        <w:fldChar w:fldCharType="end"/>
      </w:r>
      <w:r w:rsidR="007F5A14" w:rsidRPr="0050343F">
        <w:rPr>
          <w:rFonts w:cs="Calibri"/>
        </w:rPr>
        <w:t xml:space="preserve">.  </w:t>
      </w:r>
      <w:r w:rsidR="00077582">
        <w:rPr>
          <w:rFonts w:cs="Calibri"/>
        </w:rPr>
        <w:t xml:space="preserve">Furthermore, this uneven-aged approach would make the project owner exempt from the costly </w:t>
      </w:r>
      <w:r w:rsidR="007D353B">
        <w:rPr>
          <w:rFonts w:cs="Calibri"/>
        </w:rPr>
        <w:t>sustainable forestry</w:t>
      </w:r>
      <w:r w:rsidR="00077582">
        <w:rPr>
          <w:rFonts w:cs="Calibri"/>
        </w:rPr>
        <w:t xml:space="preserve"> certification requirement of the protocol.  </w:t>
      </w:r>
      <w:r w:rsidRPr="0050343F">
        <w:rPr>
          <w:rFonts w:cs="Calibri"/>
        </w:rPr>
        <w:t xml:space="preserve">Because modeling patch cuts is </w:t>
      </w:r>
      <w:r w:rsidR="0062167D">
        <w:rPr>
          <w:rFonts w:cs="Calibri"/>
        </w:rPr>
        <w:t>more involved than the stand-based approach</w:t>
      </w:r>
      <w:r w:rsidRPr="0050343F">
        <w:rPr>
          <w:rFonts w:cs="Calibri"/>
        </w:rPr>
        <w:t>, this harvesti</w:t>
      </w:r>
      <w:r w:rsidR="00C15FF5">
        <w:rPr>
          <w:rFonts w:cs="Calibri"/>
        </w:rPr>
        <w:t>ng method was not evaluated</w:t>
      </w:r>
      <w:r w:rsidRPr="0050343F">
        <w:rPr>
          <w:rFonts w:cs="Calibri"/>
        </w:rPr>
        <w:t xml:space="preserve">.  However, </w:t>
      </w:r>
      <w:r w:rsidRPr="005136EC">
        <w:rPr>
          <w:rFonts w:cs="Calibri"/>
          <w:bCs/>
        </w:rPr>
        <w:t xml:space="preserve">LeDoux et al. </w:t>
      </w:r>
      <w:r w:rsidR="005136EC" w:rsidRPr="005136EC">
        <w:rPr>
          <w:rFonts w:cs="Calibri"/>
          <w:bCs/>
        </w:rPr>
        <w:fldChar w:fldCharType="begin"/>
      </w:r>
      <w:r w:rsidR="005136EC" w:rsidRPr="005136EC">
        <w:rPr>
          <w:rFonts w:cs="Calibri"/>
          <w:bCs/>
        </w:rPr>
        <w:instrText xml:space="preserve"> ADDIN EN.CITE &lt;EndNote&gt;&lt;Cite ExcludeAuth="1"&gt;&lt;Author&gt;LeDoux&lt;/Author&gt;&lt;Year&gt;2003&lt;/Year&gt;&lt;RecNum&gt;316&lt;/RecNum&gt;&lt;DisplayText&gt;(2003)&lt;/DisplayText&gt;&lt;record&gt;&lt;rec-number&gt;316&lt;/rec-number&gt;&lt;foreign-keys&gt;&lt;key app="EN" db-id="a90s5zadewrawxeer07v2f90xr5vxv022sat"&gt;316&lt;/key&gt;&lt;/foreign-keys&gt;&lt;ref-type name="Report"&gt;27&lt;/ref-type&gt;&lt;contributors&gt;&lt;authors&gt;&lt;author&gt;LeDoux, Chris B.&lt;/author&gt;&lt;author&gt;Gopalakrishnan, B.&lt;/author&gt;&lt;author&gt;Pabba, R. S.&lt;/author&gt;&lt;/authors&gt;&lt;/contributors&gt;&lt;titles&gt;&lt;title&gt;An expert system for estimating production rates and costs for hardwood group-selection harvests. In: Van Sambeek, J. W.; Dawson, Jeffery O.; Ponder Jr., Felix; Loewenstein, Edward F.; Fralish, James S., eds. Proceedings of the 13th Central Hardwood Forest Conference; Gen. Tech. Rep. NC-234. St. Paul, MN: U.S. Department of Agriculture, Forest Service, North Central Research Station: 390-396&lt;/title&gt;&lt;/titles&gt;&lt;dates&gt;&lt;year&gt;2003&lt;/year&gt;&lt;/dates&gt;&lt;urls&gt;&lt;related-urls&gt;&lt;url&gt;http://nrs.fs.fed.us/pubs/5782&lt;/url&gt;&lt;/related-urls&gt;&lt;/urls&gt;&lt;/record&gt;&lt;/Cite&gt;&lt;/EndNote&gt;</w:instrText>
      </w:r>
      <w:r w:rsidR="005136EC" w:rsidRPr="005136EC">
        <w:rPr>
          <w:rFonts w:cs="Calibri"/>
          <w:bCs/>
        </w:rPr>
        <w:fldChar w:fldCharType="separate"/>
      </w:r>
      <w:r w:rsidR="005136EC" w:rsidRPr="005136EC">
        <w:rPr>
          <w:rFonts w:cs="Calibri"/>
          <w:bCs/>
          <w:noProof/>
        </w:rPr>
        <w:t>(</w:t>
      </w:r>
      <w:hyperlink w:anchor="_ENREF_84" w:tooltip="LeDoux, 2003 #316" w:history="1">
        <w:r w:rsidR="001E4C88" w:rsidRPr="005136EC">
          <w:rPr>
            <w:rFonts w:cs="Calibri"/>
            <w:bCs/>
            <w:noProof/>
          </w:rPr>
          <w:t>2003</w:t>
        </w:r>
      </w:hyperlink>
      <w:r w:rsidR="005136EC" w:rsidRPr="005136EC">
        <w:rPr>
          <w:rFonts w:cs="Calibri"/>
          <w:bCs/>
          <w:noProof/>
        </w:rPr>
        <w:t>)</w:t>
      </w:r>
      <w:r w:rsidR="005136EC" w:rsidRPr="005136EC">
        <w:rPr>
          <w:rFonts w:cs="Calibri"/>
          <w:bCs/>
        </w:rPr>
        <w:fldChar w:fldCharType="end"/>
      </w:r>
      <w:r w:rsidR="005136EC" w:rsidRPr="005136EC">
        <w:rPr>
          <w:rFonts w:cs="Calibri"/>
          <w:bCs/>
        </w:rPr>
        <w:t xml:space="preserve"> </w:t>
      </w:r>
      <w:r w:rsidRPr="0050343F">
        <w:rPr>
          <w:rFonts w:cs="Calibri"/>
          <w:bCs/>
        </w:rPr>
        <w:t xml:space="preserve">have developed a </w:t>
      </w:r>
      <w:r w:rsidRPr="0050343F">
        <w:rPr>
          <w:rFonts w:cs="Calibri"/>
        </w:rPr>
        <w:t xml:space="preserve">method for estimating production rates and costs for hardwood group selection harvests in Appalachia employing THIN-PC software, which </w:t>
      </w:r>
      <w:r w:rsidR="00764BFE">
        <w:rPr>
          <w:rFonts w:cs="Calibri"/>
        </w:rPr>
        <w:t>c</w:t>
      </w:r>
      <w:r w:rsidRPr="0050343F">
        <w:rPr>
          <w:rFonts w:cs="Calibri"/>
        </w:rPr>
        <w:t>ould prove useful in future examinati</w:t>
      </w:r>
      <w:r w:rsidR="00B8596E">
        <w:rPr>
          <w:rFonts w:cs="Calibri"/>
        </w:rPr>
        <w:t>ons of such IFM opportunities.</w:t>
      </w:r>
    </w:p>
    <w:p w:rsidR="00A31180" w:rsidRDefault="00715885" w:rsidP="00071D63">
      <w:pPr>
        <w:autoSpaceDE w:val="0"/>
        <w:autoSpaceDN w:val="0"/>
        <w:adjustRightInd w:val="0"/>
        <w:spacing w:line="480" w:lineRule="auto"/>
        <w:ind w:firstLine="720"/>
        <w:rPr>
          <w:rFonts w:cs="Calibri"/>
        </w:rPr>
      </w:pPr>
      <w:r w:rsidRPr="0050343F">
        <w:rPr>
          <w:rFonts w:cs="Calibri"/>
        </w:rPr>
        <w:t>Group selection also di</w:t>
      </w:r>
      <w:r w:rsidR="003735FF">
        <w:rPr>
          <w:rFonts w:cs="Calibri"/>
        </w:rPr>
        <w:t xml:space="preserve">versifies forest habitat and </w:t>
      </w:r>
      <w:r w:rsidR="00A76F9D">
        <w:rPr>
          <w:rFonts w:cs="Calibri"/>
        </w:rPr>
        <w:t xml:space="preserve">is </w:t>
      </w:r>
      <w:r w:rsidR="003735FF">
        <w:rPr>
          <w:rFonts w:cs="Calibri"/>
        </w:rPr>
        <w:t xml:space="preserve">better </w:t>
      </w:r>
      <w:r w:rsidRPr="0050343F">
        <w:rPr>
          <w:rFonts w:cs="Calibri"/>
        </w:rPr>
        <w:t xml:space="preserve">suited to meeting the needs of endangered species such as the cerulean warbler, a </w:t>
      </w:r>
      <w:proofErr w:type="spellStart"/>
      <w:r w:rsidRPr="0050343F">
        <w:rPr>
          <w:rFonts w:cs="Calibri"/>
        </w:rPr>
        <w:t>neotropical</w:t>
      </w:r>
      <w:proofErr w:type="spellEnd"/>
      <w:r w:rsidRPr="0050343F">
        <w:rPr>
          <w:rFonts w:cs="Calibri"/>
        </w:rPr>
        <w:t xml:space="preserve"> migratory bird that requires conti</w:t>
      </w:r>
      <w:r w:rsidR="003735FF">
        <w:rPr>
          <w:rFonts w:cs="Calibri"/>
        </w:rPr>
        <w:t>guous mature hardwood forest</w:t>
      </w:r>
      <w:r w:rsidRPr="0050343F">
        <w:rPr>
          <w:rFonts w:cs="Calibri"/>
        </w:rPr>
        <w:t xml:space="preserve">.  </w:t>
      </w:r>
      <w:r w:rsidR="00864445">
        <w:rPr>
          <w:rFonts w:cs="Calibri"/>
        </w:rPr>
        <w:t>As Cerulean warblers in the northern part of their breeding range show a preference for upland oak forests</w:t>
      </w:r>
      <w:r w:rsidR="00B36E05">
        <w:rPr>
          <w:rFonts w:cs="Calibri"/>
        </w:rPr>
        <w:t xml:space="preserve"> </w:t>
      </w:r>
      <w:r w:rsidR="00AA6E47">
        <w:rPr>
          <w:rFonts w:cs="Calibri"/>
        </w:rPr>
        <w:fldChar w:fldCharType="begin"/>
      </w:r>
      <w:r w:rsidR="00DF1366">
        <w:rPr>
          <w:rFonts w:cs="Calibri"/>
        </w:rPr>
        <w:instrText xml:space="preserve"> ADDIN EN.CITE &lt;EndNote&gt;&lt;Cite&gt;&lt;Author&gt;Hamel&lt;/Author&gt;&lt;Year&gt;2006&lt;/Year&gt;&lt;RecNum&gt;242&lt;/RecNum&gt;&lt;DisplayText&gt;(Hamel 2006)&lt;/DisplayText&gt;&lt;record&gt;&lt;rec-number&gt;242&lt;/rec-number&gt;&lt;foreign-keys&gt;&lt;key app="EN" db-id="a90s5zadewrawxeer07v2f90xr5vxv022sat"&gt;242&lt;/key&gt;&lt;/foreign-keys&gt;&lt;ref-type name="Conference Proceedings"&gt;10&lt;/ref-type&gt;&lt;contributors&gt;&lt;authors&gt;&lt;author&gt;Hamel, Paul B.&lt;/author&gt;&lt;/authors&gt;&lt;/contributors&gt;&lt;titles&gt;&lt;title&gt;Adaptive forest management for Cerulean Warbler &lt;/title&gt;&lt;secondary-title&gt;Proceedings of Society of American Foresters National Convention. 25-29 Oct. 2006, Pittsburgh, PA. [CD-rom]&lt;/secondary-title&gt;&lt;/titles&gt;&lt;dates&gt;&lt;year&gt;2006&lt;/year&gt;&lt;/dates&gt;&lt;urls&gt;&lt;related-urls&gt;&lt;url&gt;http://www.srs.fs.usda.gov/pubs/25297&lt;/url&gt;&lt;/related-urls&gt;&lt;/urls&gt;&lt;/record&gt;&lt;/Cite&gt;&lt;/EndNote&gt;</w:instrText>
      </w:r>
      <w:r w:rsidR="00AA6E47">
        <w:rPr>
          <w:rFonts w:cs="Calibri"/>
        </w:rPr>
        <w:fldChar w:fldCharType="separate"/>
      </w:r>
      <w:r w:rsidR="00DF1366">
        <w:rPr>
          <w:rFonts w:cs="Calibri"/>
          <w:noProof/>
        </w:rPr>
        <w:t>(</w:t>
      </w:r>
      <w:hyperlink w:anchor="_ENREF_66" w:tooltip="Hamel, 2006 #242" w:history="1">
        <w:r w:rsidR="001E4C88">
          <w:rPr>
            <w:rFonts w:cs="Calibri"/>
            <w:noProof/>
          </w:rPr>
          <w:t>Hamel 2006</w:t>
        </w:r>
      </w:hyperlink>
      <w:r w:rsidR="00DF1366">
        <w:rPr>
          <w:rFonts w:cs="Calibri"/>
          <w:noProof/>
        </w:rPr>
        <w:t>)</w:t>
      </w:r>
      <w:r w:rsidR="00AA6E47">
        <w:rPr>
          <w:rFonts w:cs="Calibri"/>
        </w:rPr>
        <w:fldChar w:fldCharType="end"/>
      </w:r>
      <w:r w:rsidR="00864445">
        <w:rPr>
          <w:rFonts w:cs="Calibri"/>
        </w:rPr>
        <w:t>, s</w:t>
      </w:r>
      <w:r w:rsidRPr="0050343F">
        <w:rPr>
          <w:rFonts w:cs="Calibri"/>
        </w:rPr>
        <w:t xml:space="preserve">ustaining oaks as a dominant component in Appalachian forests </w:t>
      </w:r>
      <w:r w:rsidR="00864445">
        <w:rPr>
          <w:rFonts w:cs="Calibri"/>
        </w:rPr>
        <w:t>will be important</w:t>
      </w:r>
      <w:r w:rsidRPr="0050343F">
        <w:rPr>
          <w:rFonts w:cs="Calibri"/>
        </w:rPr>
        <w:t xml:space="preserve"> to the stabilization and recovery of the </w:t>
      </w:r>
      <w:r w:rsidR="0062167D">
        <w:rPr>
          <w:rFonts w:cs="Calibri"/>
        </w:rPr>
        <w:t>C</w:t>
      </w:r>
      <w:r w:rsidRPr="0050343F">
        <w:rPr>
          <w:rFonts w:cs="Calibri"/>
        </w:rPr>
        <w:t>erulean warbler population, which ha</w:t>
      </w:r>
      <w:r w:rsidR="008E24DC">
        <w:rPr>
          <w:rFonts w:cs="Calibri"/>
        </w:rPr>
        <w:t>s declined 7</w:t>
      </w:r>
      <w:r w:rsidRPr="0050343F">
        <w:rPr>
          <w:rFonts w:cs="Calibri"/>
        </w:rPr>
        <w:t xml:space="preserve">0 percent in </w:t>
      </w:r>
      <w:r w:rsidR="00B36E05">
        <w:rPr>
          <w:rFonts w:cs="Calibri"/>
        </w:rPr>
        <w:t>recent decades</w:t>
      </w:r>
      <w:r w:rsidRPr="0050343F">
        <w:rPr>
          <w:rFonts w:cs="Calibri"/>
        </w:rPr>
        <w:t xml:space="preserve"> and whose core breeding range inc</w:t>
      </w:r>
      <w:r w:rsidR="008E24DC">
        <w:rPr>
          <w:rFonts w:cs="Calibri"/>
        </w:rPr>
        <w:t xml:space="preserve">ludes the Cumberland Mountains </w:t>
      </w:r>
      <w:r w:rsidR="00AA6E47">
        <w:rPr>
          <w:rFonts w:cs="Calibri"/>
        </w:rPr>
        <w:fldChar w:fldCharType="begin"/>
      </w:r>
      <w:r w:rsidR="00AA6E47">
        <w:rPr>
          <w:rFonts w:cs="Calibri"/>
        </w:rPr>
        <w:instrText xml:space="preserve"> ADDIN EN.CITE &lt;EndNote&gt;&lt;Cite&gt;&lt;Author&gt;Sauer&lt;/Author&gt;&lt;Year&gt;2005&lt;/Year&gt;&lt;RecNum&gt;243&lt;/RecNum&gt;&lt;DisplayText&gt;(Sauer et al. 2005)&lt;/DisplayText&gt;&lt;record&gt;&lt;rec-number&gt;243&lt;/rec-number&gt;&lt;foreign-keys&gt;&lt;key app="EN" db-id="a90s5zadewrawxeer07v2f90xr5vxv022sat"&gt;243&lt;/key&gt;&lt;/foreign-keys&gt;&lt;ref-type name="Report"&gt;27&lt;/ref-type&gt;&lt;contributors&gt;&lt;authors&gt;&lt;author&gt;Sauer, J. R.&lt;/author&gt;&lt;author&gt;J. E. Hines&lt;/author&gt;&lt;author&gt;J. Fallon&lt;/author&gt;&lt;/authors&gt;&lt;/contributors&gt;&lt;titles&gt;&lt;title&gt;The North American Breeding Bird Survey, results and analysis 1966-2004. Version 2005.2. U. S. Geological Survey Patuxent Wildlife Research Center, Laurel, MD&lt;/title&gt;&lt;/titles&gt;&lt;dates&gt;&lt;year&gt;2005&lt;/year&gt;&lt;/dates&gt;&lt;urls&gt;&lt;/urls&gt;&lt;/record&gt;&lt;/Cite&gt;&lt;/EndNote&gt;</w:instrText>
      </w:r>
      <w:r w:rsidR="00AA6E47">
        <w:rPr>
          <w:rFonts w:cs="Calibri"/>
        </w:rPr>
        <w:fldChar w:fldCharType="separate"/>
      </w:r>
      <w:r w:rsidR="00AA6E47">
        <w:rPr>
          <w:rFonts w:cs="Calibri"/>
          <w:noProof/>
        </w:rPr>
        <w:t>(</w:t>
      </w:r>
      <w:hyperlink w:anchor="_ENREF_116" w:tooltip="Sauer, 2005 #243" w:history="1">
        <w:r w:rsidR="001E4C88">
          <w:rPr>
            <w:rFonts w:cs="Calibri"/>
            <w:noProof/>
          </w:rPr>
          <w:t>Sauer et al. 2005</w:t>
        </w:r>
      </w:hyperlink>
      <w:r w:rsidR="00AA6E47">
        <w:rPr>
          <w:rFonts w:cs="Calibri"/>
          <w:noProof/>
        </w:rPr>
        <w:t>)</w:t>
      </w:r>
      <w:r w:rsidR="00AA6E47">
        <w:rPr>
          <w:rFonts w:cs="Calibri"/>
        </w:rPr>
        <w:fldChar w:fldCharType="end"/>
      </w:r>
      <w:r w:rsidRPr="0050343F">
        <w:rPr>
          <w:rFonts w:cs="Calibri"/>
        </w:rPr>
        <w:t>.  Although the U.S. Fish and Wildlife Service in 2006 denied a petition to give the cerulean warbler protection under the Endangered Species Act</w:t>
      </w:r>
      <w:r w:rsidR="006D27EF">
        <w:rPr>
          <w:rFonts w:cs="Calibri"/>
        </w:rPr>
        <w:t xml:space="preserve"> (ESA)</w:t>
      </w:r>
      <w:r w:rsidRPr="0050343F">
        <w:rPr>
          <w:rFonts w:cs="Calibri"/>
        </w:rPr>
        <w:t xml:space="preserve">, the presence of </w:t>
      </w:r>
      <w:r w:rsidR="00C15FF5">
        <w:rPr>
          <w:rFonts w:cs="Calibri"/>
        </w:rPr>
        <w:t>existing ESA-</w:t>
      </w:r>
      <w:r w:rsidRPr="0050343F">
        <w:rPr>
          <w:rFonts w:cs="Calibri"/>
        </w:rPr>
        <w:t>protected species in the Cumberland Mountains</w:t>
      </w:r>
      <w:r w:rsidRPr="0050343F">
        <w:rPr>
          <w:rFonts w:cs="Calibri"/>
          <w:iCs/>
        </w:rPr>
        <w:t xml:space="preserve"> </w:t>
      </w:r>
      <w:r w:rsidRPr="0050343F">
        <w:rPr>
          <w:rFonts w:cs="Calibri"/>
        </w:rPr>
        <w:t>such as the Indiana bat (</w:t>
      </w:r>
      <w:proofErr w:type="spellStart"/>
      <w:r w:rsidRPr="0050343F">
        <w:rPr>
          <w:rFonts w:cs="Calibri"/>
          <w:i/>
        </w:rPr>
        <w:t>Myotis</w:t>
      </w:r>
      <w:proofErr w:type="spellEnd"/>
      <w:r w:rsidRPr="0050343F">
        <w:rPr>
          <w:rFonts w:cs="Calibri"/>
          <w:i/>
        </w:rPr>
        <w:t xml:space="preserve"> </w:t>
      </w:r>
      <w:proofErr w:type="spellStart"/>
      <w:r w:rsidRPr="0050343F">
        <w:rPr>
          <w:rFonts w:cs="Calibri"/>
          <w:i/>
        </w:rPr>
        <w:t>sodalis</w:t>
      </w:r>
      <w:proofErr w:type="spellEnd"/>
      <w:r w:rsidRPr="0050343F">
        <w:rPr>
          <w:rFonts w:cs="Calibri"/>
        </w:rPr>
        <w:t>) and Gray bat (</w:t>
      </w:r>
      <w:proofErr w:type="spellStart"/>
      <w:r w:rsidRPr="0050343F">
        <w:rPr>
          <w:rFonts w:cs="Calibri"/>
          <w:i/>
          <w:iCs/>
        </w:rPr>
        <w:t>Myotis</w:t>
      </w:r>
      <w:proofErr w:type="spellEnd"/>
      <w:r w:rsidRPr="0050343F">
        <w:rPr>
          <w:rFonts w:cs="Calibri"/>
          <w:i/>
          <w:iCs/>
        </w:rPr>
        <w:t xml:space="preserve"> </w:t>
      </w:r>
      <w:proofErr w:type="spellStart"/>
      <w:r w:rsidRPr="0050343F">
        <w:rPr>
          <w:rFonts w:cs="Calibri"/>
          <w:i/>
          <w:iCs/>
        </w:rPr>
        <w:t>grisecens</w:t>
      </w:r>
      <w:proofErr w:type="spellEnd"/>
      <w:r w:rsidRPr="0050343F">
        <w:rPr>
          <w:rFonts w:cs="Calibri"/>
          <w:iCs/>
        </w:rPr>
        <w:t>) may provide alternative funding mechanisms for oak restoration efforts.</w:t>
      </w:r>
      <w:r w:rsidRPr="0050343F">
        <w:rPr>
          <w:rFonts w:cs="Calibri"/>
        </w:rPr>
        <w:t xml:space="preserve">  Conservation easements established for this reason or for watershed protection may very well facilitate subsequent entry into carbon markets</w:t>
      </w:r>
      <w:r w:rsidR="00764BFE">
        <w:rPr>
          <w:rFonts w:cs="Calibri"/>
        </w:rPr>
        <w:t xml:space="preserve"> since</w:t>
      </w:r>
      <w:r w:rsidRPr="0050343F">
        <w:rPr>
          <w:rFonts w:cs="Calibri"/>
        </w:rPr>
        <w:t xml:space="preserve"> voluntary participation in these areas of opportunity are eligible as CAR</w:t>
      </w:r>
      <w:r w:rsidR="00C15FF5">
        <w:rPr>
          <w:rFonts w:cs="Calibri"/>
        </w:rPr>
        <w:t xml:space="preserve"> projects</w:t>
      </w:r>
      <w:r w:rsidR="00764960">
        <w:rPr>
          <w:rFonts w:cs="Calibri"/>
        </w:rPr>
        <w:t>.</w:t>
      </w:r>
    </w:p>
    <w:p w:rsidR="00C3388F" w:rsidRPr="0050343F" w:rsidRDefault="00C3388F" w:rsidP="00071D63">
      <w:pPr>
        <w:autoSpaceDE w:val="0"/>
        <w:autoSpaceDN w:val="0"/>
        <w:adjustRightInd w:val="0"/>
        <w:spacing w:line="480" w:lineRule="auto"/>
        <w:ind w:firstLine="720"/>
        <w:rPr>
          <w:rFonts w:cs="Calibri"/>
        </w:rPr>
      </w:pPr>
    </w:p>
    <w:p w:rsidR="00715885" w:rsidRPr="002B58DD" w:rsidRDefault="00715885" w:rsidP="00715885">
      <w:pPr>
        <w:numPr>
          <w:ilvl w:val="1"/>
          <w:numId w:val="21"/>
        </w:numPr>
        <w:rPr>
          <w:rFonts w:cs="Calibri"/>
          <w:b/>
          <w:i/>
        </w:rPr>
      </w:pPr>
      <w:r w:rsidRPr="002B58DD">
        <w:rPr>
          <w:rFonts w:cs="Calibri"/>
          <w:b/>
          <w:i/>
        </w:rPr>
        <w:lastRenderedPageBreak/>
        <w:t xml:space="preserve">Applicability of Results </w:t>
      </w:r>
    </w:p>
    <w:p w:rsidR="002E412A" w:rsidRDefault="000B051E" w:rsidP="009214EA">
      <w:pPr>
        <w:spacing w:line="480" w:lineRule="auto"/>
        <w:ind w:firstLine="720"/>
        <w:rPr>
          <w:rFonts w:cs="Calibri"/>
        </w:rPr>
      </w:pPr>
      <w:r>
        <w:rPr>
          <w:noProof/>
        </w:rPr>
        <w:t>Approximately two-fifths of the region’s forests are more mature than those modeled here.  Thus, there may still be considerable potential for CAR participation</w:t>
      </w:r>
      <w:r w:rsidRPr="00246BE5">
        <w:rPr>
          <w:noProof/>
        </w:rPr>
        <w:t xml:space="preserve"> </w:t>
      </w:r>
      <w:r>
        <w:rPr>
          <w:noProof/>
        </w:rPr>
        <w:t xml:space="preserve">in this area since mature stands </w:t>
      </w:r>
      <w:r w:rsidRPr="00246BE5">
        <w:rPr>
          <w:noProof/>
        </w:rPr>
        <w:t xml:space="preserve">can earn a handful </w:t>
      </w:r>
      <w:r>
        <w:rPr>
          <w:noProof/>
        </w:rPr>
        <w:t>(or better)</w:t>
      </w:r>
      <w:r w:rsidRPr="00246BE5">
        <w:rPr>
          <w:noProof/>
        </w:rPr>
        <w:t xml:space="preserve"> of </w:t>
      </w:r>
      <w:r>
        <w:rPr>
          <w:noProof/>
        </w:rPr>
        <w:t xml:space="preserve">stocking retention </w:t>
      </w:r>
      <w:r w:rsidRPr="00246BE5">
        <w:rPr>
          <w:noProof/>
        </w:rPr>
        <w:t>credits</w:t>
      </w:r>
      <w:r>
        <w:rPr>
          <w:noProof/>
        </w:rPr>
        <w:t xml:space="preserve"> </w:t>
      </w:r>
      <w:r w:rsidRPr="00246BE5">
        <w:rPr>
          <w:noProof/>
        </w:rPr>
        <w:t xml:space="preserve">at project inception due to better than average intial </w:t>
      </w:r>
      <w:r>
        <w:rPr>
          <w:noProof/>
        </w:rPr>
        <w:t xml:space="preserve">AGL </w:t>
      </w:r>
      <w:r w:rsidRPr="00246BE5">
        <w:rPr>
          <w:noProof/>
        </w:rPr>
        <w:t>stocks</w:t>
      </w:r>
      <w:r>
        <w:rPr>
          <w:noProof/>
        </w:rPr>
        <w:t xml:space="preserve">. </w:t>
      </w:r>
      <w:r w:rsidRPr="00246BE5">
        <w:rPr>
          <w:noProof/>
        </w:rPr>
        <w:t xml:space="preserve"> </w:t>
      </w:r>
      <w:r>
        <w:rPr>
          <w:noProof/>
        </w:rPr>
        <w:t xml:space="preserve">Yet, as management options for </w:t>
      </w:r>
      <w:r w:rsidR="00F55DDD">
        <w:rPr>
          <w:noProof/>
        </w:rPr>
        <w:t xml:space="preserve">southern </w:t>
      </w:r>
      <w:r>
        <w:rPr>
          <w:noProof/>
        </w:rPr>
        <w:t>upland hardwood</w:t>
      </w:r>
      <w:r w:rsidR="00F55DDD">
        <w:rPr>
          <w:noProof/>
        </w:rPr>
        <w:t xml:space="preserve"> forests</w:t>
      </w:r>
      <w:r>
        <w:rPr>
          <w:noProof/>
        </w:rPr>
        <w:t xml:space="preserve"> diminish with stand age, more mature forests do not necessarily stand a better chance at IFM success unless timber extraction </w:t>
      </w:r>
      <w:r w:rsidR="00F55DDD">
        <w:rPr>
          <w:noProof/>
        </w:rPr>
        <w:t>becomes a far less</w:t>
      </w:r>
      <w:r>
        <w:rPr>
          <w:noProof/>
        </w:rPr>
        <w:t xml:space="preserve"> important management objective.  Silvicultural guides and optimal rotation studies for these forests suggest rotation lengths of up to 100 years </w:t>
      </w:r>
      <w:r>
        <w:rPr>
          <w:noProof/>
        </w:rPr>
        <w:fldChar w:fldCharType="begin"/>
      </w:r>
      <w:r w:rsidR="0056578C">
        <w:rPr>
          <w:noProof/>
        </w:rPr>
        <w:instrText xml:space="preserve"> ADDIN EN.CITE &lt;EndNote&gt;&lt;Cite&gt;&lt;Author&gt;Pearson&lt;/Author&gt;&lt;Year&gt;2008&lt;/Year&gt;&lt;RecNum&gt;235&lt;/RecNum&gt;&lt;DisplayText&gt;(Pearson 2008; Ledoux and Miller 2008)&lt;/DisplayText&gt;&lt;record&gt;&lt;rec-number&gt;235&lt;/rec-number&gt;&lt;foreign-keys&gt;&lt;key app="EN" db-id="a90s5zadewrawxeer07v2f90xr5vxv022sat"&gt;235&lt;/key&gt;&lt;/foreign-keys&gt;&lt;ref-type name="Web Page"&gt;12&lt;/ref-type&gt;&lt;contributors&gt;&lt;authors&gt;&lt;author&gt;S. M. Pearson &lt;/author&gt;&lt;/authors&gt;&lt;/contributors&gt;&lt;titles&gt;&lt;title&gt;Environmental Gradients&lt;/title&gt;&lt;/titles&gt;&lt;volume&gt;2010&lt;/volume&gt;&lt;number&gt;January 5&lt;/number&gt;&lt;edition&gt;Encyclopedia of Southern Appalachian Forest Ecosystems&lt;/edition&gt;&lt;dates&gt;&lt;year&gt;2008&lt;/year&gt;&lt;/dates&gt;&lt;urls&gt;&lt;related-urls&gt;&lt;url&gt;http://www.forestencyclopedia.net/p/p1585&lt;/url&gt;&lt;/related-urls&gt;&lt;/urls&gt;&lt;/record&gt;&lt;/Cite&gt;&lt;Cite&gt;&lt;Author&gt;LeDoux&lt;/Author&gt;&lt;Year&gt;2008&lt;/Year&gt;&lt;RecNum&gt;138&lt;/RecNum&gt;&lt;record&gt;&lt;rec-number&gt;138&lt;/rec-number&gt;&lt;foreign-keys&gt;&lt;key app="EN" db-id="a90s5zadewrawxeer07v2f90xr5vxv022sat"&gt;138&lt;/key&gt;&lt;/foreign-keys&gt;&lt;ref-type name="Conference Proceedings"&gt;10&lt;/ref-type&gt;&lt;contributors&gt;&lt;authors&gt;&lt;author&gt;LeDoux, Chris B.&lt;/author&gt;&lt;author&gt;Miller, Gary W. &lt;/author&gt;&lt;/authors&gt;&lt;/contributors&gt;&lt;titles&gt;&lt;title&gt;Exploring the optimal economic timing for crop tree release treatments in hardwoods: results from simulation&lt;/title&gt;&lt;secondary-title&gt;In: Jacobs, Douglass F.; Michler, Charles H., eds. 2008. Proceedings, 16th Central Hardwood Forest Conference; 2008 April 8-9; West Lafayette, IN. Gen. Tech. Rep. NRS-P-24. Newtown Square, PA: U.S. Department of Agriculture, Forest Service, Northern Research Station: 265-274.&lt;/secondary-title&gt;&lt;/titles&gt;&lt;dates&gt;&lt;year&gt;2008&lt;/year&gt;&lt;/dates&gt;&lt;urls&gt;&lt;/urls&gt;&lt;/record&gt;&lt;/Cite&gt;&lt;/EndNote&gt;</w:instrText>
      </w:r>
      <w:r>
        <w:rPr>
          <w:noProof/>
        </w:rPr>
        <w:fldChar w:fldCharType="separate"/>
      </w:r>
      <w:r w:rsidR="0056578C">
        <w:rPr>
          <w:noProof/>
        </w:rPr>
        <w:t>(</w:t>
      </w:r>
      <w:hyperlink w:anchor="_ENREF_110" w:tooltip="Pearson, 2008 #235" w:history="1">
        <w:r w:rsidR="001E4C88">
          <w:rPr>
            <w:noProof/>
          </w:rPr>
          <w:t>Pearson 2008</w:t>
        </w:r>
      </w:hyperlink>
      <w:r w:rsidR="0056578C">
        <w:rPr>
          <w:noProof/>
        </w:rPr>
        <w:t xml:space="preserve">; </w:t>
      </w:r>
      <w:hyperlink w:anchor="_ENREF_85" w:tooltip="LeDoux, 2008 #138" w:history="1">
        <w:r w:rsidR="001E4C88">
          <w:rPr>
            <w:noProof/>
          </w:rPr>
          <w:t>Ledoux and Miller 2008</w:t>
        </w:r>
      </w:hyperlink>
      <w:r w:rsidR="0056578C">
        <w:rPr>
          <w:noProof/>
        </w:rPr>
        <w:t>)</w:t>
      </w:r>
      <w:r>
        <w:rPr>
          <w:noProof/>
        </w:rPr>
        <w:fldChar w:fldCharType="end"/>
      </w:r>
      <w:r>
        <w:rPr>
          <w:noProof/>
        </w:rPr>
        <w:t>, but recommended rotation can vary considerably depending on site quality, geography, species mix, timing of intermediate treatments (if any), timberland accessibility, distance to mills, stumpage rates, and management aims.  Ignoring</w:t>
      </w:r>
      <w:r w:rsidR="0005011B">
        <w:rPr>
          <w:noProof/>
        </w:rPr>
        <w:t xml:space="preserve"> road construction costs, long</w:t>
      </w:r>
      <w:r>
        <w:rPr>
          <w:noProof/>
        </w:rPr>
        <w:t xml:space="preserve"> rotations are appropriate when coupled with intermediate treatments that maintain forest health </w:t>
      </w:r>
      <w:r>
        <w:rPr>
          <w:noProof/>
        </w:rPr>
        <w:fldChar w:fldCharType="begin"/>
      </w:r>
      <w:r>
        <w:rPr>
          <w:noProof/>
        </w:rPr>
        <w:instrText xml:space="preserve"> ADDIN EN.CITE &lt;EndNote&gt;&lt;Cite&gt;&lt;Author&gt;Clatterbuck&lt;/Author&gt;&lt;Year&gt;2006&lt;/Year&gt;&lt;RecNum&gt;259&lt;/RecNum&gt;&lt;DisplayText&gt;(Clatterbuck and Kauffman 2006)&lt;/DisplayText&gt;&lt;record&gt;&lt;rec-number&gt;259&lt;/rec-number&gt;&lt;foreign-keys&gt;&lt;key app="EN" db-id="a90s5zadewrawxeer07v2f90xr5vxv022sat"&gt;259&lt;/key&gt;&lt;/foreign-keys&gt;&lt;ref-type name="Report"&gt;27&lt;/ref-type&gt;&lt;contributors&gt;&lt;authors&gt;&lt;author&gt;Clatterbuck, W.K.&lt;/author&gt;&lt;author&gt;B.W. Kauffman&lt;/author&gt;&lt;/authors&gt;&lt;secondary-authors&gt;&lt;author&gt;Jeff W. Stringer&lt;/author&gt;&lt;author&gt;Wayne K. Clatterbuck&lt;/author&gt;&lt;/secondary-authors&gt;&lt;/contributors&gt;&lt;titles&gt;&lt;title&gt;Managing Oak Decline&lt;/title&gt;&lt;secondary-title&gt;Professional Hardwood Notes&lt;/secondary-title&gt;&lt;/titles&gt;&lt;pages&gt;6&lt;/pages&gt;&lt;volume&gt;FOR-099&lt;/volume&gt;&lt;dates&gt;&lt;year&gt;2006&lt;/year&gt;&lt;/dates&gt;&lt;publisher&gt;University of Kentucky, Cooperative Extension Service, Lexington&lt;/publisher&gt;&lt;urls&gt;&lt;related-urls&gt;&lt;url&gt;http://utextension.tennessee.edu/publications/Pages/hardwoodSilviculture.aspx&lt;/url&gt;&lt;/related-urls&gt;&lt;/urls&gt;&lt;/record&gt;&lt;/Cite&gt;&lt;/EndNote&gt;</w:instrText>
      </w:r>
      <w:r>
        <w:rPr>
          <w:noProof/>
        </w:rPr>
        <w:fldChar w:fldCharType="separate"/>
      </w:r>
      <w:r>
        <w:rPr>
          <w:noProof/>
        </w:rPr>
        <w:t>(</w:t>
      </w:r>
      <w:hyperlink w:anchor="_ENREF_40" w:tooltip="Clatterbuck, 2006 #259" w:history="1">
        <w:r w:rsidR="001E4C88">
          <w:rPr>
            <w:noProof/>
          </w:rPr>
          <w:t>Clatterbuck and Kauffman 2006</w:t>
        </w:r>
      </w:hyperlink>
      <w:r>
        <w:rPr>
          <w:noProof/>
        </w:rPr>
        <w:t>)</w:t>
      </w:r>
      <w:r>
        <w:rPr>
          <w:noProof/>
        </w:rPr>
        <w:fldChar w:fldCharType="end"/>
      </w:r>
      <w:r>
        <w:rPr>
          <w:noProof/>
        </w:rPr>
        <w:t xml:space="preserve"> and productivity </w:t>
      </w:r>
      <w:r>
        <w:rPr>
          <w:noProof/>
        </w:rPr>
        <w:fldChar w:fldCharType="begin"/>
      </w:r>
      <w:r w:rsidR="00083723">
        <w:rPr>
          <w:noProof/>
        </w:rPr>
        <w:instrText xml:space="preserve"> ADDIN EN.CITE &lt;EndNote&gt;&lt;Cite&gt;&lt;Author&gt;Hilt&lt;/Author&gt;&lt;Year&gt;1989&lt;/Year&gt;&lt;RecNum&gt;146&lt;/RecNum&gt;&lt;DisplayText&gt;(Hilt and Dale 1989; Ledoux 2007)&lt;/DisplayText&gt;&lt;record&gt;&lt;rec-number&gt;146&lt;/rec-number&gt;&lt;foreign-keys&gt;&lt;key app="EN" db-id="a90s5zadewrawxeer07v2f90xr5vxv022sat"&gt;146&lt;/key&gt;&lt;/foreign-keys&gt;&lt;ref-type name="Report"&gt;27&lt;/ref-type&gt;&lt;contributors&gt;&lt;authors&gt;&lt;author&gt;Hilt, Donald E.&lt;/author&gt;&lt;author&gt;Dale, Martin E.&lt;/author&gt;&lt;/authors&gt;&lt;/contributors&gt;&lt;titles&gt;&lt;title&gt;Thinning Even-aged Upland Oak Stands. In: Clark, F. Bryan, tech. ed.; Hutchinson, Jay G., ed. Central Hardwood Notes. St. Paul, MN: U.S. Department of Agriculture, Forest Service, North Central Forest Experiment Station: Note 6.06&lt;/title&gt;&lt;/titles&gt;&lt;dates&gt;&lt;year&gt;1989&lt;/year&gt;&lt;/dates&gt;&lt;urls&gt;&lt;/urls&gt;&lt;/record&gt;&lt;/Cite&gt;&lt;Cite&gt;&lt;Author&gt;LeDoux&lt;/Author&gt;&lt;Year&gt;2007&lt;/Year&gt;&lt;RecNum&gt;166&lt;/RecNum&gt;&lt;record&gt;&lt;rec-number&gt;166&lt;/rec-number&gt;&lt;foreign-keys&gt;&lt;key app="EN" db-id="a90s5zadewrawxeer07v2f90xr5vxv022sat"&gt;166&lt;/key&gt;&lt;/foreign-keys&gt;&lt;ref-type name="Conference Proceedings"&gt;10&lt;/ref-type&gt;&lt;contributors&gt;&lt;authors&gt;&lt;author&gt;LeDoux, Chris B.&lt;/author&gt;&lt;/authors&gt;&lt;/contributors&gt;&lt;titles&gt;&lt;title&gt;Impact of Alternative Harvesting Technologies on Thinning Entry and Optimal Rotation Age for Eastern Hardwoods&lt;/title&gt;&lt;secondary-title&gt;In: Buckley, David S.; Clatterbuck, Wayne K. eds.  2007. Proceedings, 15th central hardwood forest conference. e-Gen. Tech. Rep. SRSÂ–101. U.S. Department of Agriculture, Forest Service, Southern Research Station: 122-128&lt;/secondary-title&gt;&lt;/titles&gt;&lt;dates&gt;&lt;year&gt;2007&lt;/year&gt;&lt;/dates&gt;&lt;urls&gt;&lt;/urls&gt;&lt;/record&gt;&lt;/Cite&gt;&lt;/EndNote&gt;</w:instrText>
      </w:r>
      <w:r>
        <w:rPr>
          <w:noProof/>
        </w:rPr>
        <w:fldChar w:fldCharType="separate"/>
      </w:r>
      <w:r w:rsidR="00083723">
        <w:rPr>
          <w:noProof/>
        </w:rPr>
        <w:t>(</w:t>
      </w:r>
      <w:hyperlink w:anchor="_ENREF_71" w:tooltip="Hilt, 1989 #146" w:history="1">
        <w:r w:rsidR="001E4C88">
          <w:rPr>
            <w:noProof/>
          </w:rPr>
          <w:t>Hilt and Dale 1989</w:t>
        </w:r>
      </w:hyperlink>
      <w:r w:rsidR="00083723">
        <w:rPr>
          <w:noProof/>
        </w:rPr>
        <w:t xml:space="preserve">; </w:t>
      </w:r>
      <w:hyperlink w:anchor="_ENREF_83" w:tooltip="LeDoux, 2007 #166" w:history="1">
        <w:r w:rsidR="001E4C88">
          <w:rPr>
            <w:noProof/>
          </w:rPr>
          <w:t>Ledoux 2007</w:t>
        </w:r>
      </w:hyperlink>
      <w:r w:rsidR="00083723">
        <w:rPr>
          <w:noProof/>
        </w:rPr>
        <w:t>)</w:t>
      </w:r>
      <w:r>
        <w:rPr>
          <w:noProof/>
        </w:rPr>
        <w:fldChar w:fldCharType="end"/>
      </w:r>
      <w:r>
        <w:rPr>
          <w:noProof/>
        </w:rPr>
        <w:t xml:space="preserve">, but the time value of money and stumpage value ultimately govern harvest decisions and limits the delay of regeneration harvests.  Other constraints such as sawlog merchantability limits and </w:t>
      </w:r>
      <w:r w:rsidRPr="00516211">
        <w:rPr>
          <w:noProof/>
        </w:rPr>
        <w:t>natural mortality and</w:t>
      </w:r>
      <w:r>
        <w:rPr>
          <w:noProof/>
        </w:rPr>
        <w:t xml:space="preserve"> defect do not warrant long harvest deferments in southern hardwood stands.  </w:t>
      </w:r>
      <w:r w:rsidR="006D7970" w:rsidRPr="006D7970">
        <w:rPr>
          <w:noProof/>
        </w:rPr>
        <w:t xml:space="preserve">Therefore, </w:t>
      </w:r>
      <w:r w:rsidR="006D7970" w:rsidRPr="006D7970">
        <w:rPr>
          <w:bCs/>
          <w:noProof/>
        </w:rPr>
        <w:t xml:space="preserve">the prevalence of mature forests in the region and the results from this assessment suggest that the opportunity costs of harvest deferments may be too great for carbon values to overcome for many FFOs that sustain their interest in timber production.  This may still be the case for some FFO projects that would halt timber production for </w:t>
      </w:r>
      <w:r w:rsidR="006D27EF">
        <w:rPr>
          <w:bCs/>
          <w:noProof/>
        </w:rPr>
        <w:t xml:space="preserve">increased </w:t>
      </w:r>
      <w:r w:rsidR="006D7970" w:rsidRPr="006D7970">
        <w:rPr>
          <w:bCs/>
          <w:noProof/>
        </w:rPr>
        <w:t xml:space="preserve">carbon </w:t>
      </w:r>
      <w:r w:rsidR="006D27EF">
        <w:rPr>
          <w:bCs/>
          <w:noProof/>
        </w:rPr>
        <w:t>revenues</w:t>
      </w:r>
      <w:r w:rsidR="006D7970" w:rsidRPr="006D7970">
        <w:rPr>
          <w:bCs/>
          <w:noProof/>
        </w:rPr>
        <w:t xml:space="preserve">, because in some states, doing so would make the FFO ineligible for timberland appraisal, substantially increasing assessed property taxes.  </w:t>
      </w:r>
      <w:r w:rsidRPr="00190453">
        <w:t xml:space="preserve">If long harvest deferments </w:t>
      </w:r>
      <w:r w:rsidR="0005011B">
        <w:t>in mature southern hardwood stands</w:t>
      </w:r>
      <w:r w:rsidR="0005011B" w:rsidRPr="00190453">
        <w:t xml:space="preserve"> </w:t>
      </w:r>
      <w:r w:rsidRPr="00190453">
        <w:t xml:space="preserve">are </w:t>
      </w:r>
      <w:r>
        <w:t xml:space="preserve">legitimately </w:t>
      </w:r>
      <w:r w:rsidRPr="00190453">
        <w:t>undertaken</w:t>
      </w:r>
      <w:r>
        <w:t xml:space="preserve"> </w:t>
      </w:r>
      <w:r w:rsidR="0005011B">
        <w:t xml:space="preserve">for </w:t>
      </w:r>
      <w:r w:rsidR="006D7970">
        <w:t>CAR-</w:t>
      </w:r>
      <w:r w:rsidR="0005011B">
        <w:t>IFM projects</w:t>
      </w:r>
      <w:r w:rsidRPr="00190453">
        <w:t xml:space="preserve">, </w:t>
      </w:r>
      <w:r>
        <w:t xml:space="preserve">it follows that </w:t>
      </w:r>
      <w:r w:rsidRPr="00190453">
        <w:t xml:space="preserve">offset prices must be relatively high </w:t>
      </w:r>
      <w:r>
        <w:t xml:space="preserve">or increase rapidly </w:t>
      </w:r>
      <w:r w:rsidRPr="00190453">
        <w:t>to compensate for decreasing quality sawtimber volume or potentially increasing market stumpage rates.</w:t>
      </w:r>
      <w:r>
        <w:t xml:space="preserve">  On the other hand, the CAR protocol </w:t>
      </w:r>
      <w:r w:rsidR="00FF062F">
        <w:t>looks as if</w:t>
      </w:r>
      <w:r>
        <w:t xml:space="preserve"> it could </w:t>
      </w:r>
      <w:r w:rsidRPr="005E6D8A">
        <w:rPr>
          <w:bCs/>
        </w:rPr>
        <w:t xml:space="preserve">favor projects with </w:t>
      </w:r>
      <w:r>
        <w:rPr>
          <w:bCs/>
        </w:rPr>
        <w:t>younger forests</w:t>
      </w:r>
      <w:r w:rsidRPr="005E6D8A">
        <w:rPr>
          <w:bCs/>
        </w:rPr>
        <w:t xml:space="preserve">, so CAR may still prove useful in facilitating </w:t>
      </w:r>
      <w:r>
        <w:rPr>
          <w:bCs/>
        </w:rPr>
        <w:lastRenderedPageBreak/>
        <w:t xml:space="preserve">much needed management </w:t>
      </w:r>
      <w:r w:rsidRPr="005E6D8A">
        <w:rPr>
          <w:bCs/>
        </w:rPr>
        <w:t xml:space="preserve">in immature </w:t>
      </w:r>
      <w:r>
        <w:rPr>
          <w:bCs/>
        </w:rPr>
        <w:t xml:space="preserve">hardwood </w:t>
      </w:r>
      <w:r w:rsidRPr="005E6D8A">
        <w:rPr>
          <w:bCs/>
        </w:rPr>
        <w:t>stands that contain larger numbers of crop trees and respond more vigorously to thinning than stands near maturity</w:t>
      </w:r>
      <w:r>
        <w:rPr>
          <w:bCs/>
        </w:rPr>
        <w:t>.</w:t>
      </w:r>
      <w:r w:rsidR="002E412A" w:rsidRPr="002E412A">
        <w:rPr>
          <w:rFonts w:cs="Calibri"/>
        </w:rPr>
        <w:t xml:space="preserve"> </w:t>
      </w:r>
    </w:p>
    <w:p w:rsidR="00C3388F" w:rsidRDefault="00827953" w:rsidP="001A0D62">
      <w:pPr>
        <w:spacing w:line="480" w:lineRule="auto"/>
        <w:ind w:firstLine="720"/>
        <w:rPr>
          <w:b/>
          <w:bCs/>
          <w:sz w:val="20"/>
          <w:szCs w:val="20"/>
        </w:rPr>
      </w:pPr>
      <w:r>
        <w:rPr>
          <w:noProof/>
        </w:rPr>
        <w:drawing>
          <wp:anchor distT="0" distB="0" distL="114300" distR="114300" simplePos="0" relativeHeight="251658240" behindDoc="0" locked="0" layoutInCell="1" allowOverlap="1" wp14:anchorId="02D9229E" wp14:editId="5F11B3AE">
            <wp:simplePos x="0" y="0"/>
            <wp:positionH relativeFrom="column">
              <wp:posOffset>-12700</wp:posOffset>
            </wp:positionH>
            <wp:positionV relativeFrom="paragraph">
              <wp:posOffset>1568450</wp:posOffset>
            </wp:positionV>
            <wp:extent cx="3916680" cy="3329940"/>
            <wp:effectExtent l="0" t="0" r="7620" b="3810"/>
            <wp:wrapSquare wrapText="bothSides"/>
            <wp:docPr id="14" name="Picture 4" descr="Cumberland map Photo © T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mberland map Photo © TN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6680"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12A" w:rsidRPr="0050343F">
        <w:rPr>
          <w:rFonts w:cs="Calibri"/>
        </w:rPr>
        <w:t xml:space="preserve">A landmark conservation project </w:t>
      </w:r>
      <w:r w:rsidR="002E412A">
        <w:rPr>
          <w:rFonts w:cs="Calibri"/>
        </w:rPr>
        <w:t>of</w:t>
      </w:r>
      <w:r w:rsidR="002E412A" w:rsidRPr="0050343F">
        <w:rPr>
          <w:rFonts w:cs="Calibri"/>
        </w:rPr>
        <w:t xml:space="preserve"> the Nature Conservancy and State of Tennessee was finalized in 2007 that purchased land and negotiated conservation easements on about 53,000 acres of timberland (see non-green areas in Figure </w:t>
      </w:r>
      <w:r w:rsidR="002E412A">
        <w:rPr>
          <w:rFonts w:cs="Calibri"/>
        </w:rPr>
        <w:t>1</w:t>
      </w:r>
      <w:r w:rsidR="00FB3CAC">
        <w:rPr>
          <w:rFonts w:cs="Calibri"/>
        </w:rPr>
        <w:t>1</w:t>
      </w:r>
      <w:r w:rsidR="002E412A" w:rsidRPr="0050343F">
        <w:rPr>
          <w:rFonts w:cs="Calibri"/>
        </w:rPr>
        <w:t>), including the land where</w:t>
      </w:r>
      <w:r w:rsidR="002E412A" w:rsidRPr="002E412A">
        <w:rPr>
          <w:rFonts w:cs="Calibri"/>
        </w:rPr>
        <w:t xml:space="preserve"> the data used in this analysis was collected </w:t>
      </w:r>
      <w:r w:rsidR="002E412A" w:rsidRPr="002E412A">
        <w:rPr>
          <w:rFonts w:cs="Calibri"/>
        </w:rPr>
        <w:fldChar w:fldCharType="begin"/>
      </w:r>
      <w:r w:rsidR="002E412A" w:rsidRPr="002E412A">
        <w:rPr>
          <w:rFonts w:cs="Calibri"/>
        </w:rPr>
        <w:instrText xml:space="preserve"> ADDIN EN.CITE &lt;EndNote&gt;&lt;Cite&gt;&lt;Author&gt;Kingsbury&lt;/Author&gt;&lt;Year&gt;2008&lt;/Year&gt;&lt;RecNum&gt;232&lt;/RecNum&gt;&lt;DisplayText&gt;(Kingsbury 2008)&lt;/DisplayText&gt;&lt;record&gt;&lt;rec-number&gt;232&lt;/rec-number&gt;&lt;foreign-keys&gt;&lt;key app="EN" db-id="a90s5zadewrawxeer07v2f90xr5vxv022sat"&gt;232&lt;/key&gt;&lt;/foreign-keys&gt;&lt;ref-type name="Magazine Article"&gt;19&lt;/ref-type&gt;&lt;contributors&gt;&lt;authors&gt;&lt;author&gt;Kingsbury, P.&lt;/author&gt;&lt;/authors&gt;&lt;/contributors&gt;&lt;titles&gt;&lt;title&gt;Connecting the Cumberlands: Tennessee’s Big Conservation Success for People and Nature&lt;/title&gt;&lt;secondary-title&gt;Tennessee Conservationist&lt;/secondary-title&gt;&lt;/titles&gt;&lt;periodical&gt;&lt;full-title&gt;Tennessee Conservationist&lt;/full-title&gt;&lt;/periodical&gt;&lt;pages&gt;18-23&lt;/pages&gt;&lt;number&gt;January/February&lt;/number&gt;&lt;dates&gt;&lt;year&gt;2008&lt;/year&gt;&lt;/dates&gt;&lt;urls&gt;&lt;/urls&gt;&lt;/record&gt;&lt;/Cite&gt;&lt;/EndNote&gt;</w:instrText>
      </w:r>
      <w:r w:rsidR="002E412A" w:rsidRPr="002E412A">
        <w:rPr>
          <w:rFonts w:cs="Calibri"/>
        </w:rPr>
        <w:fldChar w:fldCharType="separate"/>
      </w:r>
      <w:r w:rsidR="002E412A" w:rsidRPr="002E412A">
        <w:rPr>
          <w:rFonts w:cs="Calibri"/>
        </w:rPr>
        <w:t>(</w:t>
      </w:r>
      <w:hyperlink w:anchor="_ENREF_76" w:tooltip="Kingsbury, 2008 #232" w:history="1">
        <w:r w:rsidR="001E4C88" w:rsidRPr="00DF1366">
          <w:rPr>
            <w:rFonts w:cs="Calibri"/>
          </w:rPr>
          <w:t>Kingsbury 2008</w:t>
        </w:r>
      </w:hyperlink>
      <w:r w:rsidR="002E412A" w:rsidRPr="002E412A">
        <w:rPr>
          <w:rFonts w:cs="Calibri"/>
        </w:rPr>
        <w:t>)</w:t>
      </w:r>
      <w:r w:rsidR="002E412A" w:rsidRPr="002E412A">
        <w:rPr>
          <w:rFonts w:cs="Calibri"/>
        </w:rPr>
        <w:fldChar w:fldCharType="end"/>
      </w:r>
      <w:r w:rsidR="002E412A" w:rsidRPr="002E412A">
        <w:rPr>
          <w:rFonts w:cs="Calibri"/>
        </w:rPr>
        <w:t xml:space="preserve">.  According to figures from </w:t>
      </w:r>
      <w:proofErr w:type="spellStart"/>
      <w:r w:rsidR="002E412A" w:rsidRPr="002E412A">
        <w:rPr>
          <w:rFonts w:cs="Calibri"/>
        </w:rPr>
        <w:t>Druckenbrod</w:t>
      </w:r>
      <w:proofErr w:type="spellEnd"/>
      <w:r w:rsidR="002E412A" w:rsidRPr="002E412A">
        <w:rPr>
          <w:rFonts w:cs="Calibri"/>
        </w:rPr>
        <w:t xml:space="preserve"> et al. </w:t>
      </w:r>
      <w:r w:rsidR="002E412A" w:rsidRPr="002E412A">
        <w:rPr>
          <w:rFonts w:cs="Calibri"/>
        </w:rPr>
        <w:fldChar w:fldCharType="begin"/>
      </w:r>
      <w:r w:rsidR="002E412A" w:rsidRPr="002E412A">
        <w:rPr>
          <w:rFonts w:cs="Calibri"/>
        </w:rPr>
        <w:instrText xml:space="preserve"> ADDIN EN.CITE &lt;EndNote&gt;&lt;Cite ExcludeAuth="1"&gt;&lt;Author&gt;Druckenbrod&lt;/Author&gt;&lt;Year&gt;2006&lt;/Year&gt;&lt;RecNum&gt;33&lt;/RecNum&gt;&lt;DisplayText&gt;(2006)&lt;/DisplayText&gt;&lt;record&gt;&lt;rec-number&gt;33&lt;/rec-number&gt;&lt;foreign-keys&gt;&lt;key app="EN" db-id="a90s5zadewrawxeer07v2f90xr5vxv022sat"&gt;33&lt;/key&gt;&lt;key app="ENWeb" db-id="S3c-7ArtqgcAACfG-zs"&gt;35&lt;/key&gt;&lt;/foreign-keys&gt;&lt;ref-type name="Journal Article"&gt;17&lt;/ref-type&gt;&lt;contributors&gt;&lt;authors&gt;&lt;author&gt;Druckenbrod, D.L.&lt;/author&gt;&lt;author&gt;Dale, V.H.&lt;/author&gt;&lt;author&gt;Olsen, L.M.&lt;/author&gt;&lt;/authors&gt;&lt;/contributors&gt;&lt;titles&gt;&lt;title&gt;Comparing current and desired ecological conditions at a landscape scale in the Cumberland Plateau and Mountains, USA&lt;/title&gt;&lt;secondary-title&gt;Journal of Land Use Science&lt;/secondary-title&gt;&lt;/titles&gt;&lt;periodical&gt;&lt;full-title&gt;Journal of Land Use Science&lt;/full-title&gt;&lt;/periodical&gt;&lt;pages&gt;169-189&lt;/pages&gt;&lt;volume&gt;1&lt;/volume&gt;&lt;dates&gt;&lt;year&gt;2006&lt;/year&gt;&lt;/dates&gt;&lt;urls&gt;&lt;/urls&gt;&lt;/record&gt;&lt;/Cite&gt;&lt;/EndNote&gt;</w:instrText>
      </w:r>
      <w:r w:rsidR="002E412A" w:rsidRPr="002E412A">
        <w:rPr>
          <w:rFonts w:cs="Calibri"/>
        </w:rPr>
        <w:fldChar w:fldCharType="separate"/>
      </w:r>
      <w:r w:rsidR="002E412A" w:rsidRPr="002E412A">
        <w:rPr>
          <w:rFonts w:cs="Calibri"/>
        </w:rPr>
        <w:t>(</w:t>
      </w:r>
      <w:hyperlink w:anchor="_ENREF_47" w:tooltip="Druckenbrod, 2006 #33" w:history="1">
        <w:r w:rsidR="001E4C88" w:rsidRPr="00DF1366">
          <w:rPr>
            <w:rFonts w:cs="Calibri"/>
          </w:rPr>
          <w:t>2006</w:t>
        </w:r>
      </w:hyperlink>
      <w:r w:rsidR="002E412A" w:rsidRPr="002E412A">
        <w:rPr>
          <w:rFonts w:cs="Calibri"/>
        </w:rPr>
        <w:t>)</w:t>
      </w:r>
      <w:r w:rsidR="002E412A" w:rsidRPr="002E412A">
        <w:rPr>
          <w:rFonts w:cs="Calibri"/>
        </w:rPr>
        <w:fldChar w:fldCharType="end"/>
      </w:r>
      <w:r w:rsidR="002E412A" w:rsidRPr="002E412A">
        <w:rPr>
          <w:rFonts w:cs="Calibri"/>
        </w:rPr>
        <w:t xml:space="preserve"> and those from above, about half of the</w:t>
      </w:r>
      <w:r w:rsidR="002E412A" w:rsidRPr="0050343F">
        <w:rPr>
          <w:rFonts w:cs="Calibri"/>
        </w:rPr>
        <w:t xml:space="preserve"> Southern Cumberland Mountains in Tennessee is now apparently owned by the state</w:t>
      </w:r>
      <w:r w:rsidR="002E412A">
        <w:t xml:space="preserve"> or under conservation </w:t>
      </w:r>
      <w:r w:rsidR="002E412A" w:rsidRPr="00930747">
        <w:t xml:space="preserve">easement </w:t>
      </w:r>
      <w:r w:rsidR="002E412A">
        <w:t>while</w:t>
      </w:r>
      <w:r w:rsidR="002E412A" w:rsidRPr="00930747">
        <w:t xml:space="preserve"> the remaining half is </w:t>
      </w:r>
      <w:r w:rsidR="002E412A">
        <w:t xml:space="preserve">about </w:t>
      </w:r>
      <w:r w:rsidR="002E412A" w:rsidRPr="00930747">
        <w:t>evenly split between large and small</w:t>
      </w:r>
      <w:r w:rsidR="002529C6">
        <w:t>er</w:t>
      </w:r>
      <w:r w:rsidR="002E412A" w:rsidRPr="00930747">
        <w:t xml:space="preserve"> landowners</w:t>
      </w:r>
      <w:r w:rsidR="002E412A">
        <w:t xml:space="preserve">.  The size of the corresponding TN Division of Forestry district reported in Evans et al. </w:t>
      </w:r>
      <w:r w:rsidR="002E412A">
        <w:fldChar w:fldCharType="begin"/>
      </w:r>
      <w:r w:rsidR="002E412A">
        <w:instrText xml:space="preserve"> ADDIN EN.CITE &lt;EndNote&gt;&lt;Cite ExcludeAuth="1"&gt;&lt;Author&gt;Evans&lt;/Author&gt;&lt;Year&gt;2002&lt;/Year&gt;&lt;RecNum&gt;276&lt;/RecNum&gt;&lt;DisplayText&gt;(2002)&lt;/DisplayText&gt;&lt;record&gt;&lt;rec-number&gt;276&lt;/rec-number&gt;&lt;foreign-keys&gt;&lt;key app="EN" db-id="a90s5zadewrawxeer07v2f90xr5vxv022sat"&gt;276&lt;/key&gt;&lt;/foreign-keys&gt;&lt;ref-type name="Report"&gt;27&lt;/ref-type&gt;&lt;contributors&gt;&lt;authors&gt;&lt;author&gt;Evans, Jonathan&lt;/author&gt;&lt;author&gt;Pelkey, N.&lt;/author&gt;&lt;author&gt;Haskell, D.&lt;/author&gt;&lt;/authors&gt;&lt;/contributors&gt;&lt;titles&gt;&lt;title&gt;An assessment of forest change on the Cumberland Plateau in southern Tennessee: small area assessment forestry demonstration project for the Southern Forest Resource Assessment. University of the South, Landscape Analysis Laboratory, Sewanee, TN. 193p&lt;/title&gt;&lt;/titles&gt;&lt;dates&gt;&lt;year&gt;2002&lt;/year&gt;&lt;/dates&gt;&lt;urls&gt;&lt;/urls&gt;&lt;/record&gt;&lt;/Cite&gt;&lt;/EndNote&gt;</w:instrText>
      </w:r>
      <w:r w:rsidR="002E412A">
        <w:fldChar w:fldCharType="separate"/>
      </w:r>
      <w:r w:rsidR="002E412A">
        <w:rPr>
          <w:noProof/>
        </w:rPr>
        <w:t>(</w:t>
      </w:r>
      <w:hyperlink w:anchor="_ENREF_48" w:tooltip="Evans, 2002 #276" w:history="1">
        <w:r w:rsidR="001E4C88">
          <w:rPr>
            <w:noProof/>
          </w:rPr>
          <w:t>2002</w:t>
        </w:r>
      </w:hyperlink>
      <w:r w:rsidR="002E412A">
        <w:rPr>
          <w:noProof/>
        </w:rPr>
        <w:t>)</w:t>
      </w:r>
      <w:r w:rsidR="002E412A">
        <w:fldChar w:fldCharType="end"/>
      </w:r>
      <w:r w:rsidR="002E412A">
        <w:t xml:space="preserve"> </w:t>
      </w:r>
      <w:r w:rsidR="002E412A" w:rsidRPr="00BC75CB">
        <w:t>suggests that this unprotected</w:t>
      </w:r>
      <w:r w:rsidR="002E412A">
        <w:t xml:space="preserve"> area </w:t>
      </w:r>
      <w:r w:rsidR="002E412A" w:rsidRPr="00BC75CB">
        <w:t>could amount to 500,000ac</w:t>
      </w:r>
      <w:r w:rsidR="002E412A">
        <w:t>.</w:t>
      </w:r>
      <w:r w:rsidR="002E412A" w:rsidRPr="002E412A">
        <w:t xml:space="preserve"> </w:t>
      </w:r>
      <w:r w:rsidR="0023149C">
        <w:t xml:space="preserve"> </w:t>
      </w:r>
      <w:r w:rsidR="002E412A">
        <w:t>Therefore, r</w:t>
      </w:r>
      <w:r w:rsidR="002E412A" w:rsidRPr="00930747">
        <w:t>esults from this paper may provide enough</w:t>
      </w:r>
      <w:r w:rsidR="002E412A" w:rsidRPr="00E95795">
        <w:t xml:space="preserve"> </w:t>
      </w:r>
      <w:r w:rsidR="002E412A">
        <w:t>useful</w:t>
      </w:r>
      <w:r w:rsidR="002E412A" w:rsidRPr="00930747">
        <w:t xml:space="preserve"> insight into</w:t>
      </w:r>
      <w:r w:rsidR="002E412A">
        <w:t xml:space="preserve"> this </w:t>
      </w:r>
      <w:r w:rsidR="00C3388F" w:rsidRPr="002E412A">
        <w:rPr>
          <w:b/>
          <w:bCs/>
          <w:sz w:val="20"/>
          <w:szCs w:val="20"/>
        </w:rPr>
        <w:t>Figure 1</w:t>
      </w:r>
      <w:r w:rsidR="00C3388F">
        <w:rPr>
          <w:b/>
          <w:bCs/>
          <w:sz w:val="20"/>
          <w:szCs w:val="20"/>
        </w:rPr>
        <w:t>1</w:t>
      </w:r>
      <w:r w:rsidR="00C3388F" w:rsidRPr="002E412A">
        <w:rPr>
          <w:b/>
          <w:bCs/>
          <w:sz w:val="20"/>
          <w:szCs w:val="20"/>
        </w:rPr>
        <w:t xml:space="preserve">. Connecting the Cumberlands Campaign conservation achievements.  Source: Kingsbury </w:t>
      </w:r>
      <w:r w:rsidR="00C3388F" w:rsidRPr="002E412A">
        <w:rPr>
          <w:b/>
          <w:bCs/>
          <w:sz w:val="20"/>
          <w:szCs w:val="20"/>
        </w:rPr>
        <w:fldChar w:fldCharType="begin"/>
      </w:r>
      <w:r w:rsidR="00C3388F" w:rsidRPr="002E412A">
        <w:rPr>
          <w:b/>
          <w:bCs/>
          <w:sz w:val="20"/>
          <w:szCs w:val="20"/>
        </w:rPr>
        <w:instrText xml:space="preserve"> ADDIN EN.CITE &lt;EndNote&gt;&lt;Cite ExcludeAuth="1"&gt;&lt;Author&gt;Kingsbury&lt;/Author&gt;&lt;Year&gt;2008&lt;/Year&gt;&lt;RecNum&gt;232&lt;/RecNum&gt;&lt;DisplayText&gt;(2008)&lt;/DisplayText&gt;&lt;record&gt;&lt;rec-number&gt;232&lt;/rec-number&gt;&lt;foreign-keys&gt;&lt;key app="EN" db-id="a90s5zadewrawxeer07v2f90xr5vxv022sat"&gt;232&lt;/key&gt;&lt;/foreign-keys&gt;&lt;ref-type name="Magazine Article"&gt;19&lt;/ref-type&gt;&lt;contributors&gt;&lt;authors&gt;&lt;author&gt;Kingsbury, P.&lt;/author&gt;&lt;/authors&gt;&lt;/contributors&gt;&lt;titles&gt;&lt;title&gt;Connecting the Cumberlands: Tennessee’s Big Conservation Success for People and Nature&lt;/title&gt;&lt;secondary-title&gt;Tennessee Conservationist&lt;/secondary-title&gt;&lt;/titles&gt;&lt;periodical&gt;&lt;full-title&gt;Tennessee Conservationist&lt;/full-title&gt;&lt;/periodical&gt;&lt;pages&gt;18-23&lt;/pages&gt;&lt;number&gt;January/February&lt;/number&gt;&lt;dates&gt;&lt;year&gt;2008&lt;/year&gt;&lt;/dates&gt;&lt;urls&gt;&lt;/urls&gt;&lt;/record&gt;&lt;/Cite&gt;&lt;/EndNote&gt;</w:instrText>
      </w:r>
      <w:r w:rsidR="00C3388F" w:rsidRPr="002E412A">
        <w:rPr>
          <w:b/>
          <w:bCs/>
          <w:sz w:val="20"/>
          <w:szCs w:val="20"/>
        </w:rPr>
        <w:fldChar w:fldCharType="separate"/>
      </w:r>
      <w:r w:rsidR="00C3388F" w:rsidRPr="002E412A">
        <w:rPr>
          <w:b/>
          <w:bCs/>
          <w:sz w:val="20"/>
          <w:szCs w:val="20"/>
        </w:rPr>
        <w:t>(</w:t>
      </w:r>
      <w:hyperlink w:anchor="_ENREF_76" w:tooltip="Kingsbury, 2008 #232" w:history="1">
        <w:r w:rsidR="00C3388F" w:rsidRPr="00DF1366">
          <w:rPr>
            <w:b/>
            <w:bCs/>
            <w:sz w:val="20"/>
            <w:szCs w:val="20"/>
          </w:rPr>
          <w:t>2008</w:t>
        </w:r>
      </w:hyperlink>
      <w:r w:rsidR="00C3388F" w:rsidRPr="002E412A">
        <w:rPr>
          <w:b/>
          <w:bCs/>
          <w:sz w:val="20"/>
          <w:szCs w:val="20"/>
        </w:rPr>
        <w:t>)</w:t>
      </w:r>
      <w:r w:rsidR="00C3388F" w:rsidRPr="002E412A">
        <w:rPr>
          <w:b/>
          <w:bCs/>
          <w:sz w:val="20"/>
          <w:szCs w:val="20"/>
        </w:rPr>
        <w:fldChar w:fldCharType="end"/>
      </w:r>
    </w:p>
    <w:p w:rsidR="00C3388F" w:rsidRDefault="002E412A" w:rsidP="00C3388F">
      <w:pPr>
        <w:spacing w:line="480" w:lineRule="auto"/>
        <w:rPr>
          <w:b/>
          <w:bCs/>
          <w:sz w:val="20"/>
          <w:szCs w:val="20"/>
        </w:rPr>
      </w:pPr>
      <w:proofErr w:type="gramStart"/>
      <w:r w:rsidRPr="00930747">
        <w:t>type</w:t>
      </w:r>
      <w:proofErr w:type="gramEnd"/>
      <w:r w:rsidRPr="00930747">
        <w:t xml:space="preserve"> of IFM project to compel </w:t>
      </w:r>
      <w:r>
        <w:t>many</w:t>
      </w:r>
      <w:r w:rsidRPr="00930747">
        <w:t xml:space="preserve"> landowners </w:t>
      </w:r>
      <w:r>
        <w:t xml:space="preserve">in this area </w:t>
      </w:r>
      <w:r w:rsidRPr="00930747">
        <w:t>and perha</w:t>
      </w:r>
      <w:r>
        <w:t>ps others further away to engage with IFM</w:t>
      </w:r>
      <w:r w:rsidR="00143E4F">
        <w:t xml:space="preserve"> </w:t>
      </w:r>
      <w:r w:rsidR="001920E8">
        <w:t>project</w:t>
      </w:r>
      <w:r w:rsidR="001920E8" w:rsidRPr="00930747">
        <w:t xml:space="preserve"> developers</w:t>
      </w:r>
      <w:r w:rsidR="00241A4E">
        <w:t xml:space="preserve"> and/or aggregators</w:t>
      </w:r>
      <w:r w:rsidR="00327F0E">
        <w:t xml:space="preserve"> or otherwise seek more knowledge about IFM opportunity and protocol </w:t>
      </w:r>
      <w:r w:rsidR="00AB3BC0">
        <w:t>evolution</w:t>
      </w:r>
      <w:r w:rsidR="001920E8">
        <w:t>.</w:t>
      </w:r>
      <w:r w:rsidR="001920E8" w:rsidRPr="003755D5">
        <w:t xml:space="preserve"> </w:t>
      </w:r>
      <w:r w:rsidR="001920E8">
        <w:t xml:space="preserve"> The sustainable management of a large majority of this area would be a momentous a</w:t>
      </w:r>
      <w:r w:rsidR="00B744C4">
        <w:t xml:space="preserve">chievement given its historical </w:t>
      </w:r>
      <w:r w:rsidR="001920E8">
        <w:t xml:space="preserve">importance to regional biodiversity </w:t>
      </w:r>
      <w:r w:rsidR="001920E8">
        <w:fldChar w:fldCharType="begin"/>
      </w:r>
      <w:r w:rsidR="001920E8">
        <w:instrText xml:space="preserve"> ADDIN EN.CITE &lt;EndNote&gt;&lt;Cite&gt;&lt;Author&gt;Muller&lt;/Author&gt;&lt;Year&gt;1982&lt;/Year&gt;&lt;RecNum&gt;278&lt;/RecNum&gt;&lt;DisplayText&gt;(Muller 1982)&lt;/DisplayText&gt;&lt;record&gt;&lt;rec-number&gt;278&lt;/rec-number&gt;&lt;foreign-keys&gt;&lt;key app="EN" db-id="a90s5zadewrawxeer07v2f90xr5vxv022sat"&gt;278&lt;/key&gt;&lt;/foreign-keys&gt;&lt;ref-type name="Journal Article"&gt;17&lt;/ref-type&gt;&lt;contributors&gt;&lt;authors&gt;&lt;author&gt;Muller, R.N.&lt;/author&gt;&lt;/authors&gt;&lt;/contributors&gt;&lt;titles&gt;&lt;title&gt;Vegetation patterns in the mixed mesophytic forest of eastern Kentucky&lt;/title&gt;&lt;secondary-title&gt;Ecology&lt;/secondary-title&gt;&lt;/titles&gt;&lt;periodical&gt;&lt;full-title&gt;Ecology&lt;/full-title&gt;&lt;/periodical&gt;&lt;pages&gt;1901-1917&lt;/pages&gt;&lt;volume&gt;63&lt;/volume&gt;&lt;dates&gt;&lt;year&gt;1982&lt;/year&gt;&lt;/dates&gt;&lt;urls&gt;&lt;/urls&gt;&lt;/record&gt;&lt;/Cite&gt;&lt;/EndNote&gt;</w:instrText>
      </w:r>
      <w:r w:rsidR="001920E8">
        <w:fldChar w:fldCharType="separate"/>
      </w:r>
      <w:r w:rsidR="001920E8">
        <w:rPr>
          <w:noProof/>
        </w:rPr>
        <w:t>(</w:t>
      </w:r>
      <w:hyperlink w:anchor="_ENREF_103" w:tooltip="Muller, 1982 #278" w:history="1">
        <w:r w:rsidR="001E4C88">
          <w:rPr>
            <w:noProof/>
          </w:rPr>
          <w:t>Muller 1982</w:t>
        </w:r>
      </w:hyperlink>
      <w:r w:rsidR="001920E8">
        <w:rPr>
          <w:noProof/>
        </w:rPr>
        <w:t>)</w:t>
      </w:r>
      <w:r w:rsidR="001920E8">
        <w:fldChar w:fldCharType="end"/>
      </w:r>
      <w:r w:rsidR="001920E8">
        <w:t xml:space="preserve">, which is conveyed best by Braun’s </w:t>
      </w:r>
      <w:r w:rsidR="001920E8">
        <w:fldChar w:fldCharType="begin"/>
      </w:r>
      <w:r w:rsidR="001920E8">
        <w:instrText xml:space="preserve"> ADDIN EN.CITE &lt;EndNote&gt;&lt;Cite ExcludeAuth="1"&gt;&lt;Author&gt;Braun&lt;/Author&gt;&lt;Year&gt;1942&lt;/Year&gt;&lt;RecNum&gt;70&lt;/RecNum&gt;&lt;DisplayText&gt;(1942)&lt;/DisplayText&gt;&lt;record&gt;&lt;rec-number&gt;70&lt;/rec-number&gt;&lt;foreign-keys&gt;&lt;key app="EN" db-id="a90s5zadewrawxeer07v2f90xr5vxv022sat"&gt;70&lt;/key&gt;&lt;/foreign-keys&gt;&lt;ref-type name="Journal Article"&gt;17&lt;/ref-type&gt;&lt;contributors&gt;&lt;authors&gt;&lt;author&gt;Braun, E. Lucy&lt;/author&gt;&lt;/authors&gt;&lt;/contributors&gt;&lt;titles&gt;&lt;title&gt;Forests of the Cumberland Mountains&lt;/title&gt;&lt;secondary-title&gt;Ecological Monographs&lt;/secondary-title&gt;&lt;/titles&gt;&lt;periodical&gt;&lt;full-title&gt;Ecological Monographs&lt;/full-title&gt;&lt;/periodical&gt;&lt;pages&gt;413-447&lt;/pages&gt;&lt;volume&gt;12&lt;/volume&gt;&lt;number&gt;4&lt;/number&gt;&lt;dates&gt;&lt;year&gt;1942&lt;/year&gt;&lt;/dates&gt;&lt;publisher&gt;Ecological Society of America&lt;/publisher&gt;&lt;isbn&gt;00129615&lt;/isbn&gt;&lt;urls&gt;&lt;related-urls&gt;&lt;url&gt;http://www.jstor.org/stable/1943039&lt;/url&gt;&lt;/related-urls&gt;&lt;/urls&gt;&lt;/record&gt;&lt;/Cite&gt;&lt;/EndNote&gt;</w:instrText>
      </w:r>
      <w:r w:rsidR="001920E8">
        <w:fldChar w:fldCharType="separate"/>
      </w:r>
      <w:r w:rsidR="001920E8">
        <w:rPr>
          <w:noProof/>
        </w:rPr>
        <w:t>(</w:t>
      </w:r>
      <w:hyperlink w:anchor="_ENREF_28" w:tooltip="Braun, 1942 #70" w:history="1">
        <w:r w:rsidR="001E4C88">
          <w:rPr>
            <w:noProof/>
          </w:rPr>
          <w:t>1942</w:t>
        </w:r>
      </w:hyperlink>
      <w:r w:rsidR="001920E8">
        <w:rPr>
          <w:noProof/>
        </w:rPr>
        <w:t>)</w:t>
      </w:r>
      <w:r w:rsidR="001920E8">
        <w:fldChar w:fldCharType="end"/>
      </w:r>
      <w:r w:rsidR="001920E8">
        <w:t xml:space="preserve"> description of </w:t>
      </w:r>
      <w:r w:rsidR="00BB02E0">
        <w:t xml:space="preserve">it: “In number of tree species, </w:t>
      </w:r>
      <w:r w:rsidR="00922BC6">
        <w:t xml:space="preserve">in size of individuals, in </w:t>
      </w:r>
      <w:r w:rsidR="001920E8">
        <w:t xml:space="preserve">variety of forest types it </w:t>
      </w:r>
      <w:r w:rsidR="001920E8">
        <w:lastRenderedPageBreak/>
        <w:t xml:space="preserve">ranks as one of the finest deciduous forest areas of North America. </w:t>
      </w:r>
      <w:r w:rsidR="00010699">
        <w:t xml:space="preserve"> </w:t>
      </w:r>
      <w:r w:rsidR="001920E8">
        <w:t>The mixed mesophytic forest association is here at its best; nowhere else is it as well developed.”</w:t>
      </w:r>
      <w:r w:rsidR="007F5A14">
        <w:rPr>
          <w:b/>
          <w:bCs/>
          <w:sz w:val="20"/>
          <w:szCs w:val="20"/>
        </w:rPr>
        <w:t xml:space="preserve"> </w:t>
      </w:r>
    </w:p>
    <w:p w:rsidR="002802E3" w:rsidRPr="002802E3" w:rsidRDefault="002802E3" w:rsidP="009D0F83">
      <w:pPr>
        <w:pStyle w:val="Heading2"/>
        <w:numPr>
          <w:ilvl w:val="0"/>
          <w:numId w:val="21"/>
        </w:numPr>
        <w:spacing w:line="480" w:lineRule="auto"/>
      </w:pPr>
      <w:bookmarkStart w:id="34" w:name="_Toc277738188"/>
      <w:bookmarkStart w:id="35" w:name="_Toc278294309"/>
      <w:r>
        <w:t>C</w:t>
      </w:r>
      <w:r w:rsidR="00F1330A">
        <w:t>ONCLUSIONS</w:t>
      </w:r>
      <w:bookmarkEnd w:id="34"/>
      <w:bookmarkEnd w:id="35"/>
    </w:p>
    <w:p w:rsidR="00461707" w:rsidRDefault="00461707" w:rsidP="00AD4A75">
      <w:pPr>
        <w:spacing w:line="480" w:lineRule="auto"/>
        <w:ind w:firstLine="720"/>
      </w:pPr>
      <w:r w:rsidRPr="009001C1">
        <w:t xml:space="preserve">It is clear that there </w:t>
      </w:r>
      <w:r w:rsidR="00C030EF">
        <w:t>is</w:t>
      </w:r>
      <w:r w:rsidRPr="009001C1">
        <w:t xml:space="preserve"> a host of coinciding burdens </w:t>
      </w:r>
      <w:r>
        <w:t xml:space="preserve">that </w:t>
      </w:r>
      <w:r w:rsidRPr="009001C1">
        <w:t xml:space="preserve">upland </w:t>
      </w:r>
      <w:r w:rsidR="00F55DDD">
        <w:t>hardwood</w:t>
      </w:r>
      <w:r w:rsidR="00115DA3">
        <w:t xml:space="preserve"> forest owners</w:t>
      </w:r>
      <w:r w:rsidRPr="009001C1">
        <w:t xml:space="preserve"> and managers are facing.  </w:t>
      </w:r>
      <w:r>
        <w:t xml:space="preserve">Most FFOs </w:t>
      </w:r>
      <w:r w:rsidR="00BB6D73">
        <w:t>do not obtain</w:t>
      </w:r>
      <w:r w:rsidRPr="0018352A">
        <w:t xml:space="preserve"> professional guidance on the appropriate preparation for and execution of harvests in the context of </w:t>
      </w:r>
      <w:r>
        <w:t xml:space="preserve">long-term </w:t>
      </w:r>
      <w:r w:rsidRPr="0018352A">
        <w:t xml:space="preserve">ecological and/or </w:t>
      </w:r>
      <w:r w:rsidR="007F1CC6">
        <w:t xml:space="preserve">timber production </w:t>
      </w:r>
      <w:r w:rsidRPr="0018352A">
        <w:t xml:space="preserve">considerations. </w:t>
      </w:r>
      <w:r>
        <w:t xml:space="preserve"> </w:t>
      </w:r>
      <w:r w:rsidR="00BB6D73">
        <w:t xml:space="preserve">The implications of this trend continuing are troubling to say the least.  </w:t>
      </w:r>
      <w:r>
        <w:t xml:space="preserve">Schuler </w:t>
      </w:r>
      <w:r>
        <w:fldChar w:fldCharType="begin"/>
      </w:r>
      <w:r w:rsidR="00A87D07">
        <w:instrText xml:space="preserve"> ADDIN EN.CITE &lt;EndNote&gt;&lt;Cite ExcludeAuth="1"&gt;&lt;Author&gt;Schuler&lt;/Author&gt;&lt;Year&gt;2004&lt;/Year&gt;&lt;RecNum&gt;218&lt;/RecNum&gt;&lt;DisplayText&gt;(2004)&lt;/DisplayText&gt;&lt;record&gt;&lt;rec-number&gt;218&lt;/rec-number&gt;&lt;foreign-keys&gt;&lt;key app="EN" db-id="a90s5zadewrawxeer07v2f90xr5vxv022sat"&gt;218&lt;/key&gt;&lt;/foreign-keys&gt;&lt;ref-type name="Journal Article"&gt;17&lt;/ref-type&gt;&lt;contributors&gt;&lt;authors&gt;&lt;author&gt;Schuler, T.M.&lt;/author&gt;&lt;/authors&gt;&lt;/contributors&gt;&lt;titles&gt;&lt;title&gt;Fifty years of partial harvesting in a mixed mesophytic forest: composition and productivity&lt;/title&gt;&lt;secondary-title&gt;Canadian Journal of Forest Research&lt;/secondary-title&gt;&lt;/titles&gt;&lt;periodical&gt;&lt;full-title&gt;Canadian Journal of Forest Research&lt;/full-title&gt;&lt;/periodical&gt;&lt;pages&gt;985-997&lt;/pages&gt;&lt;volume&gt;34&lt;/volume&gt;&lt;dates&gt;&lt;year&gt;2004&lt;/year&gt;&lt;/dates&gt;&lt;urls&gt;&lt;related-urls&gt;&lt;url&gt;http://www.treesearch.fs.fed.us/pubs/7944&lt;/url&gt;&lt;/related-urls&gt;&lt;/urls&gt;&lt;/record&gt;&lt;/Cite&gt;&lt;/EndNote&gt;</w:instrText>
      </w:r>
      <w:r>
        <w:fldChar w:fldCharType="separate"/>
      </w:r>
      <w:r w:rsidR="00A87D07">
        <w:rPr>
          <w:noProof/>
        </w:rPr>
        <w:t>(</w:t>
      </w:r>
      <w:hyperlink w:anchor="_ENREF_118" w:tooltip="Schuler, 2004 #218" w:history="1">
        <w:r w:rsidR="001E4C88">
          <w:rPr>
            <w:noProof/>
          </w:rPr>
          <w:t>2004</w:t>
        </w:r>
      </w:hyperlink>
      <w:r w:rsidR="00A87D07">
        <w:rPr>
          <w:noProof/>
        </w:rPr>
        <w:t>)</w:t>
      </w:r>
      <w:r>
        <w:fldChar w:fldCharType="end"/>
      </w:r>
      <w:r>
        <w:t xml:space="preserve"> asserts that “the regional decline of oak species suggests that only intensive and specific forest management focused on maintaining oak species can maintain historical levels of diversity.”  </w:t>
      </w:r>
      <w:r w:rsidR="00A32C54">
        <w:t>Considering</w:t>
      </w:r>
      <w:r w:rsidR="00F70D9E" w:rsidRPr="008D7F98">
        <w:t xml:space="preserve"> that immediate financial concerns tend to override those not mandated by environmental laws and regulations</w:t>
      </w:r>
      <w:r w:rsidR="00A32C54">
        <w:t xml:space="preserve">, </w:t>
      </w:r>
      <w:r>
        <w:t>i</w:t>
      </w:r>
      <w:r w:rsidRPr="009001C1">
        <w:t xml:space="preserve">t </w:t>
      </w:r>
      <w:r w:rsidR="00A32C54">
        <w:t>is hard to imagine</w:t>
      </w:r>
      <w:r w:rsidRPr="009001C1">
        <w:t xml:space="preserve"> how th</w:t>
      </w:r>
      <w:r w:rsidR="00A32C54">
        <w:t>is threat</w:t>
      </w:r>
      <w:r w:rsidRPr="009001C1">
        <w:t xml:space="preserve"> </w:t>
      </w:r>
      <w:r w:rsidR="00B744C4">
        <w:t>could</w:t>
      </w:r>
      <w:r w:rsidRPr="009001C1">
        <w:t xml:space="preserve"> be confronted</w:t>
      </w:r>
      <w:r w:rsidR="00AE0465">
        <w:t xml:space="preserve"> </w:t>
      </w:r>
      <w:r w:rsidR="00B744C4">
        <w:t>under the status quo.</w:t>
      </w:r>
    </w:p>
    <w:p w:rsidR="00CB1838" w:rsidRPr="009F50BF" w:rsidRDefault="005E6D8A" w:rsidP="00AD4A75">
      <w:pPr>
        <w:spacing w:line="480" w:lineRule="auto"/>
        <w:ind w:firstLine="720"/>
        <w:rPr>
          <w:rFonts w:asciiTheme="minorHAnsi" w:hAnsiTheme="minorHAnsi" w:cstheme="minorHAnsi"/>
        </w:rPr>
      </w:pPr>
      <w:r w:rsidRPr="009F50BF">
        <w:rPr>
          <w:rFonts w:asciiTheme="minorHAnsi" w:hAnsiTheme="minorHAnsi" w:cstheme="minorHAnsi"/>
        </w:rPr>
        <w:t xml:space="preserve">IFM programs are certainly being seen as a potential way of averting more than just climatic changes, but implementing them cost-effectively at meaningful scales continues to be a challenge.  </w:t>
      </w:r>
      <w:r w:rsidR="009F50BF" w:rsidRPr="009F50BF">
        <w:rPr>
          <w:rFonts w:asciiTheme="minorHAnsi" w:hAnsiTheme="minorHAnsi" w:cstheme="minorHAnsi"/>
          <w:color w:val="000000"/>
        </w:rPr>
        <w:t xml:space="preserve">CAR certainly deserves credit for establishing an unprecedented level of rigor in its IFM protocol while maintaining its commitment to additional refinements that increase functionality and ease of implementation.  </w:t>
      </w:r>
      <w:r w:rsidR="00EA409D">
        <w:rPr>
          <w:rFonts w:asciiTheme="minorHAnsi" w:hAnsiTheme="minorHAnsi" w:cstheme="minorHAnsi"/>
          <w:color w:val="000000"/>
        </w:rPr>
        <w:t>However, t</w:t>
      </w:r>
      <w:r w:rsidR="009F50BF" w:rsidRPr="009F50BF">
        <w:rPr>
          <w:rFonts w:asciiTheme="minorHAnsi" w:hAnsiTheme="minorHAnsi" w:cstheme="minorHAnsi"/>
          <w:color w:val="000000"/>
        </w:rPr>
        <w:t xml:space="preserve">he findings in this assessment show that further adjustments to the CAR protocol are critical to its applicability to managed Appalachian hardwood forests and perhaps sustained yield hardwood forestry in general.  </w:t>
      </w:r>
      <w:r w:rsidR="00CC71DD">
        <w:rPr>
          <w:rFonts w:asciiTheme="minorHAnsi" w:hAnsiTheme="minorHAnsi" w:cstheme="minorHAnsi"/>
          <w:color w:val="000000"/>
        </w:rPr>
        <w:t>Indeed, t</w:t>
      </w:r>
      <w:r w:rsidR="009F50BF" w:rsidRPr="009F50BF">
        <w:rPr>
          <w:rFonts w:asciiTheme="minorHAnsi" w:hAnsiTheme="minorHAnsi" w:cstheme="minorHAnsi"/>
          <w:color w:val="000000"/>
        </w:rPr>
        <w:t xml:space="preserve">he specific refinements analyzed herein </w:t>
      </w:r>
      <w:r w:rsidR="00764BFE">
        <w:rPr>
          <w:rFonts w:asciiTheme="minorHAnsi" w:hAnsiTheme="minorHAnsi" w:cstheme="minorHAnsi"/>
          <w:color w:val="000000"/>
        </w:rPr>
        <w:t>deserve consideration</w:t>
      </w:r>
      <w:r w:rsidR="00CC71DD">
        <w:rPr>
          <w:rFonts w:asciiTheme="minorHAnsi" w:hAnsiTheme="minorHAnsi" w:cstheme="minorHAnsi"/>
          <w:color w:val="000000"/>
        </w:rPr>
        <w:t xml:space="preserve"> in future protocol revisions. </w:t>
      </w:r>
    </w:p>
    <w:p w:rsidR="00A77013" w:rsidRDefault="0038117D" w:rsidP="00A77013">
      <w:pPr>
        <w:autoSpaceDE w:val="0"/>
        <w:autoSpaceDN w:val="0"/>
        <w:adjustRightInd w:val="0"/>
        <w:spacing w:after="0" w:line="480" w:lineRule="auto"/>
        <w:ind w:firstLine="720"/>
      </w:pPr>
      <w:r w:rsidRPr="00AD4A75">
        <w:t xml:space="preserve">Baring modifications </w:t>
      </w:r>
      <w:r>
        <w:t>to</w:t>
      </w:r>
      <w:r w:rsidRPr="00AD4A75">
        <w:t xml:space="preserve"> </w:t>
      </w:r>
      <w:r>
        <w:t xml:space="preserve">the </w:t>
      </w:r>
      <w:r w:rsidRPr="00AD4A75">
        <w:t xml:space="preserve">CAR </w:t>
      </w:r>
      <w:r>
        <w:t>protocol’s rules and procedures, the</w:t>
      </w:r>
      <w:r w:rsidR="00AD4A75" w:rsidRPr="00AD4A75">
        <w:t xml:space="preserve"> results </w:t>
      </w:r>
      <w:r>
        <w:t xml:space="preserve">of this study </w:t>
      </w:r>
      <w:r w:rsidR="00BD550C">
        <w:t>cast doubt on</w:t>
      </w:r>
      <w:r>
        <w:t xml:space="preserve"> </w:t>
      </w:r>
      <w:r w:rsidR="00AD4A75" w:rsidRPr="00AD4A75">
        <w:t xml:space="preserve">the utility of </w:t>
      </w:r>
      <w:r w:rsidR="007624AA">
        <w:t>the protocol</w:t>
      </w:r>
      <w:r w:rsidR="00AD4A75" w:rsidRPr="00AD4A75">
        <w:t xml:space="preserve"> </w:t>
      </w:r>
      <w:r w:rsidR="00691DD4">
        <w:t>as</w:t>
      </w:r>
      <w:r w:rsidR="00AD4A75" w:rsidRPr="00AD4A75">
        <w:t xml:space="preserve"> a catalyst for popularizing sustainable</w:t>
      </w:r>
      <w:r w:rsidR="002B32E0">
        <w:t xml:space="preserve"> even-age</w:t>
      </w:r>
      <w:r w:rsidR="00AD4A75" w:rsidRPr="00AD4A75">
        <w:t xml:space="preserve"> forestry in </w:t>
      </w:r>
      <w:r w:rsidR="002E412A">
        <w:t xml:space="preserve">medium to small size tracts of </w:t>
      </w:r>
      <w:r w:rsidR="00EE55D0">
        <w:t>relatively mature upland hardwood forests</w:t>
      </w:r>
      <w:r w:rsidR="007624AA">
        <w:t>,</w:t>
      </w:r>
      <w:r w:rsidR="00115DA3">
        <w:t xml:space="preserve"> </w:t>
      </w:r>
      <w:r>
        <w:t>and</w:t>
      </w:r>
      <w:r w:rsidR="00CD6968">
        <w:t xml:space="preserve"> </w:t>
      </w:r>
      <w:r w:rsidR="002E412A">
        <w:t>in turn</w:t>
      </w:r>
      <w:r w:rsidR="007624AA">
        <w:t>,</w:t>
      </w:r>
      <w:r w:rsidR="002E412A">
        <w:t xml:space="preserve"> </w:t>
      </w:r>
      <w:r w:rsidRPr="00AD4A75">
        <w:t xml:space="preserve">call into question </w:t>
      </w:r>
      <w:r w:rsidR="00CD6968">
        <w:t xml:space="preserve">the </w:t>
      </w:r>
      <w:r w:rsidR="00115DA3">
        <w:t>pragmatism of</w:t>
      </w:r>
      <w:r w:rsidR="008C53FC">
        <w:t xml:space="preserve"> </w:t>
      </w:r>
      <w:r w:rsidR="008F08FB">
        <w:t>different protocol elements</w:t>
      </w:r>
      <w:r w:rsidR="00AD4A75" w:rsidRPr="00AD4A75">
        <w:t xml:space="preserve">.  </w:t>
      </w:r>
      <w:r w:rsidR="00EE55D0">
        <w:t>However, i</w:t>
      </w:r>
      <w:r w:rsidR="00EE55D0" w:rsidRPr="00AD4A75">
        <w:t>t should be noted that</w:t>
      </w:r>
      <w:r w:rsidR="00EE55D0">
        <w:t xml:space="preserve"> tracts largely consisting of immature</w:t>
      </w:r>
      <w:r w:rsidR="00EE55D0" w:rsidRPr="00AD4A75">
        <w:t xml:space="preserve"> stands younger than </w:t>
      </w:r>
      <w:r w:rsidR="00EE55D0" w:rsidRPr="00AD4A75">
        <w:lastRenderedPageBreak/>
        <w:t>those modeled here</w:t>
      </w:r>
      <w:r w:rsidR="00EE55D0">
        <w:t xml:space="preserve"> </w:t>
      </w:r>
      <w:r w:rsidR="00EE55D0" w:rsidRPr="00AD4A75">
        <w:t xml:space="preserve">would likely present more favorable conditions for </w:t>
      </w:r>
      <w:r w:rsidR="00EE55D0">
        <w:t>CAR-</w:t>
      </w:r>
      <w:r w:rsidR="00EE55D0" w:rsidRPr="00AD4A75">
        <w:t>IFM participation</w:t>
      </w:r>
      <w:r w:rsidR="00EE55D0">
        <w:t xml:space="preserve">.  And there is certainly a great need for management in immature mixed hardwood stands still containing competitive oaks, as intermediate treatments would afford them the site resources needed to persist in the overstory.  Hence, it would be interesting to see similar research examining the CAR-IFM project feasibility of largely immature hardwood tracts in the </w:t>
      </w:r>
      <w:r w:rsidR="006D7970">
        <w:t>South</w:t>
      </w:r>
      <w:r w:rsidR="00EE55D0">
        <w:t xml:space="preserve">.  </w:t>
      </w:r>
      <w:r w:rsidR="00B347F5">
        <w:t>T</w:t>
      </w:r>
      <w:r w:rsidR="00764BFE">
        <w:t xml:space="preserve">he findings in this study also imply that it may be unlikely for any </w:t>
      </w:r>
      <w:r w:rsidR="008F08FB">
        <w:t>strictly</w:t>
      </w:r>
      <w:r w:rsidR="00B331C0">
        <w:t xml:space="preserve"> </w:t>
      </w:r>
      <w:r w:rsidR="008F08FB">
        <w:t xml:space="preserve">financial additionality </w:t>
      </w:r>
      <w:r w:rsidR="00764BFE">
        <w:t>focused IFM accounting scheme</w:t>
      </w:r>
      <w:r w:rsidR="002C3B26">
        <w:t xml:space="preserve"> to offer a compelling</w:t>
      </w:r>
      <w:r w:rsidR="00764BFE">
        <w:t xml:space="preserve"> alternative to Appalachia</w:t>
      </w:r>
      <w:r w:rsidR="00CC71DD">
        <w:t>n</w:t>
      </w:r>
      <w:r w:rsidR="00764BFE">
        <w:t xml:space="preserve"> </w:t>
      </w:r>
      <w:r w:rsidR="00CC71DD">
        <w:t xml:space="preserve">FFOs </w:t>
      </w:r>
      <w:r w:rsidR="00764BFE">
        <w:t xml:space="preserve">with the intention of harvesting relatively mature timber in the near-term with a </w:t>
      </w:r>
      <w:r w:rsidR="00327A87">
        <w:t>profit</w:t>
      </w:r>
      <w:r w:rsidR="00764BFE">
        <w:t xml:space="preserve"> maximizing objective.</w:t>
      </w:r>
    </w:p>
    <w:p w:rsidR="008177A3" w:rsidRDefault="005C2991" w:rsidP="00A77013">
      <w:pPr>
        <w:autoSpaceDE w:val="0"/>
        <w:autoSpaceDN w:val="0"/>
        <w:adjustRightInd w:val="0"/>
        <w:spacing w:after="0" w:line="480" w:lineRule="auto"/>
        <w:ind w:firstLine="720"/>
      </w:pPr>
      <w:r>
        <w:t xml:space="preserve">In </w:t>
      </w:r>
      <w:r w:rsidR="00C45155">
        <w:t>summary,</w:t>
      </w:r>
      <w:r w:rsidR="00FD4C3C">
        <w:t xml:space="preserve"> the </w:t>
      </w:r>
      <w:r>
        <w:t>potential for</w:t>
      </w:r>
      <w:r w:rsidR="00FD4C3C">
        <w:t xml:space="preserve"> </w:t>
      </w:r>
      <w:r>
        <w:t xml:space="preserve">the monetization of </w:t>
      </w:r>
      <w:r w:rsidR="00FD4C3C" w:rsidRPr="00AD4A75">
        <w:t>fore</w:t>
      </w:r>
      <w:r>
        <w:t xml:space="preserve">st carbon sequestration to </w:t>
      </w:r>
      <w:r w:rsidR="00FD4C3C" w:rsidRPr="00AD4A75">
        <w:t>facilitate widespread susta</w:t>
      </w:r>
      <w:r w:rsidR="00FD4C3C">
        <w:t>inable forest management in the South</w:t>
      </w:r>
      <w:r w:rsidR="00FD4C3C" w:rsidRPr="00AD4A75">
        <w:t xml:space="preserve"> </w:t>
      </w:r>
      <w:r>
        <w:t xml:space="preserve">ultimately </w:t>
      </w:r>
      <w:r w:rsidR="00B331C0">
        <w:t>hinge</w:t>
      </w:r>
      <w:r>
        <w:t>s</w:t>
      </w:r>
      <w:r w:rsidR="00FD4C3C">
        <w:t xml:space="preserve"> on </w:t>
      </w:r>
      <w:r w:rsidR="008C0C0E">
        <w:t>whether an IFM methodology can be constructed</w:t>
      </w:r>
      <w:r w:rsidR="00C45155">
        <w:t>/revised</w:t>
      </w:r>
      <w:r w:rsidR="008C0C0E">
        <w:t xml:space="preserve"> that </w:t>
      </w:r>
      <w:r>
        <w:t>harmonizes notions of additionality and baseline characterization</w:t>
      </w:r>
      <w:r w:rsidR="00C45155">
        <w:t xml:space="preserve"> in a systematic and results-driven way.  </w:t>
      </w:r>
      <w:r w:rsidR="006A5A8C">
        <w:t>S</w:t>
      </w:r>
      <w:r w:rsidR="00E015A1">
        <w:t>uch a method</w:t>
      </w:r>
      <w:r w:rsidR="00A77013">
        <w:t>ology</w:t>
      </w:r>
      <w:r w:rsidR="00E015A1">
        <w:t xml:space="preserve"> </w:t>
      </w:r>
      <w:r w:rsidR="006A5A8C">
        <w:t xml:space="preserve">is suggested in the previous section </w:t>
      </w:r>
      <w:r w:rsidR="00E015A1">
        <w:t xml:space="preserve">but </w:t>
      </w:r>
      <w:r w:rsidR="00A77013">
        <w:t xml:space="preserve">this conceptual approach </w:t>
      </w:r>
      <w:r w:rsidR="00E015A1">
        <w:t xml:space="preserve">needs further testing, since the </w:t>
      </w:r>
      <w:r w:rsidR="006A5A8C">
        <w:t xml:space="preserve">potential </w:t>
      </w:r>
      <w:r w:rsidR="00E015A1">
        <w:t>level of participation resultant from an</w:t>
      </w:r>
      <w:r w:rsidR="00A77013">
        <w:t>y</w:t>
      </w:r>
      <w:r w:rsidR="00E015A1">
        <w:t xml:space="preserve"> offset mechanism’s additionality standards </w:t>
      </w:r>
      <w:r w:rsidR="001A0166">
        <w:t xml:space="preserve">has serious implications on </w:t>
      </w:r>
      <w:r w:rsidR="00EF00E5">
        <w:t>offset</w:t>
      </w:r>
      <w:r w:rsidR="001A0166">
        <w:t xml:space="preserve"> market price </w:t>
      </w:r>
      <w:r w:rsidR="001A0166">
        <w:rPr>
          <w:rFonts w:asciiTheme="minorHAnsi" w:hAnsiTheme="minorHAnsi" w:cstheme="minorHAnsi"/>
        </w:rPr>
        <w:fldChar w:fldCharType="begin"/>
      </w:r>
      <w:r w:rsidR="001A0166">
        <w:rPr>
          <w:rFonts w:asciiTheme="minorHAnsi" w:hAnsiTheme="minorHAnsi" w:cstheme="minorHAnsi"/>
        </w:rPr>
        <w:instrText xml:space="preserve"> ADDIN EN.CITE &lt;EndNote&gt;&lt;Cite&gt;&lt;Author&gt;Trexler&lt;/Author&gt;&lt;Year&gt;2006&lt;/Year&gt;&lt;RecNum&gt;285&lt;/RecNum&gt;&lt;DisplayText&gt;(Trexler et al. 2006)&lt;/DisplayText&gt;&lt;record&gt;&lt;rec-number&gt;285&lt;/rec-number&gt;&lt;foreign-keys&gt;&lt;key app="EN" db-id="a90s5zadewrawxeer07v2f90xr5vxv022sat"&gt;285&lt;/key&gt;&lt;/foreign-keys&gt;&lt;ref-type name="Journal Article"&gt;17&lt;/ref-type&gt;&lt;contributors&gt;&lt;authors&gt;&lt;author&gt;Trexler, Mark C.&lt;/author&gt;&lt;author&gt;Derik J. Broekhoff &lt;/author&gt;&lt;author&gt;Laura H. Kosloff&lt;/author&gt;&lt;/authors&gt;&lt;/contributors&gt;&lt;titles&gt;&lt;title&gt;A Statistically-driven Approach to Offset-based GHG Additionality Determinations: What Can We Learn?&lt;/title&gt;&lt;secondary-title&gt;Sustainable Development Law &amp;amp; Policy&lt;/secondary-title&gt;&lt;/titles&gt;&lt;periodical&gt;&lt;full-title&gt;Sustainable Development Law &amp;amp; Policy&lt;/full-title&gt;&lt;/periodical&gt;&lt;pages&gt;30-40&lt;/pages&gt;&lt;volume&gt;6&lt;/volume&gt;&lt;number&gt;2&lt;/number&gt;&lt;dates&gt;&lt;year&gt;2006&lt;/year&gt;&lt;/dates&gt;&lt;urls&gt;&lt;related-urls&gt;&lt;url&gt;http://digitalcommons.wcl.american.edu/cgi/viewcontent.cgi?article=1324&amp;amp;context=sdlp&lt;/url&gt;&lt;/related-urls&gt;&lt;/urls&gt;&lt;/record&gt;&lt;/Cite&gt;&lt;/EndNote&gt;</w:instrText>
      </w:r>
      <w:r w:rsidR="001A0166">
        <w:rPr>
          <w:rFonts w:asciiTheme="minorHAnsi" w:hAnsiTheme="minorHAnsi" w:cstheme="minorHAnsi"/>
        </w:rPr>
        <w:fldChar w:fldCharType="separate"/>
      </w:r>
      <w:r w:rsidR="001A0166">
        <w:rPr>
          <w:rFonts w:asciiTheme="minorHAnsi" w:hAnsiTheme="minorHAnsi" w:cstheme="minorHAnsi"/>
          <w:noProof/>
        </w:rPr>
        <w:t>(</w:t>
      </w:r>
      <w:hyperlink w:anchor="_ENREF_137" w:tooltip="Trexler, 2006 #285" w:history="1">
        <w:r w:rsidR="001E4C88">
          <w:rPr>
            <w:rFonts w:asciiTheme="minorHAnsi" w:hAnsiTheme="minorHAnsi" w:cstheme="minorHAnsi"/>
            <w:noProof/>
          </w:rPr>
          <w:t>Trexler et al. 2006</w:t>
        </w:r>
      </w:hyperlink>
      <w:r w:rsidR="001A0166">
        <w:rPr>
          <w:rFonts w:asciiTheme="minorHAnsi" w:hAnsiTheme="minorHAnsi" w:cstheme="minorHAnsi"/>
          <w:noProof/>
        </w:rPr>
        <w:t>)</w:t>
      </w:r>
      <w:r w:rsidR="001A0166">
        <w:rPr>
          <w:rFonts w:asciiTheme="minorHAnsi" w:hAnsiTheme="minorHAnsi" w:cstheme="minorHAnsi"/>
        </w:rPr>
        <w:fldChar w:fldCharType="end"/>
      </w:r>
      <w:r w:rsidR="00A77013">
        <w:t xml:space="preserve">.  </w:t>
      </w:r>
      <w:r w:rsidR="00691DD4">
        <w:t>Indeed, f</w:t>
      </w:r>
      <w:r w:rsidR="00F70D9E">
        <w:t xml:space="preserve">urther </w:t>
      </w:r>
      <w:r w:rsidR="00FD4C3C">
        <w:rPr>
          <w:color w:val="000000"/>
        </w:rPr>
        <w:t>analyses similarly exploring the financial feasibility of</w:t>
      </w:r>
      <w:r w:rsidR="00F70D9E">
        <w:rPr>
          <w:color w:val="000000"/>
        </w:rPr>
        <w:t xml:space="preserve"> scenarios</w:t>
      </w:r>
      <w:r w:rsidR="00F70D9E">
        <w:rPr>
          <w:bCs/>
        </w:rPr>
        <w:t xml:space="preserve"> </w:t>
      </w:r>
      <w:r w:rsidR="00F70D9E">
        <w:rPr>
          <w:color w:val="000000"/>
        </w:rPr>
        <w:t xml:space="preserve">meaningful to large groups of FFOs are needed to test the practicality of </w:t>
      </w:r>
      <w:r w:rsidR="007F0850">
        <w:rPr>
          <w:color w:val="000000"/>
        </w:rPr>
        <w:t xml:space="preserve">all </w:t>
      </w:r>
      <w:r w:rsidR="00A77013">
        <w:rPr>
          <w:color w:val="000000"/>
        </w:rPr>
        <w:t xml:space="preserve">prominent </w:t>
      </w:r>
      <w:r w:rsidR="00F70D9E">
        <w:rPr>
          <w:color w:val="000000"/>
        </w:rPr>
        <w:t xml:space="preserve">IFM </w:t>
      </w:r>
      <w:r w:rsidR="00691DD4">
        <w:rPr>
          <w:color w:val="000000"/>
        </w:rPr>
        <w:t>standards</w:t>
      </w:r>
      <w:r w:rsidR="00A77013">
        <w:rPr>
          <w:color w:val="000000"/>
        </w:rPr>
        <w:t xml:space="preserve"> including </w:t>
      </w:r>
      <w:r w:rsidR="007F0850">
        <w:rPr>
          <w:color w:val="000000"/>
        </w:rPr>
        <w:t xml:space="preserve">those of the </w:t>
      </w:r>
      <w:r w:rsidR="00A77013">
        <w:rPr>
          <w:color w:val="000000"/>
        </w:rPr>
        <w:t>Voluntary Carbon Standard, American Carbon Registry</w:t>
      </w:r>
      <w:r w:rsidR="007F0850">
        <w:rPr>
          <w:color w:val="000000"/>
        </w:rPr>
        <w:t>, and CAR</w:t>
      </w:r>
      <w:r w:rsidR="00A77013">
        <w:rPr>
          <w:color w:val="000000"/>
        </w:rPr>
        <w:t xml:space="preserve">.  </w:t>
      </w:r>
      <w:r w:rsidR="009F76B3">
        <w:rPr>
          <w:color w:val="000000"/>
        </w:rPr>
        <w:t>FFOs are not likely to engage in IFM opportunities without reliable information that gives them a</w:t>
      </w:r>
      <w:r w:rsidR="009F76B3">
        <w:rPr>
          <w:bCs/>
        </w:rPr>
        <w:t xml:space="preserve"> sense of the benefits that can be expected from doing so.  </w:t>
      </w:r>
      <w:r w:rsidR="009F76B3">
        <w:t>By minimizing the barriers to forest carbon monetization through further protocol testing and revision, IFM programs will render more co</w:t>
      </w:r>
      <w:r w:rsidR="00EB668C">
        <w:t>st-</w:t>
      </w:r>
      <w:r w:rsidR="009F76B3">
        <w:t>effective mitigation activities on smaller</w:t>
      </w:r>
      <w:r w:rsidR="00D003E5">
        <w:t xml:space="preserve"> </w:t>
      </w:r>
      <w:r w:rsidR="009F76B3">
        <w:t>tracts than would otherwise be possible</w:t>
      </w:r>
      <w:r w:rsidR="00D003E5">
        <w:t xml:space="preserve">, which </w:t>
      </w:r>
      <w:r w:rsidR="006A5A8C">
        <w:t>will yield</w:t>
      </w:r>
      <w:r w:rsidR="00D003E5">
        <w:t xml:space="preserve"> a </w:t>
      </w:r>
      <w:r w:rsidR="007F0850">
        <w:t xml:space="preserve">more equitable distribution of IFM program </w:t>
      </w:r>
      <w:r w:rsidR="00D003E5">
        <w:t>benefits given that the vast majority of FFOs characterize the smaller ownership size-</w:t>
      </w:r>
      <w:r w:rsidR="006A5A8C">
        <w:t>classes.</w:t>
      </w:r>
      <w:r w:rsidR="00FF502D">
        <w:t xml:space="preserve"> </w:t>
      </w:r>
      <w:r w:rsidR="006A5A8C">
        <w:t xml:space="preserve"> </w:t>
      </w:r>
      <w:r w:rsidR="00F70D9E">
        <w:t>IFM protocol</w:t>
      </w:r>
      <w:r w:rsidR="00B4252C">
        <w:t xml:space="preserve"> development</w:t>
      </w:r>
      <w:r w:rsidR="006A5A8C">
        <w:t xml:space="preserve"> must</w:t>
      </w:r>
      <w:r w:rsidR="00F70D9E">
        <w:t xml:space="preserve"> </w:t>
      </w:r>
      <w:r w:rsidR="00B4252C">
        <w:t>seek</w:t>
      </w:r>
      <w:r w:rsidR="00F70D9E">
        <w:t xml:space="preserve"> the </w:t>
      </w:r>
      <w:r w:rsidR="00F70D9E" w:rsidRPr="00C84E92">
        <w:t>realization of win-win outcomes</w:t>
      </w:r>
      <w:r w:rsidR="00F70D9E">
        <w:t xml:space="preserve"> in balancing </w:t>
      </w:r>
      <w:r w:rsidR="00924AF5">
        <w:t xml:space="preserve">the tradeoff between </w:t>
      </w:r>
      <w:r w:rsidR="00F70D9E">
        <w:t xml:space="preserve">accounting, </w:t>
      </w:r>
      <w:r w:rsidR="00F70D9E" w:rsidRPr="00C84E92">
        <w:t>environmental</w:t>
      </w:r>
      <w:r w:rsidR="00F70D9E">
        <w:t>,</w:t>
      </w:r>
      <w:r w:rsidR="00F70D9E" w:rsidRPr="00C84E92">
        <w:t xml:space="preserve"> </w:t>
      </w:r>
      <w:r w:rsidR="00F70D9E">
        <w:t>and monitoring rules</w:t>
      </w:r>
      <w:r w:rsidR="00F70D9E" w:rsidRPr="00C84E92">
        <w:t xml:space="preserve"> </w:t>
      </w:r>
      <w:r w:rsidR="00F70D9E">
        <w:t>and the cost of applicati</w:t>
      </w:r>
      <w:r w:rsidR="00FF502D">
        <w:t>on on relatively small projects,</w:t>
      </w:r>
      <w:r w:rsidR="00F70D9E" w:rsidRPr="00C84E92">
        <w:t xml:space="preserve"> </w:t>
      </w:r>
      <w:r w:rsidR="006A5A8C">
        <w:t>but not to the extent that protocols</w:t>
      </w:r>
      <w:r w:rsidR="00F70D9E" w:rsidRPr="009628D2">
        <w:t xml:space="preserve"> </w:t>
      </w:r>
      <w:r w:rsidR="006A5A8C">
        <w:t xml:space="preserve">merely </w:t>
      </w:r>
      <w:r w:rsidR="00F70D9E" w:rsidRPr="009628D2">
        <w:t xml:space="preserve">facilitate higher returns for modest changes to </w:t>
      </w:r>
      <w:r w:rsidR="00FF502D">
        <w:t>conventional</w:t>
      </w:r>
      <w:r w:rsidR="006A5A8C">
        <w:t xml:space="preserve"> management regimes.  IFM </w:t>
      </w:r>
      <w:r w:rsidR="007F0850">
        <w:t>protocols</w:t>
      </w:r>
      <w:r w:rsidR="00FF502D">
        <w:t xml:space="preserve"> would c</w:t>
      </w:r>
      <w:r w:rsidR="005E6D8A">
        <w:t>learly do the most good if</w:t>
      </w:r>
      <w:r w:rsidR="00F70D9E" w:rsidRPr="009628D2">
        <w:t xml:space="preserve"> constructed in ways </w:t>
      </w:r>
      <w:r w:rsidR="00CB35AA">
        <w:lastRenderedPageBreak/>
        <w:t xml:space="preserve">that </w:t>
      </w:r>
      <w:r w:rsidR="006B4500">
        <w:t xml:space="preserve">concurrently </w:t>
      </w:r>
      <w:r w:rsidR="00CB35AA">
        <w:t xml:space="preserve">ensure additionality and </w:t>
      </w:r>
      <w:r w:rsidR="006B4500">
        <w:t xml:space="preserve">incentivize silvicultural practices proven to sustain biodiversity in a given area.  </w:t>
      </w:r>
    </w:p>
    <w:p w:rsidR="001E4C88" w:rsidRPr="001E4C88" w:rsidRDefault="00063781" w:rsidP="001E4C88">
      <w:pPr>
        <w:pStyle w:val="Heading2"/>
      </w:pPr>
      <w:bookmarkStart w:id="36" w:name="_Toc278294310"/>
      <w:r>
        <w:t>Literature Cited:</w:t>
      </w:r>
      <w:bookmarkEnd w:id="36"/>
      <w:r w:rsidR="00002B87">
        <w:fldChar w:fldCharType="begin"/>
      </w:r>
      <w:r w:rsidR="00002B87">
        <w:instrText xml:space="preserve"> ADDIN EN.REFLIST </w:instrText>
      </w:r>
      <w:r w:rsidR="00002B87">
        <w:fldChar w:fldCharType="separate"/>
      </w:r>
    </w:p>
    <w:p w:rsidR="001E4C88" w:rsidRPr="001E4C88" w:rsidRDefault="001E4C88" w:rsidP="001E4C88">
      <w:pPr>
        <w:spacing w:after="0" w:line="240" w:lineRule="auto"/>
        <w:ind w:left="720" w:hanging="720"/>
        <w:rPr>
          <w:rFonts w:cs="Calibri"/>
          <w:noProof/>
        </w:rPr>
      </w:pPr>
      <w:bookmarkStart w:id="37" w:name="_ENREF_17"/>
      <w:r w:rsidRPr="001E4C88">
        <w:rPr>
          <w:rFonts w:cs="Calibri"/>
          <w:noProof/>
        </w:rPr>
        <w:t xml:space="preserve">Abt, R.C., F.W. Cubbage and K.L. Abt 2009. "Projecting southern timber supply for multiple products by subregion." </w:t>
      </w:r>
      <w:r w:rsidRPr="001E4C88">
        <w:rPr>
          <w:rFonts w:cs="Calibri"/>
          <w:noProof/>
          <w:u w:val="single"/>
        </w:rPr>
        <w:t>Forest Products Journal</w:t>
      </w:r>
      <w:r w:rsidRPr="001E4C88">
        <w:rPr>
          <w:rFonts w:cs="Calibri"/>
          <w:noProof/>
        </w:rPr>
        <w:t xml:space="preserve"> </w:t>
      </w:r>
      <w:r w:rsidRPr="001E4C88">
        <w:rPr>
          <w:rFonts w:cs="Calibri"/>
          <w:b/>
          <w:noProof/>
        </w:rPr>
        <w:t>59</w:t>
      </w:r>
      <w:r w:rsidRPr="001E4C88">
        <w:rPr>
          <w:rFonts w:cs="Calibri"/>
          <w:noProof/>
        </w:rPr>
        <w:t>(7-8): 7-16.</w:t>
      </w:r>
      <w:bookmarkEnd w:id="37"/>
    </w:p>
    <w:p w:rsidR="001E4C88" w:rsidRPr="001E4C88" w:rsidRDefault="001E4C88" w:rsidP="001E4C88">
      <w:pPr>
        <w:spacing w:after="0" w:line="240" w:lineRule="auto"/>
        <w:ind w:left="720" w:hanging="720"/>
        <w:rPr>
          <w:rFonts w:cs="Calibri"/>
          <w:noProof/>
        </w:rPr>
      </w:pPr>
      <w:bookmarkStart w:id="38" w:name="_ENREF_18"/>
      <w:r w:rsidRPr="001E4C88">
        <w:rPr>
          <w:rFonts w:cs="Calibri"/>
          <w:noProof/>
        </w:rPr>
        <w:t xml:space="preserve">Adams, D., J. Mills, R. Alig and R. Haynes 2005. "SOFRA and RPA: Two Views of the Future of Southern Timber Supply." </w:t>
      </w:r>
      <w:r w:rsidRPr="001E4C88">
        <w:rPr>
          <w:rFonts w:cs="Calibri"/>
          <w:noProof/>
          <w:u w:val="single"/>
        </w:rPr>
        <w:t>Southern Journal of Applied Forestry</w:t>
      </w:r>
      <w:r w:rsidRPr="001E4C88">
        <w:rPr>
          <w:rFonts w:cs="Calibri"/>
          <w:noProof/>
        </w:rPr>
        <w:t xml:space="preserve"> </w:t>
      </w:r>
      <w:r w:rsidRPr="001E4C88">
        <w:rPr>
          <w:rFonts w:cs="Calibri"/>
          <w:b/>
          <w:noProof/>
        </w:rPr>
        <w:t>29</w:t>
      </w:r>
      <w:r w:rsidRPr="001E4C88">
        <w:rPr>
          <w:rFonts w:cs="Calibri"/>
          <w:noProof/>
        </w:rPr>
        <w:t>(3): 123-134.</w:t>
      </w:r>
      <w:bookmarkEnd w:id="38"/>
    </w:p>
    <w:p w:rsidR="001E4C88" w:rsidRPr="001E4C88" w:rsidRDefault="001E4C88" w:rsidP="001E4C88">
      <w:pPr>
        <w:spacing w:after="0" w:line="240" w:lineRule="auto"/>
        <w:ind w:left="720" w:hanging="720"/>
        <w:rPr>
          <w:rFonts w:cs="Calibri"/>
          <w:noProof/>
        </w:rPr>
      </w:pPr>
      <w:bookmarkStart w:id="39" w:name="_ENREF_19"/>
      <w:r w:rsidRPr="001E4C88">
        <w:rPr>
          <w:rFonts w:cs="Calibri"/>
          <w:noProof/>
        </w:rPr>
        <w:t xml:space="preserve">Alig, R.J., S. Stewart, D.N. Wear, S.M. Stein and D. Nowak 2008. "Forest Parcelization."  Encyclepedia of Southern Bioenergy. Retrieved August 4, 2010, from </w:t>
      </w:r>
      <w:hyperlink r:id="rId22" w:history="1">
        <w:r w:rsidRPr="001E4C88">
          <w:rPr>
            <w:rStyle w:val="Hyperlink"/>
            <w:rFonts w:cs="Calibri"/>
            <w:noProof/>
          </w:rPr>
          <w:t>http://biomass.forestencyclopedia.net/p/p3121</w:t>
        </w:r>
      </w:hyperlink>
      <w:r w:rsidRPr="001E4C88">
        <w:rPr>
          <w:rFonts w:cs="Calibri"/>
          <w:noProof/>
        </w:rPr>
        <w:t>.</w:t>
      </w:r>
      <w:bookmarkEnd w:id="39"/>
    </w:p>
    <w:p w:rsidR="001E4C88" w:rsidRPr="001E4C88" w:rsidRDefault="001E4C88" w:rsidP="001E4C88">
      <w:pPr>
        <w:spacing w:after="0" w:line="240" w:lineRule="auto"/>
        <w:ind w:left="720" w:hanging="720"/>
        <w:rPr>
          <w:rFonts w:cs="Calibri"/>
          <w:noProof/>
        </w:rPr>
      </w:pPr>
      <w:bookmarkStart w:id="40" w:name="_ENREF_20"/>
      <w:r w:rsidRPr="001E4C88">
        <w:rPr>
          <w:rFonts w:cs="Calibri"/>
          <w:noProof/>
        </w:rPr>
        <w:t xml:space="preserve">Armsworth, P.R., B.E. Kendall and F.W. Davis 2004. "An introduction to biodiversity concepts for environmental economists." </w:t>
      </w:r>
      <w:r w:rsidRPr="001E4C88">
        <w:rPr>
          <w:rFonts w:cs="Calibri"/>
          <w:noProof/>
          <w:u w:val="single"/>
        </w:rPr>
        <w:t>Resource and energy economics</w:t>
      </w:r>
      <w:r w:rsidRPr="001E4C88">
        <w:rPr>
          <w:rFonts w:cs="Calibri"/>
          <w:noProof/>
        </w:rPr>
        <w:t xml:space="preserve"> </w:t>
      </w:r>
      <w:r w:rsidRPr="001E4C88">
        <w:rPr>
          <w:rFonts w:cs="Calibri"/>
          <w:b/>
          <w:noProof/>
        </w:rPr>
        <w:t>26</w:t>
      </w:r>
      <w:r w:rsidRPr="001E4C88">
        <w:rPr>
          <w:rFonts w:cs="Calibri"/>
          <w:noProof/>
        </w:rPr>
        <w:t>: 115-136.</w:t>
      </w:r>
      <w:bookmarkEnd w:id="40"/>
    </w:p>
    <w:p w:rsidR="001E4C88" w:rsidRPr="001E4C88" w:rsidRDefault="001E4C88" w:rsidP="001E4C88">
      <w:pPr>
        <w:spacing w:after="0" w:line="240" w:lineRule="auto"/>
        <w:ind w:left="720" w:hanging="720"/>
        <w:rPr>
          <w:rFonts w:cs="Calibri"/>
          <w:noProof/>
        </w:rPr>
      </w:pPr>
      <w:bookmarkStart w:id="41" w:name="_ENREF_21"/>
      <w:r w:rsidRPr="001E4C88">
        <w:rPr>
          <w:rFonts w:cs="Calibri"/>
          <w:noProof/>
        </w:rPr>
        <w:t xml:space="preserve">Arthur, M., D.L. Loftis and P. Brose 2009. Fire returns to southern Appalachian forests. </w:t>
      </w:r>
      <w:r w:rsidRPr="001E4C88">
        <w:rPr>
          <w:rFonts w:cs="Calibri"/>
          <w:noProof/>
          <w:u w:val="single"/>
        </w:rPr>
        <w:t>Fire Science Brief</w:t>
      </w:r>
      <w:r w:rsidRPr="001E4C88">
        <w:rPr>
          <w:rFonts w:cs="Calibri"/>
          <w:noProof/>
        </w:rPr>
        <w:t xml:space="preserve">. Boise, ID, Joint Fire Science Program. </w:t>
      </w:r>
      <w:r w:rsidRPr="001E4C88">
        <w:rPr>
          <w:rFonts w:cs="Calibri"/>
          <w:b/>
          <w:noProof/>
        </w:rPr>
        <w:t xml:space="preserve">35: </w:t>
      </w:r>
      <w:r w:rsidRPr="001E4C88">
        <w:rPr>
          <w:rFonts w:cs="Calibri"/>
          <w:noProof/>
        </w:rPr>
        <w:t>6.</w:t>
      </w:r>
      <w:bookmarkEnd w:id="41"/>
    </w:p>
    <w:p w:rsidR="001E4C88" w:rsidRPr="001E4C88" w:rsidRDefault="001E4C88" w:rsidP="001E4C88">
      <w:pPr>
        <w:spacing w:after="0" w:line="240" w:lineRule="auto"/>
        <w:ind w:left="720" w:hanging="720"/>
        <w:rPr>
          <w:rFonts w:cs="Calibri"/>
          <w:noProof/>
        </w:rPr>
      </w:pPr>
      <w:bookmarkStart w:id="42" w:name="_ENREF_22"/>
      <w:r w:rsidRPr="001E4C88">
        <w:rPr>
          <w:rFonts w:cs="Calibri"/>
          <w:noProof/>
        </w:rPr>
        <w:t xml:space="preserve">Barlow, R.J., M.F. Smidt, J.Z. Morse and M.R. Dubois 2009. "Cost and cost trends for forestry practices in the South." </w:t>
      </w:r>
      <w:r w:rsidRPr="001E4C88">
        <w:rPr>
          <w:rFonts w:cs="Calibri"/>
          <w:noProof/>
          <w:u w:val="single"/>
        </w:rPr>
        <w:t>Forest Landowner</w:t>
      </w:r>
      <w:r w:rsidRPr="001E4C88">
        <w:rPr>
          <w:rFonts w:cs="Calibri"/>
          <w:noProof/>
        </w:rPr>
        <w:t xml:space="preserve"> </w:t>
      </w:r>
      <w:r w:rsidRPr="001E4C88">
        <w:rPr>
          <w:rFonts w:cs="Calibri"/>
          <w:b/>
          <w:noProof/>
        </w:rPr>
        <w:t>68</w:t>
      </w:r>
      <w:r w:rsidRPr="001E4C88">
        <w:rPr>
          <w:rFonts w:cs="Calibri"/>
          <w:noProof/>
        </w:rPr>
        <w:t>(5): 5-12.</w:t>
      </w:r>
      <w:bookmarkEnd w:id="42"/>
    </w:p>
    <w:p w:rsidR="001E4C88" w:rsidRPr="001E4C88" w:rsidRDefault="001E4C88" w:rsidP="001E4C88">
      <w:pPr>
        <w:spacing w:after="0" w:line="240" w:lineRule="auto"/>
        <w:ind w:left="720" w:hanging="720"/>
        <w:rPr>
          <w:rFonts w:cs="Calibri"/>
          <w:noProof/>
        </w:rPr>
      </w:pPr>
      <w:bookmarkStart w:id="43" w:name="_ENREF_23"/>
      <w:r w:rsidRPr="001E4C88">
        <w:rPr>
          <w:rFonts w:cs="Calibri"/>
          <w:noProof/>
        </w:rPr>
        <w:t>Batteson, A.R. and H.C. Hitchcock 1976. Tennessee Valley Authority Continuous Forest Inventory Field Manual for County-Units in the Tennessee Valley. Division of Forestry, Fisheries, and Wildlife Development, TVA, Norris, TN. 77p.</w:t>
      </w:r>
      <w:bookmarkEnd w:id="43"/>
    </w:p>
    <w:p w:rsidR="001E4C88" w:rsidRPr="001E4C88" w:rsidRDefault="001E4C88" w:rsidP="001E4C88">
      <w:pPr>
        <w:spacing w:after="0" w:line="240" w:lineRule="auto"/>
        <w:ind w:left="720" w:hanging="720"/>
        <w:rPr>
          <w:rFonts w:cs="Calibri"/>
          <w:noProof/>
        </w:rPr>
      </w:pPr>
      <w:bookmarkStart w:id="44" w:name="_ENREF_24"/>
      <w:r w:rsidRPr="001E4C88">
        <w:rPr>
          <w:rFonts w:cs="Calibri"/>
          <w:noProof/>
        </w:rPr>
        <w:t>Baumgras, J.E. and C.B. LeDoux 1995. Hardwood silviculture and skyline yarding on steep slopes: economic and environmental impacts. In: Gottschalk, Kurt W.; Fosbroke, Sandra L. C., ed. Proceedings, 10th Central Hardwood Forest Conference; 1995 March 5-8; Morgantown, WV.: Gen. Tech. Rep. NE-197. Radnor, PA: U.S. Department of Agriculture, Forest Service, Northeastern Forest Experiment Station. 463-473.</w:t>
      </w:r>
      <w:bookmarkEnd w:id="44"/>
    </w:p>
    <w:p w:rsidR="001E4C88" w:rsidRPr="001E4C88" w:rsidRDefault="001E4C88" w:rsidP="001E4C88">
      <w:pPr>
        <w:spacing w:after="0" w:line="240" w:lineRule="auto"/>
        <w:ind w:left="720" w:hanging="720"/>
        <w:rPr>
          <w:rFonts w:cs="Calibri"/>
          <w:noProof/>
        </w:rPr>
      </w:pPr>
      <w:bookmarkStart w:id="45" w:name="_ENREF_25"/>
      <w:r w:rsidRPr="001E4C88">
        <w:rPr>
          <w:rFonts w:cs="Calibri"/>
          <w:noProof/>
        </w:rPr>
        <w:t>Beck, D.E. and L. Della-Bianca 1981. Yellow-poplar: Characteristics and management. U.S. Dept. of Agriculture, Agriculture Handbook No. 583, 92 p.</w:t>
      </w:r>
      <w:bookmarkEnd w:id="45"/>
    </w:p>
    <w:p w:rsidR="001E4C88" w:rsidRPr="001E4C88" w:rsidRDefault="001E4C88" w:rsidP="001E4C88">
      <w:pPr>
        <w:spacing w:after="0" w:line="240" w:lineRule="auto"/>
        <w:ind w:left="720" w:hanging="720"/>
        <w:rPr>
          <w:rFonts w:cs="Calibri"/>
          <w:noProof/>
        </w:rPr>
      </w:pPr>
      <w:bookmarkStart w:id="46" w:name="_ENREF_26"/>
      <w:r w:rsidRPr="001E4C88">
        <w:rPr>
          <w:rFonts w:cs="Calibri"/>
          <w:noProof/>
        </w:rPr>
        <w:t xml:space="preserve">Birdsey, R.A. 1996. Carbon storage for major forest types and regions in the conterminous United States. </w:t>
      </w:r>
      <w:r w:rsidRPr="001E4C88">
        <w:rPr>
          <w:rFonts w:cs="Calibri"/>
          <w:noProof/>
          <w:u w:val="single"/>
        </w:rPr>
        <w:t>Forests and Global Change, Vol 2: Forest Management Opportunities for Mitigating Carbon Emissions</w:t>
      </w:r>
      <w:r w:rsidRPr="001E4C88">
        <w:rPr>
          <w:rFonts w:cs="Calibri"/>
          <w:noProof/>
        </w:rPr>
        <w:t>. R. N. Sampson and D. Hair, eds. Washington, DC: American Forests, Chapter 1.</w:t>
      </w:r>
      <w:bookmarkEnd w:id="46"/>
    </w:p>
    <w:p w:rsidR="001E4C88" w:rsidRPr="001E4C88" w:rsidRDefault="001E4C88" w:rsidP="001E4C88">
      <w:pPr>
        <w:spacing w:after="0" w:line="240" w:lineRule="auto"/>
        <w:ind w:left="720" w:hanging="720"/>
        <w:rPr>
          <w:rFonts w:cs="Calibri"/>
          <w:noProof/>
        </w:rPr>
      </w:pPr>
      <w:bookmarkStart w:id="47" w:name="_ENREF_27"/>
      <w:r w:rsidRPr="001E4C88">
        <w:rPr>
          <w:rFonts w:cs="Calibri"/>
          <w:noProof/>
        </w:rPr>
        <w:t>Birdsey, R.A. and G.M. Lewis 2003. Carbon in U.S. forests and wood products, 1987-1997: state-by-state estimates, Gen. Tech. Rep. NE-310. Newtown Square, PA: U.S. Department of Agriculture, Forest Service, Northeastern Research Station. 42p.</w:t>
      </w:r>
      <w:bookmarkEnd w:id="47"/>
    </w:p>
    <w:p w:rsidR="001E4C88" w:rsidRPr="001E4C88" w:rsidRDefault="001E4C88" w:rsidP="001E4C88">
      <w:pPr>
        <w:spacing w:after="0" w:line="240" w:lineRule="auto"/>
        <w:ind w:left="720" w:hanging="720"/>
        <w:rPr>
          <w:rFonts w:cs="Calibri"/>
          <w:noProof/>
        </w:rPr>
      </w:pPr>
      <w:bookmarkStart w:id="48" w:name="_ENREF_28"/>
      <w:r w:rsidRPr="001E4C88">
        <w:rPr>
          <w:rFonts w:cs="Calibri"/>
          <w:noProof/>
        </w:rPr>
        <w:t xml:space="preserve">Braun, E.L. 1942. "Forests of the Cumberland Mountains." </w:t>
      </w:r>
      <w:r w:rsidRPr="001E4C88">
        <w:rPr>
          <w:rFonts w:cs="Calibri"/>
          <w:noProof/>
          <w:u w:val="single"/>
        </w:rPr>
        <w:t>Ecological Monographs</w:t>
      </w:r>
      <w:r w:rsidRPr="001E4C88">
        <w:rPr>
          <w:rFonts w:cs="Calibri"/>
          <w:noProof/>
        </w:rPr>
        <w:t xml:space="preserve"> </w:t>
      </w:r>
      <w:r w:rsidRPr="001E4C88">
        <w:rPr>
          <w:rFonts w:cs="Calibri"/>
          <w:b/>
          <w:noProof/>
        </w:rPr>
        <w:t>12</w:t>
      </w:r>
      <w:r w:rsidRPr="001E4C88">
        <w:rPr>
          <w:rFonts w:cs="Calibri"/>
          <w:noProof/>
        </w:rPr>
        <w:t>(4): 413-447.</w:t>
      </w:r>
      <w:bookmarkEnd w:id="48"/>
    </w:p>
    <w:p w:rsidR="001E4C88" w:rsidRPr="001E4C88" w:rsidRDefault="001E4C88" w:rsidP="001E4C88">
      <w:pPr>
        <w:spacing w:after="0" w:line="240" w:lineRule="auto"/>
        <w:ind w:left="720" w:hanging="720"/>
        <w:rPr>
          <w:rFonts w:cs="Calibri"/>
          <w:noProof/>
        </w:rPr>
      </w:pPr>
      <w:bookmarkStart w:id="49" w:name="_ENREF_29"/>
      <w:r w:rsidRPr="001E4C88">
        <w:rPr>
          <w:rFonts w:cs="Calibri"/>
          <w:noProof/>
        </w:rPr>
        <w:t>Brose, P.H., K.W. Gottschalk, S.B. Horsley, P.D. Knopp, J.N. Kochenderfer, B.J. McGuinness, . . . S.L. Stout 2008. Prescribing regeneration treatments for mixed-oak forests in the Mid-Atlantic region, Gen. Tech. Rep. NRS-33. Newtown Square, PA: U.S. Department of Agriculture, Forest Service, Northern Research Station. 100 p.</w:t>
      </w:r>
      <w:bookmarkEnd w:id="49"/>
    </w:p>
    <w:p w:rsidR="001E4C88" w:rsidRPr="001E4C88" w:rsidRDefault="001E4C88" w:rsidP="001E4C88">
      <w:pPr>
        <w:spacing w:after="0" w:line="240" w:lineRule="auto"/>
        <w:ind w:left="720" w:hanging="720"/>
        <w:rPr>
          <w:rFonts w:cs="Calibri"/>
          <w:noProof/>
        </w:rPr>
      </w:pPr>
      <w:bookmarkStart w:id="50" w:name="_ENREF_30"/>
      <w:r w:rsidRPr="001E4C88">
        <w:rPr>
          <w:rFonts w:cs="Calibri"/>
          <w:noProof/>
        </w:rPr>
        <w:t xml:space="preserve">Buehler, D.A., M.J. Welton and T.A. Beachy 2006. "Predicting cerulean warbler habitat use in the Cumberland Mountains of Tennessee." </w:t>
      </w:r>
      <w:r w:rsidRPr="001E4C88">
        <w:rPr>
          <w:rFonts w:cs="Calibri"/>
          <w:noProof/>
          <w:u w:val="single"/>
        </w:rPr>
        <w:t>Journal of Wildlife Management</w:t>
      </w:r>
      <w:r w:rsidRPr="001E4C88">
        <w:rPr>
          <w:rFonts w:cs="Calibri"/>
          <w:noProof/>
        </w:rPr>
        <w:t xml:space="preserve"> </w:t>
      </w:r>
      <w:r w:rsidRPr="001E4C88">
        <w:rPr>
          <w:rFonts w:cs="Calibri"/>
          <w:b/>
          <w:noProof/>
        </w:rPr>
        <w:t>70</w:t>
      </w:r>
      <w:r w:rsidRPr="001E4C88">
        <w:rPr>
          <w:rFonts w:cs="Calibri"/>
          <w:noProof/>
        </w:rPr>
        <w:t>(6): 1763-1769.</w:t>
      </w:r>
      <w:bookmarkEnd w:id="50"/>
    </w:p>
    <w:p w:rsidR="001E4C88" w:rsidRPr="001E4C88" w:rsidRDefault="001E4C88" w:rsidP="001E4C88">
      <w:pPr>
        <w:spacing w:after="0" w:line="240" w:lineRule="auto"/>
        <w:ind w:left="720" w:hanging="720"/>
        <w:rPr>
          <w:rFonts w:cs="Calibri"/>
          <w:noProof/>
        </w:rPr>
      </w:pPr>
      <w:bookmarkStart w:id="51" w:name="_ENREF_31"/>
      <w:r w:rsidRPr="001E4C88">
        <w:rPr>
          <w:rFonts w:cs="Calibri"/>
          <w:noProof/>
        </w:rPr>
        <w:t>Butler, B.J. 2008a. National Woodland Owner Survey Table Maker Version 1.01, Amherst, MA: USDA Forest Service, Forest Inventory and Analysis Program.</w:t>
      </w:r>
      <w:bookmarkEnd w:id="51"/>
    </w:p>
    <w:p w:rsidR="001E4C88" w:rsidRPr="001E4C88" w:rsidRDefault="001E4C88" w:rsidP="001E4C88">
      <w:pPr>
        <w:spacing w:after="0" w:line="240" w:lineRule="auto"/>
        <w:ind w:left="720" w:hanging="720"/>
        <w:rPr>
          <w:rFonts w:cs="Calibri"/>
          <w:noProof/>
        </w:rPr>
      </w:pPr>
      <w:bookmarkStart w:id="52" w:name="_ENREF_32"/>
      <w:r w:rsidRPr="001E4C88">
        <w:rPr>
          <w:rFonts w:cs="Calibri"/>
          <w:noProof/>
        </w:rPr>
        <w:t>Butler, B.J. 2008b. Family Forest Owners of the United States, 2006, Gen. Tech. Rep. NRS-27. Newtown Square, PA: U.S. Department of Agriculture, Forest Service, Northern Research Station.72p.</w:t>
      </w:r>
      <w:bookmarkEnd w:id="52"/>
    </w:p>
    <w:p w:rsidR="001E4C88" w:rsidRPr="001E4C88" w:rsidRDefault="001E4C88" w:rsidP="001E4C88">
      <w:pPr>
        <w:spacing w:after="0" w:line="240" w:lineRule="auto"/>
        <w:ind w:left="720" w:hanging="720"/>
        <w:rPr>
          <w:rFonts w:cs="Calibri"/>
          <w:noProof/>
        </w:rPr>
      </w:pPr>
      <w:bookmarkStart w:id="53" w:name="_ENREF_33"/>
      <w:r w:rsidRPr="001E4C88">
        <w:rPr>
          <w:rFonts w:cs="Calibri"/>
          <w:noProof/>
        </w:rPr>
        <w:t xml:space="preserve">Cairns, M.A., S. Brown, E.H. Helmer and G.A. Baumgardner 1997. "Root biomass allocation in the world's upland forests. Biomedical and Life Sciences." </w:t>
      </w:r>
      <w:r w:rsidRPr="001E4C88">
        <w:rPr>
          <w:rFonts w:cs="Calibri"/>
          <w:noProof/>
          <w:u w:val="single"/>
        </w:rPr>
        <w:t>Oecologia</w:t>
      </w:r>
      <w:r w:rsidRPr="001E4C88">
        <w:rPr>
          <w:rFonts w:cs="Calibri"/>
          <w:noProof/>
        </w:rPr>
        <w:t xml:space="preserve"> </w:t>
      </w:r>
      <w:r w:rsidRPr="001E4C88">
        <w:rPr>
          <w:rFonts w:cs="Calibri"/>
          <w:b/>
          <w:noProof/>
        </w:rPr>
        <w:t>111</w:t>
      </w:r>
      <w:r w:rsidRPr="001E4C88">
        <w:rPr>
          <w:rFonts w:cs="Calibri"/>
          <w:noProof/>
        </w:rPr>
        <w:t>(1): 1-11.</w:t>
      </w:r>
      <w:bookmarkEnd w:id="53"/>
    </w:p>
    <w:p w:rsidR="001E4C88" w:rsidRPr="001E4C88" w:rsidRDefault="001E4C88" w:rsidP="001E4C88">
      <w:pPr>
        <w:spacing w:after="0" w:line="240" w:lineRule="auto"/>
        <w:ind w:left="720" w:hanging="720"/>
        <w:rPr>
          <w:rFonts w:cs="Calibri"/>
          <w:noProof/>
        </w:rPr>
      </w:pPr>
      <w:bookmarkStart w:id="54" w:name="_ENREF_1"/>
      <w:bookmarkStart w:id="55" w:name="_ENREF_34"/>
      <w:r w:rsidRPr="001E4C88">
        <w:rPr>
          <w:rFonts w:cs="Calibri"/>
          <w:noProof/>
        </w:rPr>
        <w:lastRenderedPageBreak/>
        <w:t>CAR 2009. Summary of comments &amp; responses on the draft forest project protocol, Version 3.0. Los Angelas, CA, Climate Action Reserve</w:t>
      </w:r>
      <w:r w:rsidRPr="001E4C88">
        <w:rPr>
          <w:rFonts w:cs="Calibri"/>
          <w:b/>
          <w:noProof/>
        </w:rPr>
        <w:t xml:space="preserve">: </w:t>
      </w:r>
      <w:r w:rsidRPr="001E4C88">
        <w:rPr>
          <w:rFonts w:cs="Calibri"/>
          <w:noProof/>
        </w:rPr>
        <w:t>132.</w:t>
      </w:r>
      <w:bookmarkEnd w:id="54"/>
    </w:p>
    <w:p w:rsidR="001E4C88" w:rsidRPr="001E4C88" w:rsidRDefault="001E4C88" w:rsidP="001E4C88">
      <w:pPr>
        <w:spacing w:after="0" w:line="240" w:lineRule="auto"/>
        <w:ind w:left="720" w:hanging="720"/>
        <w:rPr>
          <w:rFonts w:cs="Calibri"/>
          <w:noProof/>
        </w:rPr>
      </w:pPr>
      <w:bookmarkStart w:id="56" w:name="_ENREF_2"/>
      <w:r w:rsidRPr="001E4C88">
        <w:rPr>
          <w:rFonts w:cs="Calibri"/>
          <w:noProof/>
        </w:rPr>
        <w:t>CAR 2010. Forest Project Protocol Version 3.2. Climate Action Reserve. Los Angelas, CA</w:t>
      </w:r>
      <w:r w:rsidRPr="001E4C88">
        <w:rPr>
          <w:rFonts w:cs="Calibri"/>
          <w:b/>
          <w:noProof/>
        </w:rPr>
        <w:t xml:space="preserve">: </w:t>
      </w:r>
      <w:r w:rsidRPr="001E4C88">
        <w:rPr>
          <w:rFonts w:cs="Calibri"/>
          <w:noProof/>
        </w:rPr>
        <w:t>134.</w:t>
      </w:r>
      <w:bookmarkEnd w:id="56"/>
    </w:p>
    <w:p w:rsidR="001E4C88" w:rsidRPr="001E4C88" w:rsidRDefault="001E4C88" w:rsidP="001E4C88">
      <w:pPr>
        <w:spacing w:after="0" w:line="240" w:lineRule="auto"/>
        <w:ind w:left="720" w:hanging="720"/>
        <w:rPr>
          <w:rFonts w:cs="Calibri"/>
          <w:noProof/>
        </w:rPr>
      </w:pPr>
      <w:bookmarkStart w:id="57" w:name="_ENREF_3"/>
      <w:r w:rsidRPr="001E4C88">
        <w:rPr>
          <w:rFonts w:cs="Calibri"/>
          <w:noProof/>
        </w:rPr>
        <w:t xml:space="preserve">Carbon Positive, November 25, 2010. "First California carbon trade at $11.50." Retrieved December 2, 2010, from </w:t>
      </w:r>
      <w:hyperlink r:id="rId23" w:history="1">
        <w:r w:rsidRPr="001E4C88">
          <w:rPr>
            <w:rStyle w:val="Hyperlink"/>
            <w:rFonts w:cs="Calibri"/>
            <w:noProof/>
          </w:rPr>
          <w:t>http://www.carbonpositive.net/viewarticle.aspx?articleID=2197</w:t>
        </w:r>
      </w:hyperlink>
      <w:r w:rsidRPr="001E4C88">
        <w:rPr>
          <w:rFonts w:cs="Calibri"/>
          <w:noProof/>
        </w:rPr>
        <w:t>.</w:t>
      </w:r>
      <w:bookmarkEnd w:id="57"/>
    </w:p>
    <w:p w:rsidR="001E4C88" w:rsidRPr="001E4C88" w:rsidRDefault="001E4C88" w:rsidP="001E4C88">
      <w:pPr>
        <w:spacing w:after="0" w:line="240" w:lineRule="auto"/>
        <w:ind w:left="720" w:hanging="720"/>
        <w:rPr>
          <w:rFonts w:cs="Calibri"/>
          <w:noProof/>
        </w:rPr>
      </w:pPr>
      <w:r w:rsidRPr="001E4C88">
        <w:rPr>
          <w:rFonts w:cs="Calibri"/>
          <w:noProof/>
        </w:rPr>
        <w:t>Carmean, W.H. and S.G. Boyce 1974. "Hardwood log quality in relation to site quality. Research Paper NC-103. St. Paul, MN: U.S. Dept. of Agriculture, Forest Service, North Central Forest Experiment Station. 7p."</w:t>
      </w:r>
      <w:bookmarkEnd w:id="55"/>
    </w:p>
    <w:p w:rsidR="001E4C88" w:rsidRPr="001E4C88" w:rsidRDefault="001E4C88" w:rsidP="001E4C88">
      <w:pPr>
        <w:spacing w:after="0" w:line="240" w:lineRule="auto"/>
        <w:ind w:left="720" w:hanging="720"/>
        <w:rPr>
          <w:rFonts w:cs="Calibri"/>
          <w:noProof/>
        </w:rPr>
      </w:pPr>
      <w:bookmarkStart w:id="58" w:name="_ENREF_35"/>
      <w:r w:rsidRPr="001E4C88">
        <w:rPr>
          <w:rFonts w:cs="Calibri"/>
          <w:noProof/>
        </w:rPr>
        <w:t xml:space="preserve">Cascio, A.J. and M.L. Clutter 2008. "Risk and required return assessments of equity timberland investments in the United States." </w:t>
      </w:r>
      <w:r w:rsidRPr="001E4C88">
        <w:rPr>
          <w:rFonts w:cs="Calibri"/>
          <w:noProof/>
          <w:u w:val="single"/>
        </w:rPr>
        <w:t>Forest Products Journal</w:t>
      </w:r>
      <w:r w:rsidRPr="001E4C88">
        <w:rPr>
          <w:rFonts w:cs="Calibri"/>
          <w:noProof/>
        </w:rPr>
        <w:t xml:space="preserve"> </w:t>
      </w:r>
      <w:r w:rsidRPr="001E4C88">
        <w:rPr>
          <w:rFonts w:cs="Calibri"/>
          <w:b/>
          <w:noProof/>
        </w:rPr>
        <w:t>58</w:t>
      </w:r>
      <w:r w:rsidRPr="001E4C88">
        <w:rPr>
          <w:rFonts w:cs="Calibri"/>
          <w:noProof/>
        </w:rPr>
        <w:t>(10): 61-70.</w:t>
      </w:r>
      <w:bookmarkEnd w:id="58"/>
    </w:p>
    <w:p w:rsidR="001E4C88" w:rsidRPr="001E4C88" w:rsidRDefault="001E4C88" w:rsidP="001E4C88">
      <w:pPr>
        <w:spacing w:after="0" w:line="240" w:lineRule="auto"/>
        <w:ind w:left="720" w:hanging="720"/>
        <w:rPr>
          <w:rFonts w:cs="Calibri"/>
          <w:noProof/>
        </w:rPr>
      </w:pPr>
      <w:bookmarkStart w:id="59" w:name="_ENREF_36"/>
      <w:r w:rsidRPr="001E4C88">
        <w:rPr>
          <w:rFonts w:cs="Calibri"/>
          <w:noProof/>
        </w:rPr>
        <w:t>Cassens, D. 2001. Log and Tree Scaling Techniques. Publication FNR-191. West Lafayette, Indiana: Purdue University Cooperative Extension Service. 16 p.</w:t>
      </w:r>
      <w:bookmarkEnd w:id="59"/>
    </w:p>
    <w:p w:rsidR="001E4C88" w:rsidRPr="001E4C88" w:rsidRDefault="001E4C88" w:rsidP="001E4C88">
      <w:pPr>
        <w:spacing w:after="0" w:line="240" w:lineRule="auto"/>
        <w:ind w:left="720" w:hanging="720"/>
        <w:rPr>
          <w:rFonts w:cs="Calibri"/>
          <w:noProof/>
        </w:rPr>
      </w:pPr>
      <w:bookmarkStart w:id="60" w:name="_ENREF_37"/>
      <w:r w:rsidRPr="001E4C88">
        <w:rPr>
          <w:rFonts w:cs="Calibri"/>
          <w:noProof/>
        </w:rPr>
        <w:t>Clark III, A., R.A. Souter and B.E. Schlaegel 1991. Stem profile equations for southern tree species. Res. Pap. SE-282. Asheville, NC: U.S. Department of Agriculture, Forest Service, Southeastern Forest Experiment Station. 113p.</w:t>
      </w:r>
      <w:bookmarkEnd w:id="60"/>
    </w:p>
    <w:p w:rsidR="001E4C88" w:rsidRPr="001E4C88" w:rsidRDefault="001E4C88" w:rsidP="001E4C88">
      <w:pPr>
        <w:spacing w:after="0" w:line="240" w:lineRule="auto"/>
        <w:ind w:left="720" w:hanging="720"/>
        <w:rPr>
          <w:rFonts w:cs="Calibri"/>
          <w:noProof/>
        </w:rPr>
      </w:pPr>
      <w:bookmarkStart w:id="61" w:name="_ENREF_39"/>
      <w:r w:rsidRPr="001E4C88">
        <w:rPr>
          <w:rFonts w:cs="Calibri"/>
          <w:noProof/>
        </w:rPr>
        <w:t>Clark, S.L., S.J. Torreano, D.L. Loftis and L.D. Dimov 2007. Twenty-two year changes in regeneration potential in an old-growth Quercus forest in the Mid-Cumberland plateau, Tennessee. In: Buckley, D.S.; Clatterbuck, W.K., eds. Proceedings, 15th central hardwood forest conference. E-Gen. Tech. Rep. SRS-101. U.S. Department of Agriculture, Forest Service, Southern Research Station: 286-294. [CDROM].</w:t>
      </w:r>
      <w:bookmarkEnd w:id="61"/>
    </w:p>
    <w:p w:rsidR="001E4C88" w:rsidRPr="001E4C88" w:rsidRDefault="001E4C88" w:rsidP="001E4C88">
      <w:pPr>
        <w:spacing w:after="0" w:line="240" w:lineRule="auto"/>
        <w:ind w:left="720" w:hanging="720"/>
        <w:rPr>
          <w:rFonts w:cs="Calibri"/>
          <w:noProof/>
        </w:rPr>
      </w:pPr>
      <w:bookmarkStart w:id="62" w:name="_ENREF_40"/>
      <w:r w:rsidRPr="001E4C88">
        <w:rPr>
          <w:rFonts w:cs="Calibri"/>
          <w:noProof/>
        </w:rPr>
        <w:t xml:space="preserve">Clatterbuck, W.K. and B.W. Kauffman 2006. Managing Oak Decline. </w:t>
      </w:r>
      <w:r w:rsidRPr="001E4C88">
        <w:rPr>
          <w:rFonts w:cs="Calibri"/>
          <w:noProof/>
          <w:u w:val="single"/>
        </w:rPr>
        <w:t>Professional Hardwood Notes</w:t>
      </w:r>
      <w:r w:rsidRPr="001E4C88">
        <w:rPr>
          <w:rFonts w:cs="Calibri"/>
          <w:noProof/>
        </w:rPr>
        <w:t xml:space="preserve">. J. W. Stringer and W. K. Clatterbuck, University of Kentucky, Cooperative Extension Service, Lexington. </w:t>
      </w:r>
      <w:r w:rsidRPr="001E4C88">
        <w:rPr>
          <w:rFonts w:cs="Calibri"/>
          <w:b/>
          <w:noProof/>
        </w:rPr>
        <w:t xml:space="preserve">FOR-099: </w:t>
      </w:r>
      <w:r w:rsidRPr="001E4C88">
        <w:rPr>
          <w:rFonts w:cs="Calibri"/>
          <w:noProof/>
        </w:rPr>
        <w:t>6.</w:t>
      </w:r>
      <w:bookmarkEnd w:id="62"/>
    </w:p>
    <w:p w:rsidR="001E4C88" w:rsidRPr="001E4C88" w:rsidRDefault="001E4C88" w:rsidP="001E4C88">
      <w:pPr>
        <w:spacing w:after="0" w:line="240" w:lineRule="auto"/>
        <w:ind w:left="720" w:hanging="720"/>
        <w:rPr>
          <w:rFonts w:cs="Calibri"/>
          <w:noProof/>
        </w:rPr>
      </w:pPr>
      <w:bookmarkStart w:id="63" w:name="_ENREF_41"/>
      <w:r w:rsidRPr="001E4C88">
        <w:rPr>
          <w:rFonts w:cs="Calibri"/>
          <w:noProof/>
        </w:rPr>
        <w:t>Connor, R.C. and A.J. Hartsell 2002. Forest area and conditions. In: David N. Wear and John G. Greis, eds. Southern Forest Resource Assessment. Gen. Tech. Rep. SRS-53. Asheville, NC: USDA Forest Service: 357-401.</w:t>
      </w:r>
      <w:bookmarkEnd w:id="63"/>
    </w:p>
    <w:p w:rsidR="001E4C88" w:rsidRPr="001E4C88" w:rsidRDefault="001E4C88" w:rsidP="001E4C88">
      <w:pPr>
        <w:spacing w:after="0" w:line="240" w:lineRule="auto"/>
        <w:ind w:left="720" w:hanging="720"/>
        <w:rPr>
          <w:rFonts w:cs="Calibri"/>
          <w:noProof/>
        </w:rPr>
      </w:pPr>
      <w:bookmarkStart w:id="64" w:name="_ENREF_42"/>
      <w:r w:rsidRPr="001E4C88">
        <w:rPr>
          <w:rFonts w:cs="Calibri"/>
          <w:noProof/>
        </w:rPr>
        <w:t xml:space="preserve">Crookston, N.L. and G.E. Dixon 2005. "The forest vegetation simulator: A review of its structure, content, and applications." </w:t>
      </w:r>
      <w:r w:rsidRPr="001E4C88">
        <w:rPr>
          <w:rFonts w:cs="Calibri"/>
          <w:noProof/>
          <w:u w:val="single"/>
        </w:rPr>
        <w:t>Comput. Electron. Agric.</w:t>
      </w:r>
      <w:r w:rsidRPr="001E4C88">
        <w:rPr>
          <w:rFonts w:cs="Calibri"/>
          <w:noProof/>
        </w:rPr>
        <w:t xml:space="preserve"> </w:t>
      </w:r>
      <w:r w:rsidRPr="001E4C88">
        <w:rPr>
          <w:rFonts w:cs="Calibri"/>
          <w:b/>
          <w:noProof/>
        </w:rPr>
        <w:t>49</w:t>
      </w:r>
      <w:r w:rsidRPr="001E4C88">
        <w:rPr>
          <w:rFonts w:cs="Calibri"/>
          <w:noProof/>
        </w:rPr>
        <w:t>(1): 60-80.</w:t>
      </w:r>
      <w:bookmarkEnd w:id="64"/>
    </w:p>
    <w:p w:rsidR="001E4C88" w:rsidRPr="001E4C88" w:rsidRDefault="001E4C88" w:rsidP="001E4C88">
      <w:pPr>
        <w:spacing w:after="0" w:line="240" w:lineRule="auto"/>
        <w:ind w:left="720" w:hanging="720"/>
        <w:rPr>
          <w:rFonts w:cs="Calibri"/>
          <w:noProof/>
        </w:rPr>
      </w:pPr>
      <w:bookmarkStart w:id="65" w:name="_ENREF_43"/>
      <w:r w:rsidRPr="001E4C88">
        <w:rPr>
          <w:rFonts w:cs="Calibri"/>
          <w:noProof/>
        </w:rPr>
        <w:t>Dale, M.E., H.C. Smith and J.N. Pearcy 1995. Size of clearcut opening affects species composition, growth rate, and stand characteristics. Res. Pap. NE-698. Radnor, PA: U.S. Department of Agriculture, Forest Service, Northeastern Forest Experiment Station. 21 p.</w:t>
      </w:r>
      <w:bookmarkEnd w:id="65"/>
    </w:p>
    <w:p w:rsidR="001E4C88" w:rsidRPr="001E4C88" w:rsidRDefault="001E4C88" w:rsidP="001E4C88">
      <w:pPr>
        <w:spacing w:after="0" w:line="240" w:lineRule="auto"/>
        <w:ind w:left="720" w:hanging="720"/>
        <w:rPr>
          <w:rFonts w:cs="Calibri"/>
          <w:noProof/>
        </w:rPr>
      </w:pPr>
      <w:bookmarkStart w:id="66" w:name="_ENREF_44"/>
      <w:r w:rsidRPr="001E4C88">
        <w:rPr>
          <w:rFonts w:cs="Calibri"/>
          <w:noProof/>
        </w:rPr>
        <w:t>Davis, H.C. and J.R. Yaeger 2007. Soil Survey of Morgan County, Tennessee. United States Department of Agriculture, Natural Resources Conservation Service.</w:t>
      </w:r>
      <w:bookmarkEnd w:id="66"/>
    </w:p>
    <w:p w:rsidR="001E4C88" w:rsidRPr="001E4C88" w:rsidRDefault="001E4C88" w:rsidP="001E4C88">
      <w:pPr>
        <w:spacing w:after="0" w:line="240" w:lineRule="auto"/>
        <w:ind w:left="720" w:hanging="720"/>
        <w:rPr>
          <w:rFonts w:cs="Calibri"/>
          <w:noProof/>
        </w:rPr>
      </w:pPr>
      <w:bookmarkStart w:id="67" w:name="_ENREF_45"/>
      <w:r w:rsidRPr="001E4C88">
        <w:rPr>
          <w:rFonts w:cs="Calibri"/>
          <w:noProof/>
        </w:rPr>
        <w:t xml:space="preserve">Davis, S.C., A.E. Hessl, C.J. Scott, M.B. Adams and R.B. Thomas 2009. "Forest carbon sequestration changes in response to timber harvest." </w:t>
      </w:r>
      <w:r w:rsidRPr="001E4C88">
        <w:rPr>
          <w:rFonts w:cs="Calibri"/>
          <w:noProof/>
          <w:u w:val="single"/>
        </w:rPr>
        <w:t>Forest Ecology and Management</w:t>
      </w:r>
      <w:r w:rsidRPr="001E4C88">
        <w:rPr>
          <w:rFonts w:cs="Calibri"/>
          <w:noProof/>
        </w:rPr>
        <w:t xml:space="preserve"> </w:t>
      </w:r>
      <w:r w:rsidRPr="001E4C88">
        <w:rPr>
          <w:rFonts w:cs="Calibri"/>
          <w:b/>
          <w:noProof/>
        </w:rPr>
        <w:t>258</w:t>
      </w:r>
      <w:r w:rsidRPr="001E4C88">
        <w:rPr>
          <w:rFonts w:cs="Calibri"/>
          <w:noProof/>
        </w:rPr>
        <w:t>(9): 2101-2109.</w:t>
      </w:r>
      <w:bookmarkEnd w:id="67"/>
    </w:p>
    <w:p w:rsidR="001E4C88" w:rsidRDefault="001E4C88" w:rsidP="001E4C88">
      <w:pPr>
        <w:spacing w:after="0" w:line="240" w:lineRule="auto"/>
        <w:ind w:left="720" w:hanging="720"/>
        <w:rPr>
          <w:rFonts w:cs="Calibri"/>
          <w:noProof/>
        </w:rPr>
      </w:pPr>
      <w:bookmarkStart w:id="68" w:name="_ENREF_46"/>
      <w:r w:rsidRPr="001E4C88">
        <w:rPr>
          <w:rFonts w:cs="Calibri"/>
          <w:noProof/>
        </w:rPr>
        <w:t xml:space="preserve">Delcourt, P.A. and H.R. Delcourt 1987. </w:t>
      </w:r>
      <w:r w:rsidRPr="001E4C88">
        <w:rPr>
          <w:rFonts w:cs="Calibri"/>
          <w:noProof/>
          <w:u w:val="single"/>
        </w:rPr>
        <w:t>Long-term forest dynamics of the temperate zone</w:t>
      </w:r>
      <w:r w:rsidRPr="001E4C88">
        <w:rPr>
          <w:rFonts w:cs="Calibri"/>
          <w:noProof/>
        </w:rPr>
        <w:t>, Springer-Verlag, New York.</w:t>
      </w:r>
      <w:bookmarkEnd w:id="68"/>
    </w:p>
    <w:p w:rsidR="00DD1F88" w:rsidRPr="00DD1F88" w:rsidRDefault="00DD1F88" w:rsidP="00DD1F88">
      <w:pPr>
        <w:spacing w:after="0" w:line="240" w:lineRule="auto"/>
        <w:ind w:left="720" w:hanging="720"/>
        <w:rPr>
          <w:rFonts w:cs="Calibri"/>
          <w:noProof/>
        </w:rPr>
      </w:pPr>
      <w:r w:rsidRPr="00DD1F88">
        <w:rPr>
          <w:rFonts w:cs="Calibri"/>
          <w:noProof/>
        </w:rPr>
        <w:t xml:space="preserve">Doolittle, W. T. 1958. Site Index Comparisons for Several Forest Species in the Southern Appalachians. </w:t>
      </w:r>
      <w:r w:rsidRPr="00DD1F88">
        <w:rPr>
          <w:rFonts w:cs="Calibri"/>
          <w:noProof/>
          <w:u w:val="single"/>
        </w:rPr>
        <w:t>Soil Sci Soc Am J</w:t>
      </w:r>
      <w:r w:rsidRPr="00DD1F88">
        <w:rPr>
          <w:rFonts w:cs="Calibri"/>
          <w:noProof/>
        </w:rPr>
        <w:t xml:space="preserve"> </w:t>
      </w:r>
      <w:r w:rsidRPr="00DD1F88">
        <w:rPr>
          <w:rFonts w:cs="Calibri"/>
          <w:b/>
          <w:noProof/>
        </w:rPr>
        <w:t>22</w:t>
      </w:r>
      <w:r w:rsidRPr="00DD1F88">
        <w:rPr>
          <w:rFonts w:cs="Calibri"/>
          <w:noProof/>
        </w:rPr>
        <w:t>(5): 455-458.</w:t>
      </w:r>
    </w:p>
    <w:p w:rsidR="001E4C88" w:rsidRPr="001E4C88" w:rsidRDefault="001E4C88" w:rsidP="001E4C88">
      <w:pPr>
        <w:spacing w:after="0" w:line="240" w:lineRule="auto"/>
        <w:ind w:left="720" w:hanging="720"/>
        <w:rPr>
          <w:rFonts w:cs="Calibri"/>
          <w:noProof/>
        </w:rPr>
      </w:pPr>
      <w:bookmarkStart w:id="69" w:name="_ENREF_47"/>
      <w:r w:rsidRPr="001E4C88">
        <w:rPr>
          <w:rFonts w:cs="Calibri"/>
          <w:noProof/>
        </w:rPr>
        <w:t xml:space="preserve">Druckenbrod, D.L., V.H. Dale and L.M. Olsen 2006. "Comparing current and desired ecological conditions at a landscape scale in the Cumberland Plateau and Mountains, USA." </w:t>
      </w:r>
      <w:r w:rsidRPr="001E4C88">
        <w:rPr>
          <w:rFonts w:cs="Calibri"/>
          <w:noProof/>
          <w:u w:val="single"/>
        </w:rPr>
        <w:t>Journal of Land Use Science</w:t>
      </w:r>
      <w:r w:rsidRPr="001E4C88">
        <w:rPr>
          <w:rFonts w:cs="Calibri"/>
          <w:noProof/>
        </w:rPr>
        <w:t xml:space="preserve"> </w:t>
      </w:r>
      <w:r w:rsidRPr="001E4C88">
        <w:rPr>
          <w:rFonts w:cs="Calibri"/>
          <w:b/>
          <w:noProof/>
        </w:rPr>
        <w:t>1</w:t>
      </w:r>
      <w:r w:rsidRPr="001E4C88">
        <w:rPr>
          <w:rFonts w:cs="Calibri"/>
          <w:noProof/>
        </w:rPr>
        <w:t>: 169-189.</w:t>
      </w:r>
      <w:bookmarkEnd w:id="69"/>
    </w:p>
    <w:p w:rsidR="001E4C88" w:rsidRPr="001E4C88" w:rsidRDefault="001E4C88" w:rsidP="001E4C88">
      <w:pPr>
        <w:spacing w:after="0" w:line="240" w:lineRule="auto"/>
        <w:ind w:left="720" w:hanging="720"/>
        <w:rPr>
          <w:rFonts w:cs="Calibri"/>
          <w:noProof/>
        </w:rPr>
      </w:pPr>
      <w:bookmarkStart w:id="70" w:name="_ENREF_48"/>
      <w:r w:rsidRPr="001E4C88">
        <w:rPr>
          <w:rFonts w:cs="Calibri"/>
          <w:noProof/>
        </w:rPr>
        <w:t>Evans, J., N. Pelkey and D. Haskell 2002. An assessment of forest change on the Cumberland Plateau in southern Tennessee: small area assessment forestry demonstration project for the Southern Forest Resource Assessment. University of the South, Landscape Analysis Laboratory, Sewanee, TN. 193p.</w:t>
      </w:r>
      <w:bookmarkEnd w:id="70"/>
    </w:p>
    <w:p w:rsidR="001E4C88" w:rsidRPr="001E4C88" w:rsidRDefault="001E4C88" w:rsidP="001E4C88">
      <w:pPr>
        <w:spacing w:after="0" w:line="240" w:lineRule="auto"/>
        <w:ind w:left="720" w:hanging="720"/>
        <w:rPr>
          <w:rFonts w:cs="Calibri"/>
          <w:noProof/>
        </w:rPr>
      </w:pPr>
      <w:bookmarkStart w:id="71" w:name="_ENREF_49"/>
      <w:r w:rsidRPr="001E4C88">
        <w:rPr>
          <w:rFonts w:cs="Calibri"/>
          <w:noProof/>
        </w:rPr>
        <w:t>Fajvan, M.A. 2006. Research on Diameter-Limit Cutting in Central Appalachian Forests. In: Kenefic, Laura S.; Nyland, Ralph D. eds. Proceedings of the conference on diameter-limit cutting in northeastern forests; 2005 May 23-24; Amherst, MA. Gen. Tech. Rep. NE-342. Newtown Square, PA: U.S. Forest Service: 32-38.</w:t>
      </w:r>
      <w:bookmarkEnd w:id="71"/>
    </w:p>
    <w:p w:rsidR="001E4C88" w:rsidRPr="001E4C88" w:rsidRDefault="001E4C88" w:rsidP="001E4C88">
      <w:pPr>
        <w:spacing w:after="0" w:line="240" w:lineRule="auto"/>
        <w:ind w:left="720" w:hanging="720"/>
        <w:rPr>
          <w:rFonts w:cs="Calibri"/>
          <w:noProof/>
        </w:rPr>
      </w:pPr>
      <w:bookmarkStart w:id="72" w:name="_ENREF_50"/>
      <w:r w:rsidRPr="001E4C88">
        <w:rPr>
          <w:rFonts w:cs="Calibri"/>
          <w:noProof/>
        </w:rPr>
        <w:lastRenderedPageBreak/>
        <w:t xml:space="preserve">Fajvan, M.A., S.T. Grushecky and C.C. Hassler 1998. "The effect of harvesting practices on West Virginia's wood supply. ." </w:t>
      </w:r>
      <w:r w:rsidRPr="001E4C88">
        <w:rPr>
          <w:rFonts w:cs="Calibri"/>
          <w:noProof/>
          <w:u w:val="single"/>
        </w:rPr>
        <w:t>Journal of Forestry</w:t>
      </w:r>
      <w:r w:rsidRPr="001E4C88">
        <w:rPr>
          <w:rFonts w:cs="Calibri"/>
          <w:noProof/>
        </w:rPr>
        <w:t xml:space="preserve"> </w:t>
      </w:r>
      <w:r w:rsidRPr="001E4C88">
        <w:rPr>
          <w:rFonts w:cs="Calibri"/>
          <w:b/>
          <w:noProof/>
        </w:rPr>
        <w:t>96</w:t>
      </w:r>
      <w:r w:rsidRPr="001E4C88">
        <w:rPr>
          <w:rFonts w:cs="Calibri"/>
          <w:noProof/>
        </w:rPr>
        <w:t>(5): 33-39.</w:t>
      </w:r>
      <w:bookmarkEnd w:id="72"/>
    </w:p>
    <w:p w:rsidR="001E4C88" w:rsidRPr="001E4C88" w:rsidRDefault="001E4C88" w:rsidP="001E4C88">
      <w:pPr>
        <w:spacing w:after="0" w:line="240" w:lineRule="auto"/>
        <w:ind w:left="720" w:hanging="720"/>
        <w:rPr>
          <w:rFonts w:cs="Calibri"/>
          <w:noProof/>
        </w:rPr>
      </w:pPr>
      <w:bookmarkStart w:id="73" w:name="_ENREF_51"/>
      <w:r w:rsidRPr="001E4C88">
        <w:rPr>
          <w:rFonts w:cs="Calibri"/>
          <w:noProof/>
        </w:rPr>
        <w:t xml:space="preserve">Fajvan, M.A., K.E. Knipling and B.D. Tift 2002. "Damage to Appalachian hardwoods from diameter-limit harvesting and shelterwood establishment cutting." </w:t>
      </w:r>
      <w:r w:rsidRPr="001E4C88">
        <w:rPr>
          <w:rFonts w:cs="Calibri"/>
          <w:noProof/>
          <w:u w:val="single"/>
        </w:rPr>
        <w:t>Northern Journal of Applied Forestry</w:t>
      </w:r>
      <w:r w:rsidRPr="001E4C88">
        <w:rPr>
          <w:rFonts w:cs="Calibri"/>
          <w:noProof/>
        </w:rPr>
        <w:t xml:space="preserve"> </w:t>
      </w:r>
      <w:r w:rsidRPr="001E4C88">
        <w:rPr>
          <w:rFonts w:cs="Calibri"/>
          <w:b/>
          <w:noProof/>
        </w:rPr>
        <w:t>19</w:t>
      </w:r>
      <w:r w:rsidRPr="001E4C88">
        <w:rPr>
          <w:rFonts w:cs="Calibri"/>
          <w:noProof/>
        </w:rPr>
        <w:t>(2): 80-87.</w:t>
      </w:r>
      <w:bookmarkEnd w:id="73"/>
    </w:p>
    <w:p w:rsidR="001E4C88" w:rsidRPr="001E4C88" w:rsidRDefault="001E4C88" w:rsidP="001E4C88">
      <w:pPr>
        <w:spacing w:after="0" w:line="240" w:lineRule="auto"/>
        <w:ind w:left="720" w:hanging="720"/>
        <w:rPr>
          <w:rFonts w:cs="Calibri"/>
          <w:noProof/>
        </w:rPr>
      </w:pPr>
      <w:bookmarkStart w:id="74" w:name="_ENREF_52"/>
      <w:r w:rsidRPr="001E4C88">
        <w:rPr>
          <w:rFonts w:cs="Calibri"/>
          <w:noProof/>
        </w:rPr>
        <w:t xml:space="preserve">Fajvan, M.A. and J.M. Wood 1996. "Stand structure and development after gypsy moth defoliation in the Appalachian Plateau." </w:t>
      </w:r>
      <w:r w:rsidRPr="001E4C88">
        <w:rPr>
          <w:rFonts w:cs="Calibri"/>
          <w:noProof/>
          <w:u w:val="single"/>
        </w:rPr>
        <w:t>Forest Ecology and Management</w:t>
      </w:r>
      <w:r w:rsidRPr="001E4C88">
        <w:rPr>
          <w:rFonts w:cs="Calibri"/>
          <w:noProof/>
        </w:rPr>
        <w:t xml:space="preserve"> </w:t>
      </w:r>
      <w:r w:rsidRPr="001E4C88">
        <w:rPr>
          <w:rFonts w:cs="Calibri"/>
          <w:b/>
          <w:noProof/>
        </w:rPr>
        <w:t>89</w:t>
      </w:r>
      <w:r w:rsidRPr="001E4C88">
        <w:rPr>
          <w:rFonts w:cs="Calibri"/>
          <w:noProof/>
        </w:rPr>
        <w:t>(1-3): 79-88.</w:t>
      </w:r>
      <w:bookmarkEnd w:id="74"/>
    </w:p>
    <w:p w:rsidR="001E4C88" w:rsidRPr="001E4C88" w:rsidRDefault="001E4C88" w:rsidP="001E4C88">
      <w:pPr>
        <w:spacing w:after="0" w:line="240" w:lineRule="auto"/>
        <w:ind w:left="720" w:hanging="720"/>
        <w:rPr>
          <w:rFonts w:cs="Calibri"/>
          <w:noProof/>
        </w:rPr>
      </w:pPr>
      <w:bookmarkStart w:id="75" w:name="_ENREF_53"/>
      <w:r w:rsidRPr="001E4C88">
        <w:rPr>
          <w:rFonts w:cs="Calibri"/>
          <w:noProof/>
        </w:rPr>
        <w:t xml:space="preserve">Fenneman, N.M. 1938. </w:t>
      </w:r>
      <w:r w:rsidRPr="001E4C88">
        <w:rPr>
          <w:rFonts w:cs="Calibri"/>
          <w:noProof/>
          <w:u w:val="single"/>
        </w:rPr>
        <w:t>Physiography of eastern United States</w:t>
      </w:r>
      <w:r w:rsidRPr="001E4C88">
        <w:rPr>
          <w:rFonts w:cs="Calibri"/>
          <w:noProof/>
        </w:rPr>
        <w:t>. NYC, NY, McGraw-Hill Co.</w:t>
      </w:r>
      <w:bookmarkEnd w:id="75"/>
    </w:p>
    <w:p w:rsidR="001E4C88" w:rsidRPr="001E4C88" w:rsidRDefault="001E4C88" w:rsidP="001E4C88">
      <w:pPr>
        <w:spacing w:after="0" w:line="240" w:lineRule="auto"/>
        <w:ind w:left="720" w:hanging="720"/>
        <w:rPr>
          <w:rFonts w:cs="Calibri"/>
          <w:noProof/>
        </w:rPr>
      </w:pPr>
      <w:bookmarkStart w:id="76" w:name="_ENREF_54"/>
      <w:r w:rsidRPr="001E4C88">
        <w:rPr>
          <w:rFonts w:cs="Calibri"/>
          <w:noProof/>
        </w:rPr>
        <w:t xml:space="preserve">Foley, T.G., D.d. Richter and C.S. Galik 2009. "Extending rotation age for carbon sequestration: A cross-protocol comparison of North American forest offsets." </w:t>
      </w:r>
      <w:r w:rsidRPr="001E4C88">
        <w:rPr>
          <w:rFonts w:cs="Calibri"/>
          <w:noProof/>
          <w:u w:val="single"/>
        </w:rPr>
        <w:t>Forest Ecology and Management</w:t>
      </w:r>
      <w:r w:rsidRPr="001E4C88">
        <w:rPr>
          <w:rFonts w:cs="Calibri"/>
          <w:noProof/>
        </w:rPr>
        <w:t xml:space="preserve"> </w:t>
      </w:r>
      <w:r w:rsidRPr="001E4C88">
        <w:rPr>
          <w:rFonts w:cs="Calibri"/>
          <w:b/>
          <w:noProof/>
        </w:rPr>
        <w:t>259</w:t>
      </w:r>
      <w:r w:rsidRPr="001E4C88">
        <w:rPr>
          <w:rFonts w:cs="Calibri"/>
          <w:noProof/>
        </w:rPr>
        <w:t>(2): 201-209.</w:t>
      </w:r>
      <w:bookmarkEnd w:id="76"/>
    </w:p>
    <w:p w:rsidR="001E4C88" w:rsidRPr="001E4C88" w:rsidRDefault="001E4C88" w:rsidP="001E4C88">
      <w:pPr>
        <w:spacing w:after="0" w:line="240" w:lineRule="auto"/>
        <w:ind w:left="720" w:hanging="720"/>
        <w:rPr>
          <w:rFonts w:cs="Calibri"/>
          <w:noProof/>
        </w:rPr>
      </w:pPr>
      <w:bookmarkStart w:id="77" w:name="_ENREF_4"/>
      <w:bookmarkStart w:id="78" w:name="_ENREF_55"/>
      <w:r w:rsidRPr="001E4C88">
        <w:rPr>
          <w:rFonts w:cs="Calibri"/>
          <w:noProof/>
        </w:rPr>
        <w:t xml:space="preserve">Finite Carbon, July 13, 2009. "Forestry and Finance Experts Establish Finite Carbon to Facilitate U.S. Landowners’ Participation in Carbon Offset Markets." Retrieved July 29, 2009, from </w:t>
      </w:r>
      <w:hyperlink r:id="rId24" w:history="1">
        <w:r w:rsidRPr="001E4C88">
          <w:rPr>
            <w:rStyle w:val="Hyperlink"/>
            <w:rFonts w:cs="Calibri"/>
            <w:noProof/>
          </w:rPr>
          <w:t>http://www.finitecarbon.com/news/7_13_2009.html</w:t>
        </w:r>
      </w:hyperlink>
      <w:r w:rsidRPr="001E4C88">
        <w:rPr>
          <w:rFonts w:cs="Calibri"/>
          <w:noProof/>
        </w:rPr>
        <w:t>.</w:t>
      </w:r>
      <w:bookmarkEnd w:id="77"/>
    </w:p>
    <w:p w:rsidR="001E4C88" w:rsidRPr="001E4C88" w:rsidRDefault="001E4C88" w:rsidP="001E4C88">
      <w:pPr>
        <w:spacing w:after="0" w:line="240" w:lineRule="auto"/>
        <w:ind w:left="720" w:hanging="720"/>
        <w:rPr>
          <w:rFonts w:cs="Calibri"/>
          <w:noProof/>
        </w:rPr>
      </w:pPr>
      <w:bookmarkStart w:id="79" w:name="_ENREF_5"/>
      <w:r w:rsidRPr="001E4C88">
        <w:rPr>
          <w:rFonts w:cs="Calibri"/>
          <w:noProof/>
        </w:rPr>
        <w:t>Forest-Climate Working Group 2009. Policy platform. Washington D.C., American Forest Foundation.</w:t>
      </w:r>
      <w:bookmarkEnd w:id="79"/>
    </w:p>
    <w:p w:rsidR="001E4C88" w:rsidRPr="001E4C88" w:rsidRDefault="001E4C88" w:rsidP="001E4C88">
      <w:pPr>
        <w:spacing w:after="0" w:line="240" w:lineRule="auto"/>
        <w:ind w:left="720" w:hanging="720"/>
        <w:rPr>
          <w:rFonts w:cs="Calibri"/>
          <w:noProof/>
        </w:rPr>
      </w:pPr>
      <w:bookmarkStart w:id="80" w:name="_ENREF_6"/>
      <w:r w:rsidRPr="001E4C88">
        <w:rPr>
          <w:rFonts w:cs="Calibri"/>
          <w:noProof/>
        </w:rPr>
        <w:t>Forest Stewardship Council 2010. FSC-US Forest Management Standard (v1.0). 122p.</w:t>
      </w:r>
      <w:bookmarkEnd w:id="80"/>
    </w:p>
    <w:p w:rsidR="001E4C88" w:rsidRPr="001E4C88" w:rsidRDefault="001E4C88" w:rsidP="001E4C88">
      <w:pPr>
        <w:spacing w:after="0" w:line="240" w:lineRule="auto"/>
        <w:ind w:left="720" w:hanging="720"/>
        <w:rPr>
          <w:rFonts w:cs="Calibri"/>
          <w:noProof/>
        </w:rPr>
      </w:pPr>
      <w:r w:rsidRPr="001E4C88">
        <w:rPr>
          <w:rFonts w:cs="Calibri"/>
          <w:noProof/>
        </w:rPr>
        <w:t>Franklin, J.F., D.A. Perry, T.D. Schowalter, M.E. Harmon, A. McKee and T.A. Spies 1989. "Importance of ecological diversity in maintaining long-term site productivity. In: Perry, D.A., Miller, R., Boyle, J., Perry, C.R., Powers, R.F. (Eds.), Maintaining the Long-Term Productivity of Pacific Northwest Forest Ecosystems. Timber Press, Portland, OR, pp. 82-97."</w:t>
      </w:r>
      <w:bookmarkEnd w:id="78"/>
    </w:p>
    <w:p w:rsidR="001E4C88" w:rsidRPr="001E4C88" w:rsidRDefault="001E4C88" w:rsidP="001E4C88">
      <w:pPr>
        <w:spacing w:after="0" w:line="240" w:lineRule="auto"/>
        <w:ind w:left="720" w:hanging="720"/>
        <w:rPr>
          <w:rFonts w:cs="Calibri"/>
          <w:noProof/>
        </w:rPr>
      </w:pPr>
      <w:bookmarkStart w:id="81" w:name="_ENREF_56"/>
      <w:r w:rsidRPr="001E4C88">
        <w:rPr>
          <w:rFonts w:cs="Calibri"/>
          <w:noProof/>
        </w:rPr>
        <w:t>Galik, C.S., J.S. Baker and J.L. Grinnell 2009b. Transaction costs and forest management carbon offset potential, Working Paper, Climate Change Policy Partnership, Duke University</w:t>
      </w:r>
      <w:r w:rsidRPr="001E4C88">
        <w:rPr>
          <w:rFonts w:cs="Calibri"/>
          <w:b/>
          <w:noProof/>
        </w:rPr>
        <w:t xml:space="preserve">: </w:t>
      </w:r>
      <w:r w:rsidRPr="001E4C88">
        <w:rPr>
          <w:rFonts w:cs="Calibri"/>
          <w:noProof/>
        </w:rPr>
        <w:t>15.</w:t>
      </w:r>
      <w:bookmarkEnd w:id="81"/>
    </w:p>
    <w:p w:rsidR="001E4C88" w:rsidRPr="001E4C88" w:rsidRDefault="001E4C88" w:rsidP="001E4C88">
      <w:pPr>
        <w:spacing w:after="0" w:line="240" w:lineRule="auto"/>
        <w:ind w:left="720" w:hanging="720"/>
        <w:rPr>
          <w:rFonts w:cs="Calibri"/>
          <w:noProof/>
        </w:rPr>
      </w:pPr>
      <w:bookmarkStart w:id="82" w:name="_ENREF_57"/>
      <w:r w:rsidRPr="001E4C88">
        <w:rPr>
          <w:rFonts w:cs="Calibri"/>
          <w:noProof/>
        </w:rPr>
        <w:t xml:space="preserve">Galik, C.S., M.L. Mobley and D. Richter 2009a. "A virtual “field test” of forest management carbon offset protocols: the influence of accounting." </w:t>
      </w:r>
      <w:r w:rsidRPr="001E4C88">
        <w:rPr>
          <w:rFonts w:cs="Calibri"/>
          <w:noProof/>
          <w:u w:val="single"/>
        </w:rPr>
        <w:t>Mitigation and Adaptation Strategies for Global Change</w:t>
      </w:r>
      <w:r w:rsidRPr="001E4C88">
        <w:rPr>
          <w:rFonts w:cs="Calibri"/>
          <w:noProof/>
        </w:rPr>
        <w:t xml:space="preserve"> </w:t>
      </w:r>
      <w:r w:rsidRPr="001E4C88">
        <w:rPr>
          <w:rFonts w:cs="Calibri"/>
          <w:b/>
          <w:noProof/>
        </w:rPr>
        <w:t>14</w:t>
      </w:r>
      <w:r w:rsidRPr="001E4C88">
        <w:rPr>
          <w:rFonts w:cs="Calibri"/>
          <w:noProof/>
        </w:rPr>
        <w:t>(7): 677-690.</w:t>
      </w:r>
      <w:bookmarkEnd w:id="82"/>
    </w:p>
    <w:p w:rsidR="001E4C88" w:rsidRPr="001E4C88" w:rsidRDefault="001E4C88" w:rsidP="001E4C88">
      <w:pPr>
        <w:spacing w:after="0" w:line="240" w:lineRule="auto"/>
        <w:ind w:left="720" w:hanging="720"/>
        <w:rPr>
          <w:rFonts w:cs="Calibri"/>
          <w:noProof/>
        </w:rPr>
      </w:pPr>
      <w:bookmarkStart w:id="83" w:name="_ENREF_58"/>
      <w:r w:rsidRPr="001E4C88">
        <w:rPr>
          <w:rFonts w:cs="Calibri"/>
          <w:noProof/>
        </w:rPr>
        <w:t xml:space="preserve">Gass, R., M. Rickenbach, L. Schulte and K. Zeuli 2009. "Cross-Boundary Coordination on Forested Landscapes: Investigating Alternatives for Implementation." </w:t>
      </w:r>
      <w:r w:rsidRPr="001E4C88">
        <w:rPr>
          <w:rFonts w:cs="Calibri"/>
          <w:noProof/>
          <w:u w:val="single"/>
        </w:rPr>
        <w:t>Environmental Management</w:t>
      </w:r>
      <w:r w:rsidRPr="001E4C88">
        <w:rPr>
          <w:rFonts w:cs="Calibri"/>
          <w:noProof/>
        </w:rPr>
        <w:t xml:space="preserve"> </w:t>
      </w:r>
      <w:r w:rsidRPr="001E4C88">
        <w:rPr>
          <w:rFonts w:cs="Calibri"/>
          <w:b/>
          <w:noProof/>
        </w:rPr>
        <w:t>43</w:t>
      </w:r>
      <w:r w:rsidRPr="001E4C88">
        <w:rPr>
          <w:rFonts w:cs="Calibri"/>
          <w:noProof/>
        </w:rPr>
        <w:t>(1): 107-117.</w:t>
      </w:r>
      <w:bookmarkEnd w:id="83"/>
    </w:p>
    <w:p w:rsidR="001E4C88" w:rsidRPr="001E4C88" w:rsidRDefault="001E4C88" w:rsidP="001E4C88">
      <w:pPr>
        <w:spacing w:after="0" w:line="240" w:lineRule="auto"/>
        <w:ind w:left="720" w:hanging="720"/>
        <w:rPr>
          <w:rFonts w:cs="Calibri"/>
          <w:noProof/>
        </w:rPr>
      </w:pPr>
      <w:bookmarkStart w:id="84" w:name="_ENREF_59"/>
      <w:r w:rsidRPr="001E4C88">
        <w:rPr>
          <w:rFonts w:cs="Calibri"/>
          <w:noProof/>
        </w:rPr>
        <w:t xml:space="preserve">Germain, R.H. and J.F. Munsell 2005. "How Much Land is Needed for the Harvest Access System on Non-Industrial Private Forestlands Dominated by Northern Hardwoods?" </w:t>
      </w:r>
      <w:r w:rsidRPr="001E4C88">
        <w:rPr>
          <w:rFonts w:cs="Calibri"/>
          <w:noProof/>
          <w:u w:val="single"/>
        </w:rPr>
        <w:t>Northern Journal of Applied Forestry</w:t>
      </w:r>
      <w:r w:rsidRPr="001E4C88">
        <w:rPr>
          <w:rFonts w:cs="Calibri"/>
          <w:noProof/>
        </w:rPr>
        <w:t xml:space="preserve"> </w:t>
      </w:r>
      <w:r w:rsidRPr="001E4C88">
        <w:rPr>
          <w:rFonts w:cs="Calibri"/>
          <w:b/>
          <w:noProof/>
        </w:rPr>
        <w:t>22</w:t>
      </w:r>
      <w:r w:rsidRPr="001E4C88">
        <w:rPr>
          <w:rFonts w:cs="Calibri"/>
          <w:noProof/>
        </w:rPr>
        <w:t>(4): 243-247.</w:t>
      </w:r>
      <w:bookmarkEnd w:id="84"/>
    </w:p>
    <w:p w:rsidR="001E4C88" w:rsidRPr="001E4C88" w:rsidRDefault="001E4C88" w:rsidP="001E4C88">
      <w:pPr>
        <w:spacing w:after="0" w:line="240" w:lineRule="auto"/>
        <w:ind w:left="720" w:hanging="720"/>
        <w:rPr>
          <w:rFonts w:cs="Calibri"/>
          <w:noProof/>
        </w:rPr>
      </w:pPr>
      <w:bookmarkStart w:id="85" w:name="_ENREF_60"/>
      <w:r w:rsidRPr="001E4C88">
        <w:rPr>
          <w:rFonts w:cs="Calibri"/>
          <w:noProof/>
        </w:rPr>
        <w:t>Gingrich, S.F. 1971. Management of Young and Intermediate Stands of Upland Hardwoods, Res. Pap. NE-195. Upper Darby, PA: U.S. Department of Agriculture, Forest Service, Northeastern Forest Experiment Station. 26 p.</w:t>
      </w:r>
      <w:bookmarkEnd w:id="85"/>
    </w:p>
    <w:p w:rsidR="001E4C88" w:rsidRPr="001E4C88" w:rsidRDefault="001E4C88" w:rsidP="001E4C88">
      <w:pPr>
        <w:spacing w:after="0" w:line="240" w:lineRule="auto"/>
        <w:ind w:left="720" w:hanging="720"/>
        <w:rPr>
          <w:rFonts w:cs="Calibri"/>
          <w:noProof/>
        </w:rPr>
      </w:pPr>
      <w:bookmarkStart w:id="86" w:name="_ENREF_61"/>
      <w:r w:rsidRPr="001E4C88">
        <w:rPr>
          <w:rFonts w:cs="Calibri"/>
          <w:noProof/>
        </w:rPr>
        <w:t xml:space="preserve">Greenstone, M. and A. Looney 2010. An Economic Strategy to Renew American Communities, Strategy Paper. </w:t>
      </w:r>
      <w:r w:rsidRPr="001E4C88">
        <w:rPr>
          <w:rFonts w:cs="Calibri"/>
          <w:noProof/>
          <w:u w:val="single"/>
        </w:rPr>
        <w:t>The Hamilton Project</w:t>
      </w:r>
      <w:r w:rsidRPr="001E4C88">
        <w:rPr>
          <w:rFonts w:cs="Calibri"/>
          <w:noProof/>
        </w:rPr>
        <w:t>. Washington D.C., The Brookings Institute</w:t>
      </w:r>
      <w:r w:rsidRPr="001E4C88">
        <w:rPr>
          <w:rFonts w:cs="Calibri"/>
          <w:b/>
          <w:noProof/>
        </w:rPr>
        <w:t xml:space="preserve">: </w:t>
      </w:r>
      <w:r w:rsidRPr="001E4C88">
        <w:rPr>
          <w:rFonts w:cs="Calibri"/>
          <w:noProof/>
        </w:rPr>
        <w:t>22.</w:t>
      </w:r>
      <w:bookmarkEnd w:id="86"/>
    </w:p>
    <w:p w:rsidR="001E4C88" w:rsidRPr="001E4C88" w:rsidRDefault="001E4C88" w:rsidP="001E4C88">
      <w:pPr>
        <w:spacing w:after="0" w:line="240" w:lineRule="auto"/>
        <w:ind w:left="720" w:hanging="720"/>
        <w:rPr>
          <w:rFonts w:cs="Calibri"/>
          <w:noProof/>
        </w:rPr>
      </w:pPr>
      <w:bookmarkStart w:id="87" w:name="_ENREF_62"/>
      <w:r w:rsidRPr="001E4C88">
        <w:rPr>
          <w:rFonts w:cs="Calibri"/>
          <w:noProof/>
        </w:rPr>
        <w:t xml:space="preserve">Groninger, J.W., H.D. Stein, S.M. Zedaker and D.W. Smith 1998. "Growth Response and Cost Comparisons for Precommercial Thinning Methods of Appalachian Oak Stump Sprout Clumps." </w:t>
      </w:r>
      <w:r w:rsidRPr="001E4C88">
        <w:rPr>
          <w:rFonts w:cs="Calibri"/>
          <w:noProof/>
          <w:u w:val="single"/>
        </w:rPr>
        <w:t>Southern Journal of Applied Forestry</w:t>
      </w:r>
      <w:r w:rsidRPr="001E4C88">
        <w:rPr>
          <w:rFonts w:cs="Calibri"/>
          <w:noProof/>
        </w:rPr>
        <w:t xml:space="preserve"> </w:t>
      </w:r>
      <w:r w:rsidRPr="001E4C88">
        <w:rPr>
          <w:rFonts w:cs="Calibri"/>
          <w:b/>
          <w:noProof/>
        </w:rPr>
        <w:t>22</w:t>
      </w:r>
      <w:r w:rsidRPr="001E4C88">
        <w:rPr>
          <w:rFonts w:cs="Calibri"/>
          <w:noProof/>
        </w:rPr>
        <w:t>: 19-23.</w:t>
      </w:r>
      <w:bookmarkEnd w:id="87"/>
    </w:p>
    <w:p w:rsidR="001E4C88" w:rsidRPr="00E15453" w:rsidRDefault="001E4C88" w:rsidP="001E4C88">
      <w:pPr>
        <w:spacing w:after="0" w:line="240" w:lineRule="auto"/>
        <w:ind w:left="720" w:hanging="720"/>
        <w:rPr>
          <w:rFonts w:cs="Calibri"/>
          <w:noProof/>
        </w:rPr>
      </w:pPr>
      <w:bookmarkStart w:id="88" w:name="_ENREF_63"/>
      <w:r w:rsidRPr="001E4C88">
        <w:rPr>
          <w:rFonts w:cs="Calibri"/>
          <w:noProof/>
        </w:rPr>
        <w:t xml:space="preserve">Gunn, J., W. Price, J. Battles, D. Saah and K. Siegel 2008. The Development of an Ecosystem Services Trading Program for Family Forest Landowners to Promote the Protection of Atmospheric, Water, and Soil Resources in Maine, New Gloucester, ME: Trust to Conserve Northeast Forestlands. </w:t>
      </w:r>
      <w:r w:rsidRPr="00E15453">
        <w:rPr>
          <w:rFonts w:cs="Calibri"/>
          <w:noProof/>
        </w:rPr>
        <w:t>Final Report Submitted to the USDA Natural Resources Conservation Service Conservation Innovation Grants Program. 61p.</w:t>
      </w:r>
      <w:bookmarkEnd w:id="88"/>
    </w:p>
    <w:p w:rsidR="001E4C88" w:rsidRPr="001E4C88" w:rsidRDefault="001E4C88" w:rsidP="001E4C88">
      <w:pPr>
        <w:spacing w:after="0" w:line="240" w:lineRule="auto"/>
        <w:ind w:left="720" w:hanging="720"/>
        <w:rPr>
          <w:rFonts w:cs="Calibri"/>
          <w:noProof/>
        </w:rPr>
      </w:pPr>
      <w:bookmarkStart w:id="89" w:name="_ENREF_64"/>
      <w:r w:rsidRPr="001E4C88">
        <w:rPr>
          <w:rFonts w:cs="Calibri"/>
          <w:noProof/>
        </w:rPr>
        <w:t xml:space="preserve">Gutrich, J. and R.B. Howarth 2007. "Carbon sequestration and the optimal management of New Hampshire timber stands." </w:t>
      </w:r>
      <w:r w:rsidRPr="001E4C88">
        <w:rPr>
          <w:rFonts w:cs="Calibri"/>
          <w:noProof/>
          <w:u w:val="single"/>
        </w:rPr>
        <w:t>Ecological Economics</w:t>
      </w:r>
      <w:r w:rsidRPr="001E4C88">
        <w:rPr>
          <w:rFonts w:cs="Calibri"/>
          <w:noProof/>
        </w:rPr>
        <w:t xml:space="preserve"> </w:t>
      </w:r>
      <w:r w:rsidRPr="001E4C88">
        <w:rPr>
          <w:rFonts w:cs="Calibri"/>
          <w:b/>
          <w:noProof/>
        </w:rPr>
        <w:t>62</w:t>
      </w:r>
      <w:r w:rsidRPr="001E4C88">
        <w:rPr>
          <w:rFonts w:cs="Calibri"/>
          <w:noProof/>
        </w:rPr>
        <w:t>(3-4): 441-450.</w:t>
      </w:r>
      <w:bookmarkEnd w:id="89"/>
    </w:p>
    <w:p w:rsidR="001E4C88" w:rsidRPr="001E4C88" w:rsidRDefault="001E4C88" w:rsidP="001E4C88">
      <w:pPr>
        <w:spacing w:after="0" w:line="240" w:lineRule="auto"/>
        <w:ind w:left="720" w:hanging="720"/>
        <w:rPr>
          <w:rFonts w:cs="Calibri"/>
          <w:noProof/>
        </w:rPr>
      </w:pPr>
      <w:bookmarkStart w:id="90" w:name="_ENREF_65"/>
      <w:r w:rsidRPr="001E4C88">
        <w:rPr>
          <w:rFonts w:cs="Calibri"/>
          <w:noProof/>
        </w:rPr>
        <w:t>Hall, R.C. 1910. Preliminary study of the forest conditions of Tennessee. Geological Survey Service, 10A, 56p.</w:t>
      </w:r>
      <w:bookmarkEnd w:id="90"/>
    </w:p>
    <w:p w:rsidR="001E4C88" w:rsidRPr="001E4C88" w:rsidRDefault="001E4C88" w:rsidP="001E4C88">
      <w:pPr>
        <w:spacing w:after="0" w:line="240" w:lineRule="auto"/>
        <w:ind w:left="720" w:hanging="720"/>
        <w:rPr>
          <w:rFonts w:cs="Calibri"/>
          <w:noProof/>
        </w:rPr>
      </w:pPr>
      <w:bookmarkStart w:id="91" w:name="_ENREF_66"/>
      <w:r w:rsidRPr="001E4C88">
        <w:rPr>
          <w:rFonts w:cs="Calibri"/>
          <w:noProof/>
        </w:rPr>
        <w:t xml:space="preserve">Hamel, P.B. 2006. </w:t>
      </w:r>
      <w:r w:rsidRPr="001E4C88">
        <w:rPr>
          <w:rFonts w:cs="Calibri"/>
          <w:noProof/>
          <w:u w:val="single"/>
        </w:rPr>
        <w:t xml:space="preserve">Adaptive forest management for Cerulean Warbler </w:t>
      </w:r>
      <w:r w:rsidRPr="001E4C88">
        <w:rPr>
          <w:rFonts w:cs="Calibri"/>
          <w:noProof/>
        </w:rPr>
        <w:t>Proceedings of Society of American Foresters National Convention. 25-29 Oct. 2006, Pittsburgh, PA. [CD-rom].</w:t>
      </w:r>
      <w:bookmarkEnd w:id="91"/>
    </w:p>
    <w:p w:rsidR="001E4C88" w:rsidRPr="001E4C88" w:rsidRDefault="001E4C88" w:rsidP="001E4C88">
      <w:pPr>
        <w:spacing w:after="0" w:line="240" w:lineRule="auto"/>
        <w:ind w:left="720" w:hanging="720"/>
        <w:rPr>
          <w:rFonts w:cs="Calibri"/>
          <w:noProof/>
        </w:rPr>
      </w:pPr>
      <w:bookmarkStart w:id="92" w:name="_ENREF_67"/>
      <w:r w:rsidRPr="001E4C88">
        <w:rPr>
          <w:rFonts w:cs="Calibri"/>
          <w:noProof/>
        </w:rPr>
        <w:lastRenderedPageBreak/>
        <w:t xml:space="preserve">Hart, J.L. and H.D. Grissino-Mayer 2008. "Vegetation patterns and dendroecology of a mixed hardwood forest on the Cumberland Plateau: Implications for stand development." </w:t>
      </w:r>
      <w:r w:rsidRPr="001E4C88">
        <w:rPr>
          <w:rFonts w:cs="Calibri"/>
          <w:noProof/>
          <w:u w:val="single"/>
        </w:rPr>
        <w:t>Forest Ecology and Management</w:t>
      </w:r>
      <w:r w:rsidRPr="001E4C88">
        <w:rPr>
          <w:rFonts w:cs="Calibri"/>
          <w:noProof/>
        </w:rPr>
        <w:t xml:space="preserve"> </w:t>
      </w:r>
      <w:r w:rsidRPr="001E4C88">
        <w:rPr>
          <w:rFonts w:cs="Calibri"/>
          <w:b/>
          <w:noProof/>
        </w:rPr>
        <w:t>255</w:t>
      </w:r>
      <w:r w:rsidRPr="001E4C88">
        <w:rPr>
          <w:rFonts w:cs="Calibri"/>
          <w:noProof/>
        </w:rPr>
        <w:t>(5-6): 1960-1975.</w:t>
      </w:r>
      <w:bookmarkEnd w:id="92"/>
    </w:p>
    <w:p w:rsidR="001E4C88" w:rsidRPr="001E4C88" w:rsidRDefault="001E4C88" w:rsidP="001E4C88">
      <w:pPr>
        <w:spacing w:after="0" w:line="240" w:lineRule="auto"/>
        <w:ind w:left="720" w:hanging="720"/>
        <w:rPr>
          <w:rFonts w:cs="Calibri"/>
          <w:noProof/>
        </w:rPr>
      </w:pPr>
      <w:bookmarkStart w:id="93" w:name="_ENREF_68"/>
      <w:r w:rsidRPr="001E4C88">
        <w:rPr>
          <w:rFonts w:cs="Calibri"/>
          <w:noProof/>
        </w:rPr>
        <w:t>Haynes, R.W., D.M. Adams, R.J. Alig, P.J. Ince, J.R. Mills and X. Zhou 2007. The 2005 RPA timber assessment update. Gen. Tech. Rep. PNW-GTR-699. Portland, OR: U.S. Department of Agriculture, Forest Service, Pacific Northwest Research Station. 212 p.</w:t>
      </w:r>
      <w:bookmarkEnd w:id="93"/>
    </w:p>
    <w:p w:rsidR="001E4C88" w:rsidRPr="001E4C88" w:rsidRDefault="001E4C88" w:rsidP="001E4C88">
      <w:pPr>
        <w:spacing w:after="0" w:line="240" w:lineRule="auto"/>
        <w:ind w:left="720" w:hanging="720"/>
        <w:rPr>
          <w:rFonts w:cs="Calibri"/>
          <w:noProof/>
        </w:rPr>
      </w:pPr>
      <w:bookmarkStart w:id="94" w:name="_ENREF_69"/>
      <w:r w:rsidRPr="001E4C88">
        <w:rPr>
          <w:rFonts w:cs="Calibri"/>
          <w:noProof/>
        </w:rPr>
        <w:t>Heath, L.S., M. Hansen, J.E. Smith, P.D. Miles and B.W. Smith 2009. Investigation into calculating tree biomass and carbon in the FIADB using a biomass expansion factor approach. In: McWilliams, Will; Moisen, Gretchen; Czaplewski, Ray, comps. Forest Inventory and Analysis (FIA) Symposium 2008; October 21-23, 2008; Park City, UT. Proc. RMRS-P-56CD. Fort Collins, CO: U.S. Department of Agriculture, Forest Service, Rocky Mountain Research Station. 26 p.</w:t>
      </w:r>
      <w:bookmarkEnd w:id="94"/>
    </w:p>
    <w:p w:rsidR="001E4C88" w:rsidRPr="001E4C88" w:rsidRDefault="001E4C88" w:rsidP="001E4C88">
      <w:pPr>
        <w:spacing w:after="0" w:line="240" w:lineRule="auto"/>
        <w:ind w:left="720" w:hanging="720"/>
        <w:rPr>
          <w:rFonts w:cs="Calibri"/>
          <w:noProof/>
        </w:rPr>
      </w:pPr>
      <w:bookmarkStart w:id="95" w:name="_ENREF_70"/>
      <w:r w:rsidRPr="001E4C88">
        <w:rPr>
          <w:rFonts w:cs="Calibri"/>
          <w:noProof/>
        </w:rPr>
        <w:t xml:space="preserve">Hersey, C. and D. Kittredge 2005. "The Expense of Private Forestry: Survey Results of Private Practicing Foresters in Massachusetts." </w:t>
      </w:r>
      <w:r w:rsidRPr="001E4C88">
        <w:rPr>
          <w:rFonts w:cs="Calibri"/>
          <w:noProof/>
          <w:u w:val="single"/>
        </w:rPr>
        <w:t>Northern Journal of Applied Forestry</w:t>
      </w:r>
      <w:r w:rsidRPr="001E4C88">
        <w:rPr>
          <w:rFonts w:cs="Calibri"/>
          <w:noProof/>
        </w:rPr>
        <w:t xml:space="preserve"> </w:t>
      </w:r>
      <w:r w:rsidRPr="001E4C88">
        <w:rPr>
          <w:rFonts w:cs="Calibri"/>
          <w:b/>
          <w:noProof/>
        </w:rPr>
        <w:t>22</w:t>
      </w:r>
      <w:r w:rsidRPr="001E4C88">
        <w:rPr>
          <w:rFonts w:cs="Calibri"/>
          <w:noProof/>
        </w:rPr>
        <w:t>: 211-212.</w:t>
      </w:r>
      <w:bookmarkEnd w:id="95"/>
    </w:p>
    <w:p w:rsidR="001E4C88" w:rsidRPr="001E4C88" w:rsidRDefault="001E4C88" w:rsidP="001E4C88">
      <w:pPr>
        <w:spacing w:after="0" w:line="240" w:lineRule="auto"/>
        <w:ind w:left="720" w:hanging="720"/>
        <w:rPr>
          <w:rFonts w:cs="Calibri"/>
          <w:noProof/>
        </w:rPr>
      </w:pPr>
      <w:bookmarkStart w:id="96" w:name="_ENREF_71"/>
      <w:r w:rsidRPr="001E4C88">
        <w:rPr>
          <w:rFonts w:cs="Calibri"/>
          <w:noProof/>
        </w:rPr>
        <w:t>Hilt, D.E. and M.E. Dale 1989. Thinning Even-aged Upland Oak Stands. In: Clark, F. Bryan, tech. ed.; Hutchinson, Jay G., ed. Central Hardwood Notes. St. Paul, MN: U.S. Department of Agriculture, Forest Service, North Central Forest Experiment Station: Note 6.06.</w:t>
      </w:r>
      <w:bookmarkEnd w:id="96"/>
    </w:p>
    <w:p w:rsidR="001E4C88" w:rsidRPr="001E4C88" w:rsidRDefault="001E4C88" w:rsidP="001E4C88">
      <w:pPr>
        <w:spacing w:after="0" w:line="240" w:lineRule="auto"/>
        <w:ind w:left="720" w:hanging="720"/>
        <w:rPr>
          <w:rFonts w:cs="Calibri"/>
          <w:noProof/>
        </w:rPr>
      </w:pPr>
      <w:bookmarkStart w:id="97" w:name="_ENREF_72"/>
      <w:r w:rsidRPr="001E4C88">
        <w:rPr>
          <w:rFonts w:cs="Calibri"/>
          <w:noProof/>
        </w:rPr>
        <w:t xml:space="preserve">Hinkle, C.R., W.C. McComb, J.M. Safely Jr. and P.A. Schmalzer 1993. Mixed mesophytic forests. </w:t>
      </w:r>
      <w:r w:rsidRPr="001E4C88">
        <w:rPr>
          <w:rFonts w:cs="Calibri"/>
          <w:noProof/>
          <w:u w:val="single"/>
        </w:rPr>
        <w:t>Biodiversity of the Southeastern United States: Upland Terrestrial Communities</w:t>
      </w:r>
      <w:r w:rsidRPr="001E4C88">
        <w:rPr>
          <w:rFonts w:cs="Calibri"/>
          <w:noProof/>
        </w:rPr>
        <w:t>. W. H. Martin, S. G. Boyce and A. C. Echternacht. New York, John Wiley and Sons</w:t>
      </w:r>
      <w:r w:rsidRPr="001E4C88">
        <w:rPr>
          <w:rFonts w:cs="Calibri"/>
          <w:b/>
          <w:noProof/>
        </w:rPr>
        <w:t xml:space="preserve">: </w:t>
      </w:r>
      <w:r w:rsidRPr="001E4C88">
        <w:rPr>
          <w:rFonts w:cs="Calibri"/>
          <w:noProof/>
        </w:rPr>
        <w:t>203-253.</w:t>
      </w:r>
      <w:bookmarkEnd w:id="97"/>
    </w:p>
    <w:p w:rsidR="001E4C88" w:rsidRPr="001E4C88" w:rsidRDefault="001E4C88" w:rsidP="001E4C88">
      <w:pPr>
        <w:spacing w:after="0" w:line="240" w:lineRule="auto"/>
        <w:ind w:left="720" w:hanging="720"/>
        <w:rPr>
          <w:rFonts w:cs="Calibri"/>
          <w:noProof/>
        </w:rPr>
      </w:pPr>
      <w:bookmarkStart w:id="98" w:name="_ENREF_73"/>
      <w:r w:rsidRPr="001E4C88">
        <w:rPr>
          <w:rFonts w:cs="Calibri"/>
          <w:noProof/>
        </w:rPr>
        <w:t xml:space="preserve">Hoover, C. and S. Stout 2007. "The carbon consequences of thinning techniques: stand structure makes a difference." </w:t>
      </w:r>
      <w:r w:rsidRPr="001E4C88">
        <w:rPr>
          <w:rFonts w:cs="Calibri"/>
          <w:noProof/>
          <w:u w:val="single"/>
        </w:rPr>
        <w:t>Journal of Forestry</w:t>
      </w:r>
      <w:r w:rsidRPr="001E4C88">
        <w:rPr>
          <w:rFonts w:cs="Calibri"/>
          <w:noProof/>
        </w:rPr>
        <w:t xml:space="preserve"> </w:t>
      </w:r>
      <w:r w:rsidRPr="001E4C88">
        <w:rPr>
          <w:rFonts w:cs="Calibri"/>
          <w:b/>
          <w:noProof/>
        </w:rPr>
        <w:t>105</w:t>
      </w:r>
      <w:r w:rsidRPr="001E4C88">
        <w:rPr>
          <w:rFonts w:cs="Calibri"/>
          <w:noProof/>
        </w:rPr>
        <w:t>(5): 266-270.</w:t>
      </w:r>
      <w:bookmarkEnd w:id="98"/>
    </w:p>
    <w:p w:rsidR="001E4C88" w:rsidRPr="001E4C88" w:rsidRDefault="001E4C88" w:rsidP="001E4C88">
      <w:pPr>
        <w:spacing w:after="0" w:line="240" w:lineRule="auto"/>
        <w:ind w:left="720" w:hanging="720"/>
        <w:rPr>
          <w:rFonts w:cs="Calibri"/>
          <w:noProof/>
        </w:rPr>
      </w:pPr>
      <w:bookmarkStart w:id="99" w:name="_ENREF_74"/>
      <w:r w:rsidRPr="001E4C88">
        <w:rPr>
          <w:rFonts w:cs="Calibri"/>
          <w:noProof/>
        </w:rPr>
        <w:t xml:space="preserve">Jenkins, J.C., D.C. Chojnacky, L.S. Heath and R.A. Birdsey 2003. "National scale biomass estimators for United States tree species   " </w:t>
      </w:r>
      <w:r w:rsidRPr="001E4C88">
        <w:rPr>
          <w:rFonts w:cs="Calibri"/>
          <w:noProof/>
          <w:u w:val="single"/>
        </w:rPr>
        <w:t>Forest Science</w:t>
      </w:r>
      <w:r w:rsidRPr="001E4C88">
        <w:rPr>
          <w:rFonts w:cs="Calibri"/>
          <w:noProof/>
        </w:rPr>
        <w:t xml:space="preserve"> </w:t>
      </w:r>
      <w:r w:rsidRPr="001E4C88">
        <w:rPr>
          <w:rFonts w:cs="Calibri"/>
          <w:b/>
          <w:noProof/>
        </w:rPr>
        <w:t>49</w:t>
      </w:r>
      <w:r w:rsidRPr="001E4C88">
        <w:rPr>
          <w:rFonts w:cs="Calibri"/>
          <w:noProof/>
        </w:rPr>
        <w:t>: 12-35.</w:t>
      </w:r>
      <w:bookmarkEnd w:id="99"/>
    </w:p>
    <w:p w:rsidR="001E4C88" w:rsidRPr="001E4C88" w:rsidRDefault="001E4C88" w:rsidP="001E4C88">
      <w:pPr>
        <w:spacing w:after="0" w:line="240" w:lineRule="auto"/>
        <w:ind w:left="720" w:hanging="720"/>
        <w:rPr>
          <w:rFonts w:cs="Calibri"/>
          <w:noProof/>
        </w:rPr>
      </w:pPr>
      <w:bookmarkStart w:id="100" w:name="_ENREF_75"/>
      <w:r w:rsidRPr="001E4C88">
        <w:rPr>
          <w:rFonts w:cs="Calibri"/>
          <w:noProof/>
        </w:rPr>
        <w:t xml:space="preserve">Kauffman, B.W. and W.K. Clatterbuck 2006. Forest management strategies to minimize the impact of gypsy moth. </w:t>
      </w:r>
      <w:r w:rsidRPr="001E4C88">
        <w:rPr>
          <w:rFonts w:cs="Calibri"/>
          <w:noProof/>
          <w:u w:val="single"/>
        </w:rPr>
        <w:t>Professional Hardwood Notes</w:t>
      </w:r>
      <w:r w:rsidRPr="001E4C88">
        <w:rPr>
          <w:rFonts w:cs="Calibri"/>
          <w:noProof/>
        </w:rPr>
        <w:t xml:space="preserve">. J. W. Stringer and W. K. Clatterbuck, University of Kentucky, Cooperative Extension Service, Lexington. </w:t>
      </w:r>
      <w:r w:rsidRPr="001E4C88">
        <w:rPr>
          <w:rFonts w:cs="Calibri"/>
          <w:b/>
          <w:noProof/>
        </w:rPr>
        <w:t xml:space="preserve">FOR-102: </w:t>
      </w:r>
      <w:r w:rsidRPr="001E4C88">
        <w:rPr>
          <w:rFonts w:cs="Calibri"/>
          <w:noProof/>
        </w:rPr>
        <w:t>8.</w:t>
      </w:r>
      <w:bookmarkEnd w:id="100"/>
    </w:p>
    <w:p w:rsidR="001E4C88" w:rsidRPr="001E4C88" w:rsidRDefault="001E4C88" w:rsidP="001E4C88">
      <w:pPr>
        <w:spacing w:after="0" w:line="240" w:lineRule="auto"/>
        <w:ind w:left="720" w:hanging="720"/>
        <w:rPr>
          <w:rFonts w:cs="Calibri"/>
          <w:noProof/>
        </w:rPr>
      </w:pPr>
      <w:bookmarkStart w:id="101" w:name="_ENREF_76"/>
      <w:r w:rsidRPr="001E4C88">
        <w:rPr>
          <w:rFonts w:cs="Calibri"/>
          <w:noProof/>
        </w:rPr>
        <w:t xml:space="preserve">Kingsbury, P. 2008. Connecting the Cumberlands: Tennessee’s Big Conservation Success for People and Nature. </w:t>
      </w:r>
      <w:r w:rsidRPr="001E4C88">
        <w:rPr>
          <w:rFonts w:cs="Calibri"/>
          <w:noProof/>
          <w:u w:val="single"/>
        </w:rPr>
        <w:t>Tennessee Conservationist</w:t>
      </w:r>
      <w:r w:rsidRPr="001E4C88">
        <w:rPr>
          <w:rFonts w:cs="Calibri"/>
          <w:b/>
          <w:noProof/>
        </w:rPr>
        <w:t xml:space="preserve">: </w:t>
      </w:r>
      <w:r w:rsidRPr="001E4C88">
        <w:rPr>
          <w:rFonts w:cs="Calibri"/>
          <w:noProof/>
        </w:rPr>
        <w:t>18-23.</w:t>
      </w:r>
      <w:bookmarkEnd w:id="101"/>
    </w:p>
    <w:p w:rsidR="001E4C88" w:rsidRPr="001E4C88" w:rsidRDefault="001E4C88" w:rsidP="001E4C88">
      <w:pPr>
        <w:spacing w:after="0" w:line="240" w:lineRule="auto"/>
        <w:ind w:left="720" w:hanging="720"/>
        <w:rPr>
          <w:rFonts w:cs="Calibri"/>
          <w:noProof/>
        </w:rPr>
      </w:pPr>
      <w:bookmarkStart w:id="102" w:name="_ENREF_77"/>
      <w:r w:rsidRPr="001E4C88">
        <w:rPr>
          <w:rFonts w:cs="Calibri"/>
          <w:noProof/>
        </w:rPr>
        <w:t xml:space="preserve">Kochenderfer, J.D., S.M. Zedaker, J.E. Johnson, D.W. Smith and G.W. Miller 2001. "Herbicide Hardwood Crop Tree Release in Central West Virginia." </w:t>
      </w:r>
      <w:r w:rsidRPr="001E4C88">
        <w:rPr>
          <w:rFonts w:cs="Calibri"/>
          <w:noProof/>
          <w:u w:val="single"/>
        </w:rPr>
        <w:t>Northern Journal of Applied Forestry</w:t>
      </w:r>
      <w:r w:rsidRPr="001E4C88">
        <w:rPr>
          <w:rFonts w:cs="Calibri"/>
          <w:noProof/>
        </w:rPr>
        <w:t xml:space="preserve"> </w:t>
      </w:r>
      <w:r w:rsidRPr="001E4C88">
        <w:rPr>
          <w:rFonts w:cs="Calibri"/>
          <w:b/>
          <w:noProof/>
        </w:rPr>
        <w:t>18</w:t>
      </w:r>
      <w:r w:rsidRPr="001E4C88">
        <w:rPr>
          <w:rFonts w:cs="Calibri"/>
          <w:noProof/>
        </w:rPr>
        <w:t>: 46-54.</w:t>
      </w:r>
      <w:bookmarkEnd w:id="102"/>
    </w:p>
    <w:p w:rsidR="001E4C88" w:rsidRPr="001E4C88" w:rsidRDefault="001E4C88" w:rsidP="001E4C88">
      <w:pPr>
        <w:spacing w:after="0" w:line="240" w:lineRule="auto"/>
        <w:ind w:left="720" w:hanging="720"/>
        <w:rPr>
          <w:rFonts w:cs="Calibri"/>
          <w:noProof/>
        </w:rPr>
      </w:pPr>
      <w:bookmarkStart w:id="103" w:name="_ENREF_78"/>
      <w:r w:rsidRPr="001E4C88">
        <w:rPr>
          <w:rFonts w:cs="Calibri"/>
          <w:noProof/>
        </w:rPr>
        <w:t xml:space="preserve">Kochenderfer, J.N. 1977. "Area in skidroads, truck roads, and landings in the central Appalachians." </w:t>
      </w:r>
      <w:r w:rsidRPr="001E4C88">
        <w:rPr>
          <w:rFonts w:cs="Calibri"/>
          <w:noProof/>
          <w:u w:val="single"/>
        </w:rPr>
        <w:t>Journal of Forestry</w:t>
      </w:r>
      <w:r w:rsidRPr="001E4C88">
        <w:rPr>
          <w:rFonts w:cs="Calibri"/>
          <w:noProof/>
        </w:rPr>
        <w:t xml:space="preserve"> </w:t>
      </w:r>
      <w:r w:rsidRPr="001E4C88">
        <w:rPr>
          <w:rFonts w:cs="Calibri"/>
          <w:b/>
          <w:noProof/>
        </w:rPr>
        <w:t>75</w:t>
      </w:r>
      <w:r w:rsidRPr="001E4C88">
        <w:rPr>
          <w:rFonts w:cs="Calibri"/>
          <w:noProof/>
        </w:rPr>
        <w:t>: 507-508.</w:t>
      </w:r>
      <w:bookmarkEnd w:id="103"/>
    </w:p>
    <w:p w:rsidR="001E4C88" w:rsidRPr="001E4C88" w:rsidRDefault="001E4C88" w:rsidP="001E4C88">
      <w:pPr>
        <w:spacing w:after="0" w:line="240" w:lineRule="auto"/>
        <w:ind w:left="720" w:hanging="720"/>
        <w:rPr>
          <w:rFonts w:cs="Calibri"/>
          <w:noProof/>
        </w:rPr>
      </w:pPr>
      <w:bookmarkStart w:id="104" w:name="_ENREF_79"/>
      <w:r w:rsidRPr="001E4C88">
        <w:rPr>
          <w:rFonts w:cs="Calibri"/>
          <w:noProof/>
        </w:rPr>
        <w:t>Kochenderfer, J.N. and G.W. Wendel 1978. Skyline Harvesting in Appalachia. Res. Pap. NE-400. Broomall, PA: U.S. Department of Agriculture, Forest Service, Northeastern Forest Experiment Station. 9p.</w:t>
      </w:r>
      <w:bookmarkEnd w:id="104"/>
    </w:p>
    <w:p w:rsidR="001E4C88" w:rsidRPr="001E4C88" w:rsidRDefault="001E4C88" w:rsidP="001E4C88">
      <w:pPr>
        <w:spacing w:after="0" w:line="240" w:lineRule="auto"/>
        <w:ind w:left="720" w:hanging="720"/>
        <w:rPr>
          <w:rFonts w:cs="Calibri"/>
          <w:noProof/>
        </w:rPr>
      </w:pPr>
      <w:bookmarkStart w:id="105" w:name="_ENREF_80"/>
      <w:r w:rsidRPr="001E4C88">
        <w:rPr>
          <w:rFonts w:cs="Calibri"/>
          <w:noProof/>
        </w:rPr>
        <w:t>Lamson, N.I., H.C. Smith and G.W. Miller 1984. Residual stocking not seriously reduced by logging damage from thinning of West Virginia cherry-maple stands.   Res. Pap. NE-541. Broomall, PA: U.S. Department of Agriculture, Forest Service, Northeastern Forest Experiement Station. 7p.</w:t>
      </w:r>
      <w:bookmarkEnd w:id="105"/>
    </w:p>
    <w:p w:rsidR="001E4C88" w:rsidRPr="001E4C88" w:rsidRDefault="001E4C88" w:rsidP="001E4C88">
      <w:pPr>
        <w:spacing w:after="0" w:line="240" w:lineRule="auto"/>
        <w:ind w:left="720" w:hanging="720"/>
        <w:rPr>
          <w:rFonts w:cs="Calibri"/>
          <w:noProof/>
        </w:rPr>
      </w:pPr>
      <w:bookmarkStart w:id="106" w:name="_ENREF_81"/>
      <w:r w:rsidRPr="001E4C88">
        <w:rPr>
          <w:rFonts w:cs="Calibri"/>
          <w:noProof/>
        </w:rPr>
        <w:t>Lamson, N.I., H.C. Smith, A.W. Perkey and S.M. Brock 1990. Crown release increases growth of crop trees. NE-RP-635. Radnor, PA: US. Department of Agriculture, Forest Service, Northeastern Forest Experiment Station. 8 p.</w:t>
      </w:r>
      <w:bookmarkEnd w:id="106"/>
    </w:p>
    <w:p w:rsidR="001E4C88" w:rsidRPr="001E4C88" w:rsidRDefault="001E4C88" w:rsidP="001E4C88">
      <w:pPr>
        <w:spacing w:after="0" w:line="240" w:lineRule="auto"/>
        <w:ind w:left="720" w:hanging="720"/>
        <w:rPr>
          <w:rFonts w:cs="Calibri"/>
          <w:noProof/>
        </w:rPr>
      </w:pPr>
      <w:bookmarkStart w:id="107" w:name="_ENREF_82"/>
      <w:r w:rsidRPr="001E4C88">
        <w:rPr>
          <w:rFonts w:cs="Calibri"/>
          <w:noProof/>
        </w:rPr>
        <w:t xml:space="preserve">LeDoux, C.B. 2000. "Matching Skidder Size to Wood Harvested to Increase Hardwood Fiber Availability: A Case Study." </w:t>
      </w:r>
      <w:r w:rsidRPr="001E4C88">
        <w:rPr>
          <w:rFonts w:cs="Calibri"/>
          <w:noProof/>
          <w:u w:val="single"/>
        </w:rPr>
        <w:t>Forest Products Journal</w:t>
      </w:r>
      <w:r w:rsidRPr="001E4C88">
        <w:rPr>
          <w:rFonts w:cs="Calibri"/>
          <w:noProof/>
        </w:rPr>
        <w:t xml:space="preserve"> </w:t>
      </w:r>
      <w:r w:rsidRPr="001E4C88">
        <w:rPr>
          <w:rFonts w:cs="Calibri"/>
          <w:b/>
          <w:noProof/>
        </w:rPr>
        <w:t>50</w:t>
      </w:r>
      <w:r w:rsidRPr="001E4C88">
        <w:rPr>
          <w:rFonts w:cs="Calibri"/>
          <w:noProof/>
        </w:rPr>
        <w:t>(10): 86-90.</w:t>
      </w:r>
      <w:bookmarkEnd w:id="107"/>
    </w:p>
    <w:p w:rsidR="001E4C88" w:rsidRPr="001E4C88" w:rsidRDefault="001E4C88" w:rsidP="001E4C88">
      <w:pPr>
        <w:spacing w:after="0" w:line="240" w:lineRule="auto"/>
        <w:ind w:left="720" w:hanging="720"/>
        <w:rPr>
          <w:rFonts w:cs="Calibri"/>
          <w:noProof/>
        </w:rPr>
      </w:pPr>
      <w:bookmarkStart w:id="108" w:name="_ENREF_83"/>
      <w:r w:rsidRPr="001E4C88">
        <w:rPr>
          <w:rFonts w:cs="Calibri"/>
          <w:noProof/>
        </w:rPr>
        <w:t xml:space="preserve">LeDoux, C.B. 2007. </w:t>
      </w:r>
      <w:r w:rsidRPr="001E4C88">
        <w:rPr>
          <w:rFonts w:cs="Calibri"/>
          <w:noProof/>
          <w:u w:val="single"/>
        </w:rPr>
        <w:t>Impact of Alternative Harvesting Technologies on Thinning Entry and Optimal Rotation Age for Eastern Hardwoods</w:t>
      </w:r>
      <w:r w:rsidRPr="001E4C88">
        <w:rPr>
          <w:rFonts w:cs="Calibri"/>
          <w:noProof/>
        </w:rPr>
        <w:t>. In: Buckley, David S.; Clatterbuck, Wayne K. eds.  2007. Proceedings, 15th central hardwood forest conference. e-Gen. Tech. Rep. SRSÂ–101. U.S. Department of Agriculture, Forest Service, Southern Research Station: 122-128.</w:t>
      </w:r>
      <w:bookmarkEnd w:id="108"/>
    </w:p>
    <w:p w:rsidR="001E4C88" w:rsidRPr="001E4C88" w:rsidRDefault="001E4C88" w:rsidP="001E4C88">
      <w:pPr>
        <w:spacing w:after="0" w:line="240" w:lineRule="auto"/>
        <w:ind w:left="720" w:hanging="720"/>
        <w:rPr>
          <w:rFonts w:cs="Calibri"/>
          <w:noProof/>
        </w:rPr>
      </w:pPr>
      <w:bookmarkStart w:id="109" w:name="_ENREF_84"/>
      <w:r w:rsidRPr="001E4C88">
        <w:rPr>
          <w:rFonts w:cs="Calibri"/>
          <w:noProof/>
        </w:rPr>
        <w:lastRenderedPageBreak/>
        <w:t>LeDoux, C.B., B. Gopalakrishnan and R.S. Pabba 2003. An expert system for estimating production rates and costs for hardwood group-selection harvests. In: Van Sambeek, J. W.; Dawson, Jeffery O.; Ponder Jr., Felix; Loewenstein, Edward F.; Fralish, James S., eds. Proceedings of the 13th Central Hardwood Forest Conference; Gen. Tech. Rep. NC-234. St. Paul, MN: U.S. Department of Agriculture, Forest Service, North Central Research Station: 390-396.</w:t>
      </w:r>
      <w:bookmarkEnd w:id="109"/>
    </w:p>
    <w:p w:rsidR="001E4C88" w:rsidRPr="001E4C88" w:rsidRDefault="001E4C88" w:rsidP="001E4C88">
      <w:pPr>
        <w:spacing w:after="0" w:line="240" w:lineRule="auto"/>
        <w:ind w:left="720" w:hanging="720"/>
        <w:rPr>
          <w:rFonts w:cs="Calibri"/>
          <w:noProof/>
        </w:rPr>
      </w:pPr>
      <w:bookmarkStart w:id="110" w:name="_ENREF_85"/>
      <w:r w:rsidRPr="001E4C88">
        <w:rPr>
          <w:rFonts w:cs="Calibri"/>
          <w:noProof/>
        </w:rPr>
        <w:t xml:space="preserve">LeDoux, C.B. and G.W. Miller 2008. </w:t>
      </w:r>
      <w:r w:rsidRPr="001E4C88">
        <w:rPr>
          <w:rFonts w:cs="Calibri"/>
          <w:noProof/>
          <w:u w:val="single"/>
        </w:rPr>
        <w:t>Exploring the optimal economic timing for crop tree release treatments in hardwoods: results from simulation</w:t>
      </w:r>
      <w:r w:rsidRPr="001E4C88">
        <w:rPr>
          <w:rFonts w:cs="Calibri"/>
          <w:noProof/>
        </w:rPr>
        <w:t>. In: Jacobs, Douglass F.; Michler, Charles H., eds. 2008. Proceedings, 16th Central Hardwood Forest Conference; 2008 April 8-9; West Lafayette, IN. Gen. Tech. Rep. NRS-P-24. Newtown Square, PA: U.S. Department of Agriculture, Forest Service, Northern Research Station: 265-274.</w:t>
      </w:r>
      <w:bookmarkEnd w:id="110"/>
    </w:p>
    <w:p w:rsidR="001E4C88" w:rsidRPr="001E4C88" w:rsidRDefault="001E4C88" w:rsidP="001E4C88">
      <w:pPr>
        <w:spacing w:after="0" w:line="240" w:lineRule="auto"/>
        <w:ind w:left="720" w:hanging="720"/>
        <w:rPr>
          <w:rFonts w:cs="Calibri"/>
          <w:noProof/>
        </w:rPr>
      </w:pPr>
      <w:bookmarkStart w:id="111" w:name="_ENREF_86"/>
      <w:r w:rsidRPr="001E4C88">
        <w:rPr>
          <w:rFonts w:cs="Calibri"/>
          <w:noProof/>
        </w:rPr>
        <w:t xml:space="preserve">Lemoine, D., J.P. Evans and C. Ken Smith 2006. "A Landscape-Level Geographic Information System (GIS) Analysis of Streamside Management Zones on the Cumberland Plateau." </w:t>
      </w:r>
      <w:r w:rsidRPr="001E4C88">
        <w:rPr>
          <w:rFonts w:cs="Calibri"/>
          <w:noProof/>
          <w:u w:val="single"/>
        </w:rPr>
        <w:t>Journal of Forestry</w:t>
      </w:r>
      <w:r w:rsidRPr="001E4C88">
        <w:rPr>
          <w:rFonts w:cs="Calibri"/>
          <w:noProof/>
        </w:rPr>
        <w:t xml:space="preserve"> </w:t>
      </w:r>
      <w:r w:rsidRPr="001E4C88">
        <w:rPr>
          <w:rFonts w:cs="Calibri"/>
          <w:b/>
          <w:noProof/>
        </w:rPr>
        <w:t>104</w:t>
      </w:r>
      <w:r w:rsidRPr="001E4C88">
        <w:rPr>
          <w:rFonts w:cs="Calibri"/>
          <w:noProof/>
        </w:rPr>
        <w:t>: 125-131.</w:t>
      </w:r>
      <w:bookmarkEnd w:id="111"/>
    </w:p>
    <w:p w:rsidR="001E4C88" w:rsidRPr="001E4C88" w:rsidRDefault="001E4C88" w:rsidP="001E4C88">
      <w:pPr>
        <w:spacing w:after="0" w:line="240" w:lineRule="auto"/>
        <w:ind w:left="720" w:hanging="720"/>
        <w:rPr>
          <w:rFonts w:cs="Calibri"/>
          <w:noProof/>
        </w:rPr>
      </w:pPr>
      <w:bookmarkStart w:id="112" w:name="_ENREF_87"/>
      <w:r w:rsidRPr="001E4C88">
        <w:rPr>
          <w:rFonts w:cs="Calibri"/>
          <w:noProof/>
        </w:rPr>
        <w:t xml:space="preserve">Li, Y., J. Wang, G.W. Miller and J. McNeel 2006. "Production economics of harvesting small-diameter hardwood stands in central Appalachia." </w:t>
      </w:r>
      <w:r w:rsidRPr="001E4C88">
        <w:rPr>
          <w:rFonts w:cs="Calibri"/>
          <w:noProof/>
          <w:u w:val="single"/>
        </w:rPr>
        <w:t>Forest Products Journal</w:t>
      </w:r>
      <w:r w:rsidRPr="001E4C88">
        <w:rPr>
          <w:rFonts w:cs="Calibri"/>
          <w:noProof/>
        </w:rPr>
        <w:t xml:space="preserve"> </w:t>
      </w:r>
      <w:r w:rsidRPr="001E4C88">
        <w:rPr>
          <w:rFonts w:cs="Calibri"/>
          <w:b/>
          <w:noProof/>
        </w:rPr>
        <w:t>56</w:t>
      </w:r>
      <w:r w:rsidRPr="001E4C88">
        <w:rPr>
          <w:rFonts w:cs="Calibri"/>
          <w:noProof/>
        </w:rPr>
        <w:t>(3): 81-86.</w:t>
      </w:r>
      <w:bookmarkEnd w:id="112"/>
    </w:p>
    <w:p w:rsidR="001E4C88" w:rsidRPr="001E4C88" w:rsidRDefault="001E4C88" w:rsidP="001E4C88">
      <w:pPr>
        <w:spacing w:after="0" w:line="240" w:lineRule="auto"/>
        <w:ind w:left="720" w:hanging="720"/>
        <w:rPr>
          <w:rFonts w:cs="Calibri"/>
          <w:noProof/>
        </w:rPr>
      </w:pPr>
      <w:bookmarkStart w:id="113" w:name="_ENREF_88"/>
      <w:r w:rsidRPr="001E4C88">
        <w:rPr>
          <w:rFonts w:cs="Calibri"/>
          <w:noProof/>
        </w:rPr>
        <w:t xml:space="preserve">Loftis, D.L. 1990. "A Shelterwood Method for Regenerating Red Oak in the Southern Appalachians." </w:t>
      </w:r>
      <w:r w:rsidRPr="001E4C88">
        <w:rPr>
          <w:rFonts w:cs="Calibri"/>
          <w:noProof/>
          <w:u w:val="single"/>
        </w:rPr>
        <w:t>Forest Science</w:t>
      </w:r>
      <w:r w:rsidRPr="001E4C88">
        <w:rPr>
          <w:rFonts w:cs="Calibri"/>
          <w:noProof/>
        </w:rPr>
        <w:t xml:space="preserve"> </w:t>
      </w:r>
      <w:r w:rsidRPr="001E4C88">
        <w:rPr>
          <w:rFonts w:cs="Calibri"/>
          <w:b/>
          <w:noProof/>
        </w:rPr>
        <w:t>36</w:t>
      </w:r>
      <w:r w:rsidRPr="001E4C88">
        <w:rPr>
          <w:rFonts w:cs="Calibri"/>
          <w:noProof/>
        </w:rPr>
        <w:t>: 917-929.</w:t>
      </w:r>
      <w:bookmarkEnd w:id="113"/>
    </w:p>
    <w:p w:rsidR="001E4C88" w:rsidRPr="001E4C88" w:rsidRDefault="001E4C88" w:rsidP="001E4C88">
      <w:pPr>
        <w:spacing w:after="0" w:line="240" w:lineRule="auto"/>
        <w:ind w:left="720" w:hanging="720"/>
        <w:rPr>
          <w:rFonts w:cs="Calibri"/>
          <w:noProof/>
        </w:rPr>
      </w:pPr>
      <w:bookmarkStart w:id="114" w:name="_ENREF_89"/>
      <w:r w:rsidRPr="001E4C88">
        <w:rPr>
          <w:rFonts w:cs="Calibri"/>
          <w:noProof/>
        </w:rPr>
        <w:t xml:space="preserve">McGrath, D.A., J.P. Evans, C.K. Smith, D.G. Haskell, N.W. Pelkey, R.R. Gottfried, . . . E.D. Williams 2004. "Mapping Land-Use Change and Monitoring the Impacts of Hardwood-to-Pine Conversion on the Southern Cumberland Plateau in Tennessee." </w:t>
      </w:r>
      <w:r w:rsidRPr="001E4C88">
        <w:rPr>
          <w:rFonts w:cs="Calibri"/>
          <w:noProof/>
          <w:u w:val="single"/>
        </w:rPr>
        <w:t>Earth Interactions</w:t>
      </w:r>
      <w:r w:rsidRPr="001E4C88">
        <w:rPr>
          <w:rFonts w:cs="Calibri"/>
          <w:noProof/>
        </w:rPr>
        <w:t xml:space="preserve"> </w:t>
      </w:r>
      <w:r w:rsidRPr="001E4C88">
        <w:rPr>
          <w:rFonts w:cs="Calibri"/>
          <w:b/>
          <w:noProof/>
        </w:rPr>
        <w:t>8</w:t>
      </w:r>
      <w:r w:rsidRPr="001E4C88">
        <w:rPr>
          <w:rFonts w:cs="Calibri"/>
          <w:noProof/>
        </w:rPr>
        <w:t>(9): 1-24.</w:t>
      </w:r>
      <w:bookmarkEnd w:id="114"/>
    </w:p>
    <w:p w:rsidR="001E4C88" w:rsidRPr="001E4C88" w:rsidRDefault="001E4C88" w:rsidP="001E4C88">
      <w:pPr>
        <w:spacing w:after="0" w:line="240" w:lineRule="auto"/>
        <w:ind w:left="720" w:hanging="720"/>
        <w:rPr>
          <w:rFonts w:cs="Calibri"/>
          <w:noProof/>
        </w:rPr>
      </w:pPr>
      <w:bookmarkStart w:id="115" w:name="_ENREF_90"/>
      <w:r w:rsidRPr="001E4C88">
        <w:rPr>
          <w:rFonts w:cs="Calibri"/>
          <w:noProof/>
        </w:rPr>
        <w:t xml:space="preserve">McShea, W. and W.M. Healy, Eds. (2002). </w:t>
      </w:r>
      <w:r w:rsidRPr="001E4C88">
        <w:rPr>
          <w:rFonts w:cs="Calibri"/>
          <w:noProof/>
          <w:u w:val="single"/>
        </w:rPr>
        <w:t>Oak forest ecosystems: ecology and management for wildlife</w:t>
      </w:r>
      <w:r w:rsidRPr="001E4C88">
        <w:rPr>
          <w:rFonts w:cs="Calibri"/>
          <w:noProof/>
        </w:rPr>
        <w:t>. Johns Hopkins University Press, Baltimore, Maryland, USA.</w:t>
      </w:r>
      <w:bookmarkEnd w:id="115"/>
    </w:p>
    <w:p w:rsidR="001E4C88" w:rsidRPr="001E4C88" w:rsidRDefault="001E4C88" w:rsidP="001E4C88">
      <w:pPr>
        <w:spacing w:after="0" w:line="240" w:lineRule="auto"/>
        <w:ind w:left="720" w:hanging="720"/>
        <w:rPr>
          <w:rFonts w:cs="Calibri"/>
          <w:noProof/>
        </w:rPr>
      </w:pPr>
      <w:bookmarkStart w:id="116" w:name="_ENREF_91"/>
      <w:r w:rsidRPr="001E4C88">
        <w:rPr>
          <w:rFonts w:cs="Calibri"/>
          <w:noProof/>
        </w:rPr>
        <w:t xml:space="preserve">McShea, W., W.M. Healy, P. Devers, T. Fearer, F.H. Koch, D. Stauffer and J. Waldon 2007. "Forestry matters: decline of oaks will impact wildlife in hardwood forests." </w:t>
      </w:r>
      <w:r w:rsidRPr="001E4C88">
        <w:rPr>
          <w:rFonts w:cs="Calibri"/>
          <w:noProof/>
          <w:u w:val="single"/>
        </w:rPr>
        <w:t>Journal of Wildlife Management</w:t>
      </w:r>
      <w:r w:rsidRPr="001E4C88">
        <w:rPr>
          <w:rFonts w:cs="Calibri"/>
          <w:noProof/>
        </w:rPr>
        <w:t xml:space="preserve"> </w:t>
      </w:r>
      <w:r w:rsidRPr="001E4C88">
        <w:rPr>
          <w:rFonts w:cs="Calibri"/>
          <w:b/>
          <w:noProof/>
        </w:rPr>
        <w:t>71</w:t>
      </w:r>
      <w:r w:rsidRPr="001E4C88">
        <w:rPr>
          <w:rFonts w:cs="Calibri"/>
          <w:noProof/>
        </w:rPr>
        <w:t>(5): 1717-1728.</w:t>
      </w:r>
      <w:bookmarkEnd w:id="116"/>
    </w:p>
    <w:p w:rsidR="001E4C88" w:rsidRPr="001E4C88" w:rsidRDefault="001E4C88" w:rsidP="001E4C88">
      <w:pPr>
        <w:spacing w:after="0" w:line="240" w:lineRule="auto"/>
        <w:ind w:left="720" w:hanging="720"/>
        <w:rPr>
          <w:rFonts w:cs="Calibri"/>
          <w:noProof/>
        </w:rPr>
      </w:pPr>
      <w:bookmarkStart w:id="117" w:name="_ENREF_92"/>
      <w:r w:rsidRPr="001E4C88">
        <w:rPr>
          <w:rFonts w:cs="Calibri"/>
          <w:noProof/>
        </w:rPr>
        <w:t xml:space="preserve">McWilliams, W.H., R.A. O’Brien and G.C.R. L.Waddell 2002. Distribution and abundance of oaks in North America. </w:t>
      </w:r>
      <w:r w:rsidRPr="001E4C88">
        <w:rPr>
          <w:rFonts w:cs="Calibri"/>
          <w:noProof/>
          <w:u w:val="single"/>
        </w:rPr>
        <w:t>Oak forest ecosystems: ecology and management for wildlife</w:t>
      </w:r>
      <w:r w:rsidRPr="001E4C88">
        <w:rPr>
          <w:rFonts w:cs="Calibri"/>
          <w:noProof/>
        </w:rPr>
        <w:t>. W. J. McShea and W. M. Healy, Johns Hopkins University Press, Baltimore, Maryland, USA</w:t>
      </w:r>
      <w:r w:rsidRPr="001E4C88">
        <w:rPr>
          <w:rFonts w:cs="Calibri"/>
          <w:b/>
          <w:noProof/>
        </w:rPr>
        <w:t xml:space="preserve">: </w:t>
      </w:r>
      <w:r w:rsidRPr="001E4C88">
        <w:rPr>
          <w:rFonts w:cs="Calibri"/>
          <w:noProof/>
        </w:rPr>
        <w:t>13-33.</w:t>
      </w:r>
      <w:bookmarkEnd w:id="117"/>
    </w:p>
    <w:p w:rsidR="001E4C88" w:rsidRPr="001E4C88" w:rsidRDefault="001E4C88" w:rsidP="001E4C88">
      <w:pPr>
        <w:spacing w:after="0" w:line="240" w:lineRule="auto"/>
        <w:ind w:left="720" w:hanging="720"/>
        <w:rPr>
          <w:rFonts w:cs="Calibri"/>
          <w:noProof/>
        </w:rPr>
      </w:pPr>
      <w:bookmarkStart w:id="118" w:name="_ENREF_93"/>
      <w:r w:rsidRPr="001E4C88">
        <w:rPr>
          <w:rFonts w:cs="Calibri"/>
          <w:noProof/>
        </w:rPr>
        <w:t>Miles, P.W. and W.B. Smith 2009. "Specific gravity and other properties of wood and bark for 156 tree species found in North America. Res. Note NRS-38. Newtown Square, PA: U.S. Department of Agriculture, Forest Service, Northern Research Station. 35 p."</w:t>
      </w:r>
      <w:bookmarkEnd w:id="118"/>
    </w:p>
    <w:p w:rsidR="001E4C88" w:rsidRPr="001E4C88" w:rsidRDefault="001E4C88" w:rsidP="001E4C88">
      <w:pPr>
        <w:spacing w:after="0" w:line="240" w:lineRule="auto"/>
        <w:ind w:left="720" w:hanging="720"/>
        <w:rPr>
          <w:rFonts w:cs="Calibri"/>
          <w:noProof/>
        </w:rPr>
      </w:pPr>
      <w:bookmarkStart w:id="119" w:name="_ENREF_94"/>
      <w:r w:rsidRPr="001E4C88">
        <w:rPr>
          <w:rFonts w:cs="Calibri"/>
          <w:noProof/>
        </w:rPr>
        <w:t>Miller, G.W. 1993. "Financial aspects of partial cutting practices in central Appalachian hardwoods. Res. Pap. NE-673. Radnor, PA: U.S. Department of Agriculture, Forest Service, Northeastern Forest Experiment Station. 9 p."</w:t>
      </w:r>
      <w:bookmarkEnd w:id="119"/>
    </w:p>
    <w:p w:rsidR="001E4C88" w:rsidRPr="001E4C88" w:rsidRDefault="001E4C88" w:rsidP="001E4C88">
      <w:pPr>
        <w:spacing w:after="0" w:line="240" w:lineRule="auto"/>
        <w:ind w:left="720" w:hanging="720"/>
        <w:rPr>
          <w:rFonts w:cs="Calibri"/>
          <w:noProof/>
        </w:rPr>
      </w:pPr>
      <w:bookmarkStart w:id="120" w:name="_ENREF_95"/>
      <w:r w:rsidRPr="001E4C88">
        <w:rPr>
          <w:rFonts w:cs="Calibri"/>
          <w:noProof/>
        </w:rPr>
        <w:t xml:space="preserve">Miller, G.W. 1997. </w:t>
      </w:r>
      <w:r w:rsidRPr="001E4C88">
        <w:rPr>
          <w:rFonts w:cs="Calibri"/>
          <w:noProof/>
          <w:u w:val="single"/>
        </w:rPr>
        <w:t>Effect of crown growing space and age on the growth of northern red oak</w:t>
      </w:r>
      <w:r w:rsidRPr="001E4C88">
        <w:rPr>
          <w:rFonts w:cs="Calibri"/>
          <w:noProof/>
        </w:rPr>
        <w:t>. In: Spiecker, H.; Rogers, R.; Somogyi, Z., comps. IUFRO Proceedings: advances in research in intermediate oak stands; 1997 July 27-30; Freiburg, Germany. Freiburg, Germany: University of Freiburg: 140-159.</w:t>
      </w:r>
      <w:bookmarkEnd w:id="120"/>
    </w:p>
    <w:p w:rsidR="001E4C88" w:rsidRPr="001E4C88" w:rsidRDefault="001E4C88" w:rsidP="001E4C88">
      <w:pPr>
        <w:spacing w:after="0" w:line="240" w:lineRule="auto"/>
        <w:ind w:left="720" w:hanging="720"/>
        <w:rPr>
          <w:rFonts w:cs="Calibri"/>
          <w:noProof/>
        </w:rPr>
      </w:pPr>
      <w:bookmarkStart w:id="121" w:name="_ENREF_96"/>
      <w:r w:rsidRPr="001E4C88">
        <w:rPr>
          <w:rFonts w:cs="Calibri"/>
          <w:noProof/>
        </w:rPr>
        <w:t xml:space="preserve">Miller, G.W. 2000. "Effect of Crown Growing Space on the Development of Young Hardwood Crop Trees." </w:t>
      </w:r>
      <w:r w:rsidRPr="001E4C88">
        <w:rPr>
          <w:rFonts w:cs="Calibri"/>
          <w:noProof/>
          <w:u w:val="single"/>
        </w:rPr>
        <w:t>Northern Journal of Applied Forestry</w:t>
      </w:r>
      <w:r w:rsidRPr="001E4C88">
        <w:rPr>
          <w:rFonts w:cs="Calibri"/>
          <w:noProof/>
        </w:rPr>
        <w:t xml:space="preserve"> </w:t>
      </w:r>
      <w:r w:rsidRPr="001E4C88">
        <w:rPr>
          <w:rFonts w:cs="Calibri"/>
          <w:b/>
          <w:noProof/>
        </w:rPr>
        <w:t>17</w:t>
      </w:r>
      <w:r w:rsidRPr="001E4C88">
        <w:rPr>
          <w:rFonts w:cs="Calibri"/>
          <w:noProof/>
        </w:rPr>
        <w:t>: 25-35.</w:t>
      </w:r>
      <w:bookmarkEnd w:id="121"/>
    </w:p>
    <w:p w:rsidR="001E4C88" w:rsidRPr="001E4C88" w:rsidRDefault="001E4C88" w:rsidP="001E4C88">
      <w:pPr>
        <w:spacing w:after="0" w:line="240" w:lineRule="auto"/>
        <w:ind w:left="720" w:hanging="720"/>
        <w:rPr>
          <w:rFonts w:cs="Calibri"/>
          <w:noProof/>
        </w:rPr>
      </w:pPr>
      <w:bookmarkStart w:id="122" w:name="_ENREF_97"/>
      <w:r w:rsidRPr="001E4C88">
        <w:rPr>
          <w:rFonts w:cs="Calibri"/>
          <w:noProof/>
        </w:rPr>
        <w:t xml:space="preserve">Miller, G.W. and J.N. Kochenderfer 1998. "Maintaining species diversity in the central Appalachians." </w:t>
      </w:r>
      <w:r w:rsidRPr="001E4C88">
        <w:rPr>
          <w:rFonts w:cs="Calibri"/>
          <w:noProof/>
          <w:u w:val="single"/>
        </w:rPr>
        <w:t>Journal of Forestry</w:t>
      </w:r>
      <w:r w:rsidRPr="001E4C88">
        <w:rPr>
          <w:rFonts w:cs="Calibri"/>
          <w:noProof/>
        </w:rPr>
        <w:t xml:space="preserve"> </w:t>
      </w:r>
      <w:r w:rsidRPr="001E4C88">
        <w:rPr>
          <w:rFonts w:cs="Calibri"/>
          <w:b/>
          <w:noProof/>
        </w:rPr>
        <w:t>96</w:t>
      </w:r>
      <w:r w:rsidRPr="001E4C88">
        <w:rPr>
          <w:rFonts w:cs="Calibri"/>
          <w:noProof/>
        </w:rPr>
        <w:t>(7): 28-33.</w:t>
      </w:r>
      <w:bookmarkEnd w:id="122"/>
    </w:p>
    <w:p w:rsidR="001E4C88" w:rsidRPr="001E4C88" w:rsidRDefault="001E4C88" w:rsidP="001E4C88">
      <w:pPr>
        <w:spacing w:after="0" w:line="240" w:lineRule="auto"/>
        <w:ind w:left="720" w:hanging="720"/>
        <w:rPr>
          <w:rFonts w:cs="Calibri"/>
          <w:noProof/>
        </w:rPr>
      </w:pPr>
      <w:bookmarkStart w:id="123" w:name="_ENREF_98"/>
      <w:r w:rsidRPr="001E4C88">
        <w:rPr>
          <w:rFonts w:cs="Calibri"/>
          <w:noProof/>
        </w:rPr>
        <w:t>Miller, G.W., N.I. Lamson and S.M. Brock 1984. Logging damage associated with thinning central Appalachian hardwood stands with a wheeled skidder.</w:t>
      </w:r>
      <w:r w:rsidRPr="001E4C88">
        <w:rPr>
          <w:rFonts w:ascii="Times New Roman" w:hAnsi="Times New Roman"/>
          <w:noProof/>
        </w:rPr>
        <w:t xml:space="preserve">  </w:t>
      </w:r>
      <w:r w:rsidRPr="001E4C88">
        <w:rPr>
          <w:rFonts w:cs="Calibri"/>
          <w:noProof/>
        </w:rPr>
        <w:t>In: Peters, Penn A.; Luchok, John., eds.; Proceedings, mountain logging symposium; 1984 June 5-7; Morgantown, WV: West Virginia University: 125-131.</w:t>
      </w:r>
      <w:bookmarkEnd w:id="123"/>
    </w:p>
    <w:p w:rsidR="001E4C88" w:rsidRPr="001E4C88" w:rsidRDefault="001E4C88" w:rsidP="001E4C88">
      <w:pPr>
        <w:spacing w:after="0" w:line="240" w:lineRule="auto"/>
        <w:ind w:left="720" w:hanging="720"/>
        <w:rPr>
          <w:rFonts w:cs="Calibri"/>
          <w:noProof/>
        </w:rPr>
      </w:pPr>
      <w:bookmarkStart w:id="124" w:name="_ENREF_99"/>
      <w:r w:rsidRPr="001E4C88">
        <w:rPr>
          <w:rFonts w:cs="Calibri"/>
          <w:noProof/>
        </w:rPr>
        <w:t>Miller, G.W. and H.C. Smith 1991. "Comparing partial cutttng practices in central Appalachian hardwoods.  In: McCormick, Larry H.; Gottschalk, Kurt W., eds. Proceedings, 8th Central Hardwood Forest Conference; 1991 March 4-6; University Park, PA. Gen. Tech. Rep. NE-148. Radnor, PA: U.S. Department of Agriculture, Forest Service, Northeastern Forest Experiment Station: 105-119.".</w:t>
      </w:r>
      <w:bookmarkEnd w:id="124"/>
    </w:p>
    <w:p w:rsidR="001E4C88" w:rsidRPr="001E4C88" w:rsidRDefault="001E4C88" w:rsidP="001E4C88">
      <w:pPr>
        <w:spacing w:after="0" w:line="240" w:lineRule="auto"/>
        <w:ind w:left="720" w:hanging="720"/>
        <w:rPr>
          <w:rFonts w:cs="Calibri"/>
          <w:noProof/>
        </w:rPr>
      </w:pPr>
      <w:bookmarkStart w:id="125" w:name="_ENREF_100"/>
      <w:r w:rsidRPr="001E4C88">
        <w:rPr>
          <w:rFonts w:cs="Calibri"/>
          <w:noProof/>
        </w:rPr>
        <w:lastRenderedPageBreak/>
        <w:t xml:space="preserve">Miller, G.W. and J.W. Stringer 2004. </w:t>
      </w:r>
      <w:r w:rsidRPr="001E4C88">
        <w:rPr>
          <w:rFonts w:cs="Calibri"/>
          <w:noProof/>
          <w:u w:val="single"/>
        </w:rPr>
        <w:t>Effect of Crown Release on Tree Grade and DBH Growth of White Oak Sawtimber in Eastern Kentucky</w:t>
      </w:r>
      <w:r w:rsidRPr="001E4C88">
        <w:rPr>
          <w:rFonts w:cs="Calibri"/>
          <w:noProof/>
        </w:rPr>
        <w:t>. In: Yaussy, Daniel A.; Hix, David M.; Long, Robert P.; Goebel, P. Charles, eds. Proceedings, 14th Central Hardwood Forest Conference; 2004 March 16 19; Wooster, OH. Gen. Tech. Rep. NE-316. Newtown Square, PA: U.S. Department of Agriculture, Forest Service, Northeastern Research Station: 37-44.</w:t>
      </w:r>
      <w:bookmarkEnd w:id="125"/>
    </w:p>
    <w:p w:rsidR="001E4C88" w:rsidRPr="001E4C88" w:rsidRDefault="001E4C88" w:rsidP="001E4C88">
      <w:pPr>
        <w:spacing w:after="0" w:line="240" w:lineRule="auto"/>
        <w:ind w:left="720" w:hanging="720"/>
        <w:rPr>
          <w:rFonts w:cs="Calibri"/>
          <w:noProof/>
        </w:rPr>
      </w:pPr>
      <w:bookmarkStart w:id="126" w:name="_ENREF_101"/>
      <w:r w:rsidRPr="001E4C88">
        <w:rPr>
          <w:rFonts w:cs="Calibri"/>
          <w:noProof/>
        </w:rPr>
        <w:t>Miller, G.W., J.W. Stringer and D.C. Mercker 2007. Technical Guide to Crop Tree Release in Hardwood Forests, Publication PB1774. Knoxville, TN: University of Tennessee Extension. 24 p. [Published with the University of Kentucky Cooperative Extension and Southern Regional Extension Forestry].</w:t>
      </w:r>
      <w:bookmarkEnd w:id="126"/>
    </w:p>
    <w:p w:rsidR="001E4C88" w:rsidRPr="001E4C88" w:rsidRDefault="001E4C88" w:rsidP="001E4C88">
      <w:pPr>
        <w:spacing w:after="0" w:line="240" w:lineRule="auto"/>
        <w:ind w:left="720" w:hanging="720"/>
        <w:rPr>
          <w:rFonts w:cs="Calibri"/>
          <w:noProof/>
        </w:rPr>
      </w:pPr>
      <w:bookmarkStart w:id="127" w:name="_ENREF_7"/>
      <w:bookmarkStart w:id="128" w:name="_ENREF_102"/>
      <w:r w:rsidRPr="001E4C88">
        <w:rPr>
          <w:rFonts w:cs="Calibri"/>
          <w:noProof/>
        </w:rPr>
        <w:t>Montréal Process Working Group 2009. Criteria and Indicators for the Conservation and Sustainable Management of Temperate and Boreal Forests, 4th Edition. 29p.</w:t>
      </w:r>
      <w:bookmarkEnd w:id="127"/>
    </w:p>
    <w:p w:rsidR="001E4C88" w:rsidRPr="001E4C88" w:rsidRDefault="001E4C88" w:rsidP="001E4C88">
      <w:pPr>
        <w:spacing w:after="0" w:line="240" w:lineRule="auto"/>
        <w:ind w:left="720" w:hanging="720"/>
        <w:rPr>
          <w:rFonts w:cs="Calibri"/>
          <w:noProof/>
        </w:rPr>
      </w:pPr>
      <w:r w:rsidRPr="001E4C88">
        <w:rPr>
          <w:rFonts w:cs="Calibri"/>
          <w:noProof/>
        </w:rPr>
        <w:t>Mooney, S., S. Brown and D. Shoch 2004. Measurement and monitoring costs: Influence of parcel contiguity, carbon variability, project size and timing of measurement events. Arlington, VA, Winrock International, Ecosystem Services Unit</w:t>
      </w:r>
      <w:r w:rsidRPr="001E4C88">
        <w:rPr>
          <w:rFonts w:cs="Calibri"/>
          <w:b/>
          <w:noProof/>
        </w:rPr>
        <w:t xml:space="preserve">: </w:t>
      </w:r>
      <w:r w:rsidRPr="001E4C88">
        <w:rPr>
          <w:rFonts w:cs="Calibri"/>
          <w:noProof/>
        </w:rPr>
        <w:t>20.</w:t>
      </w:r>
      <w:bookmarkEnd w:id="128"/>
    </w:p>
    <w:p w:rsidR="001E4C88" w:rsidRPr="001E4C88" w:rsidRDefault="001E4C88" w:rsidP="001E4C88">
      <w:pPr>
        <w:spacing w:after="0" w:line="240" w:lineRule="auto"/>
        <w:ind w:left="720" w:hanging="720"/>
        <w:rPr>
          <w:rFonts w:cs="Calibri"/>
          <w:noProof/>
        </w:rPr>
      </w:pPr>
      <w:bookmarkStart w:id="129" w:name="_ENREF_103"/>
      <w:r w:rsidRPr="001E4C88">
        <w:rPr>
          <w:rFonts w:cs="Calibri"/>
          <w:noProof/>
        </w:rPr>
        <w:t xml:space="preserve">Muller, R.N. 1982. "Vegetation patterns in the mixed mesophytic forest of eastern Kentucky." </w:t>
      </w:r>
      <w:r w:rsidRPr="001E4C88">
        <w:rPr>
          <w:rFonts w:cs="Calibri"/>
          <w:noProof/>
          <w:u w:val="single"/>
        </w:rPr>
        <w:t>Ecology</w:t>
      </w:r>
      <w:r w:rsidRPr="001E4C88">
        <w:rPr>
          <w:rFonts w:cs="Calibri"/>
          <w:noProof/>
        </w:rPr>
        <w:t xml:space="preserve"> </w:t>
      </w:r>
      <w:r w:rsidRPr="001E4C88">
        <w:rPr>
          <w:rFonts w:cs="Calibri"/>
          <w:b/>
          <w:noProof/>
        </w:rPr>
        <w:t>63</w:t>
      </w:r>
      <w:r w:rsidRPr="001E4C88">
        <w:rPr>
          <w:rFonts w:cs="Calibri"/>
          <w:noProof/>
        </w:rPr>
        <w:t>: 1901-1917.</w:t>
      </w:r>
      <w:bookmarkEnd w:id="129"/>
    </w:p>
    <w:p w:rsidR="001E4C88" w:rsidRPr="001E4C88" w:rsidRDefault="001E4C88" w:rsidP="001E4C88">
      <w:pPr>
        <w:spacing w:after="0" w:line="240" w:lineRule="auto"/>
        <w:ind w:left="720" w:hanging="720"/>
        <w:rPr>
          <w:rFonts w:cs="Calibri"/>
          <w:noProof/>
        </w:rPr>
      </w:pPr>
      <w:bookmarkStart w:id="130" w:name="_ENREF_104"/>
      <w:r w:rsidRPr="001E4C88">
        <w:rPr>
          <w:rFonts w:cs="Calibri"/>
          <w:noProof/>
        </w:rPr>
        <w:t>Murray, B.C., B.L. Sohngen, A.J. Sommer, B.M. Depro, K.M. Jones, B.A. McCarl, . . . K. Andrasko 2005. Greenhouse Gas Mitigation Potential in U.S. Forestry and Agriculture, EPA-R-05-006. Washington, D.C: U.S. Environmental Protection Agency, Office of Atmospheric Programs. 154p.</w:t>
      </w:r>
      <w:bookmarkEnd w:id="130"/>
    </w:p>
    <w:p w:rsidR="001E4C88" w:rsidRPr="00DD1F88" w:rsidRDefault="001E4C88" w:rsidP="001E4C88">
      <w:pPr>
        <w:spacing w:after="0" w:line="240" w:lineRule="auto"/>
        <w:ind w:left="720" w:hanging="720"/>
        <w:rPr>
          <w:rFonts w:cs="Calibri"/>
          <w:noProof/>
        </w:rPr>
      </w:pPr>
      <w:bookmarkStart w:id="131" w:name="_ENREF_105"/>
      <w:r w:rsidRPr="001E4C88">
        <w:rPr>
          <w:rFonts w:cs="Calibri"/>
          <w:noProof/>
        </w:rPr>
        <w:t xml:space="preserve">NatureServe 2010a. "Cumberlands and Southern Ridge and Valley Ecoregion." Retrieved April 23, 2010, from </w:t>
      </w:r>
      <w:hyperlink r:id="rId25" w:history="1">
        <w:r w:rsidRPr="00DD1F88">
          <w:rPr>
            <w:rStyle w:val="Hyperlink"/>
            <w:rFonts w:cs="Calibri"/>
            <w:noProof/>
          </w:rPr>
          <w:t>http://www.landscope.org/explore/natural_geographies/ecoregions/Cumberlands%20and%20Southern%20Ridge%20and%20Valley/</w:t>
        </w:r>
      </w:hyperlink>
      <w:r w:rsidRPr="00DD1F88">
        <w:rPr>
          <w:rFonts w:cs="Calibri"/>
          <w:noProof/>
        </w:rPr>
        <w:t>.</w:t>
      </w:r>
      <w:bookmarkEnd w:id="131"/>
    </w:p>
    <w:p w:rsidR="001E4C88" w:rsidRPr="001E4C88" w:rsidRDefault="001E4C88" w:rsidP="001E4C88">
      <w:pPr>
        <w:spacing w:after="0" w:line="240" w:lineRule="auto"/>
        <w:ind w:left="720" w:hanging="720"/>
        <w:rPr>
          <w:rFonts w:cs="Calibri"/>
          <w:noProof/>
        </w:rPr>
      </w:pPr>
      <w:bookmarkStart w:id="132" w:name="_ENREF_8"/>
      <w:bookmarkStart w:id="133" w:name="_ENREF_106"/>
      <w:r w:rsidRPr="001E4C88">
        <w:rPr>
          <w:rFonts w:cs="Calibri"/>
          <w:noProof/>
        </w:rPr>
        <w:t xml:space="preserve">NC Division of Forest Resources 2010. "Forest Development Program Prevailing Rates." Retrieved April 4, 2010, from </w:t>
      </w:r>
      <w:hyperlink r:id="rId26" w:history="1">
        <w:r w:rsidRPr="001E4C88">
          <w:rPr>
            <w:rStyle w:val="Hyperlink"/>
            <w:rFonts w:cs="Calibri"/>
            <w:noProof/>
          </w:rPr>
          <w:t>http://www.dfr.state.nc.us/Managing_your_forest/fdp_rates.htm</w:t>
        </w:r>
      </w:hyperlink>
      <w:r w:rsidRPr="001E4C88">
        <w:rPr>
          <w:rFonts w:cs="Calibri"/>
          <w:noProof/>
        </w:rPr>
        <w:t>.</w:t>
      </w:r>
      <w:bookmarkEnd w:id="132"/>
    </w:p>
    <w:p w:rsidR="001E4C88" w:rsidRPr="001E4C88" w:rsidRDefault="001E4C88" w:rsidP="001E4C88">
      <w:pPr>
        <w:spacing w:after="0" w:line="240" w:lineRule="auto"/>
        <w:ind w:left="720" w:hanging="720"/>
        <w:rPr>
          <w:rFonts w:cs="Calibri"/>
          <w:noProof/>
        </w:rPr>
      </w:pPr>
      <w:r w:rsidRPr="001E4C88">
        <w:rPr>
          <w:rFonts w:cs="Calibri"/>
          <w:noProof/>
        </w:rPr>
        <w:t>Nowak, C.A. and D.A. Marquis 1997. Distribution-of-cut guides for thinning in Allegheny hardwoods: a review. Res. Notes NE-362. Radnor, PA: U.S. Department of Agriculture, Forest Service, Northeastern Forest Experiment Station. 7 p.</w:t>
      </w:r>
      <w:bookmarkEnd w:id="133"/>
    </w:p>
    <w:p w:rsidR="001E4C88" w:rsidRPr="001E4C88" w:rsidRDefault="001E4C88" w:rsidP="001E4C88">
      <w:pPr>
        <w:spacing w:after="0" w:line="240" w:lineRule="auto"/>
        <w:ind w:left="720" w:hanging="720"/>
        <w:rPr>
          <w:rFonts w:cs="Calibri"/>
          <w:noProof/>
        </w:rPr>
      </w:pPr>
      <w:bookmarkStart w:id="134" w:name="_ENREF_107"/>
      <w:r w:rsidRPr="001E4C88">
        <w:rPr>
          <w:rFonts w:cs="Calibri"/>
          <w:noProof/>
        </w:rPr>
        <w:t xml:space="preserve">Nunery, J.S. and W.S. Keeton 2010. "Forest carbon storage in the northeastern United States: net effects of harvesting frequency, post-harvest retention, and wood products." </w:t>
      </w:r>
      <w:r w:rsidRPr="001E4C88">
        <w:rPr>
          <w:rFonts w:cs="Calibri"/>
          <w:noProof/>
          <w:u w:val="single"/>
        </w:rPr>
        <w:t>Forest Ecology and Management</w:t>
      </w:r>
      <w:r w:rsidRPr="001E4C88">
        <w:rPr>
          <w:rFonts w:cs="Calibri"/>
          <w:noProof/>
        </w:rPr>
        <w:t xml:space="preserve"> </w:t>
      </w:r>
      <w:r w:rsidRPr="001E4C88">
        <w:rPr>
          <w:rFonts w:cs="Calibri"/>
          <w:b/>
          <w:noProof/>
        </w:rPr>
        <w:t>259</w:t>
      </w:r>
      <w:r w:rsidRPr="001E4C88">
        <w:rPr>
          <w:rFonts w:cs="Calibri"/>
          <w:noProof/>
        </w:rPr>
        <w:t>: 1363-1375.</w:t>
      </w:r>
      <w:bookmarkEnd w:id="134"/>
    </w:p>
    <w:p w:rsidR="001E4C88" w:rsidRPr="001E4C88" w:rsidRDefault="001E4C88" w:rsidP="001E4C88">
      <w:pPr>
        <w:spacing w:after="0" w:line="240" w:lineRule="auto"/>
        <w:ind w:left="720" w:hanging="720"/>
        <w:rPr>
          <w:rFonts w:cs="Calibri"/>
          <w:noProof/>
        </w:rPr>
      </w:pPr>
      <w:bookmarkStart w:id="135" w:name="_ENREF_108"/>
      <w:r w:rsidRPr="001E4C88">
        <w:rPr>
          <w:rFonts w:cs="Calibri"/>
          <w:noProof/>
        </w:rPr>
        <w:t>Oak, S.W., J.R. Steinman, D.A. Starkey and D.K. Yockey 2004. Assessing oak decline incidence and distribution in the southern U.S. using forest inventory and analysis data. Gen. Tech. Rep. SRS-73. Asheville, NC: U.S. Department of Agriculture, Forest Service, Southern Research Station. pp. 236-242.</w:t>
      </w:r>
      <w:bookmarkEnd w:id="135"/>
    </w:p>
    <w:p w:rsidR="001E4C88" w:rsidRPr="001E4C88" w:rsidRDefault="001E4C88" w:rsidP="001E4C88">
      <w:pPr>
        <w:spacing w:after="0" w:line="240" w:lineRule="auto"/>
        <w:ind w:left="720" w:hanging="720"/>
        <w:rPr>
          <w:rFonts w:cs="Calibri"/>
          <w:noProof/>
        </w:rPr>
      </w:pPr>
      <w:bookmarkStart w:id="136" w:name="_ENREF_109"/>
      <w:r w:rsidRPr="001E4C88">
        <w:rPr>
          <w:rFonts w:cs="Calibri"/>
          <w:noProof/>
        </w:rPr>
        <w:t xml:space="preserve">Oliver, C.D. 1980. "Forest development in North America following major disturbances." </w:t>
      </w:r>
      <w:r w:rsidRPr="001E4C88">
        <w:rPr>
          <w:rFonts w:cs="Calibri"/>
          <w:noProof/>
          <w:u w:val="single"/>
        </w:rPr>
        <w:t>Forest Ecology and Management</w:t>
      </w:r>
      <w:r w:rsidRPr="001E4C88">
        <w:rPr>
          <w:rFonts w:cs="Calibri"/>
          <w:noProof/>
        </w:rPr>
        <w:t xml:space="preserve"> </w:t>
      </w:r>
      <w:r w:rsidRPr="001E4C88">
        <w:rPr>
          <w:rFonts w:cs="Calibri"/>
          <w:b/>
          <w:noProof/>
        </w:rPr>
        <w:t>3</w:t>
      </w:r>
      <w:r w:rsidRPr="001E4C88">
        <w:rPr>
          <w:rFonts w:cs="Calibri"/>
          <w:noProof/>
        </w:rPr>
        <w:t>: 153-168.</w:t>
      </w:r>
      <w:bookmarkEnd w:id="136"/>
    </w:p>
    <w:p w:rsidR="001E4C88" w:rsidRPr="001E4C88" w:rsidRDefault="001E4C88" w:rsidP="001E4C88">
      <w:pPr>
        <w:spacing w:after="0" w:line="240" w:lineRule="auto"/>
        <w:ind w:left="720" w:hanging="720"/>
        <w:rPr>
          <w:rFonts w:cs="Calibri"/>
          <w:noProof/>
        </w:rPr>
      </w:pPr>
      <w:bookmarkStart w:id="137" w:name="_ENREF_110"/>
      <w:r w:rsidRPr="001E4C88">
        <w:rPr>
          <w:rFonts w:cs="Calibri"/>
          <w:noProof/>
        </w:rPr>
        <w:t xml:space="preserve">Pearson, S.M. 2008. "Environmental Gradients."  Encyclopedia of Southern Appalachian Forest Ecosystems. Retrieved January 5, 2010, from </w:t>
      </w:r>
      <w:hyperlink r:id="rId27" w:history="1">
        <w:r w:rsidRPr="001E4C88">
          <w:rPr>
            <w:rStyle w:val="Hyperlink"/>
            <w:rFonts w:cs="Calibri"/>
            <w:noProof/>
          </w:rPr>
          <w:t>http://www.forestencyclopedia.net/p/p1585</w:t>
        </w:r>
      </w:hyperlink>
      <w:r w:rsidRPr="001E4C88">
        <w:rPr>
          <w:rFonts w:cs="Calibri"/>
          <w:noProof/>
        </w:rPr>
        <w:t>.</w:t>
      </w:r>
      <w:bookmarkEnd w:id="137"/>
    </w:p>
    <w:p w:rsidR="001E4C88" w:rsidRPr="001E4C88" w:rsidRDefault="001E4C88" w:rsidP="001E4C88">
      <w:pPr>
        <w:spacing w:after="0" w:line="240" w:lineRule="auto"/>
        <w:ind w:left="720" w:hanging="720"/>
        <w:rPr>
          <w:rFonts w:cs="Calibri"/>
          <w:noProof/>
        </w:rPr>
      </w:pPr>
      <w:bookmarkStart w:id="138" w:name="_ENREF_111"/>
      <w:r w:rsidRPr="001E4C88">
        <w:rPr>
          <w:rFonts w:cs="Calibri"/>
          <w:noProof/>
        </w:rPr>
        <w:t xml:space="preserve">Rauscher, H.M., M.J. Young, C.D. Webb and D.J. Robison 2000. "Testing the accuracy of growth and yield models for southern hardwood forests." </w:t>
      </w:r>
      <w:r w:rsidRPr="001E4C88">
        <w:rPr>
          <w:rFonts w:cs="Calibri"/>
          <w:noProof/>
          <w:u w:val="single"/>
        </w:rPr>
        <w:t>Southern Journal of Applied Forestry</w:t>
      </w:r>
      <w:r w:rsidRPr="001E4C88">
        <w:rPr>
          <w:rFonts w:cs="Calibri"/>
          <w:noProof/>
        </w:rPr>
        <w:t xml:space="preserve"> </w:t>
      </w:r>
      <w:r w:rsidRPr="001E4C88">
        <w:rPr>
          <w:rFonts w:cs="Calibri"/>
          <w:b/>
          <w:noProof/>
        </w:rPr>
        <w:t>24</w:t>
      </w:r>
      <w:r w:rsidRPr="001E4C88">
        <w:rPr>
          <w:rFonts w:cs="Calibri"/>
          <w:noProof/>
        </w:rPr>
        <w:t>(3): 176-185.</w:t>
      </w:r>
      <w:bookmarkEnd w:id="138"/>
    </w:p>
    <w:p w:rsidR="001E4C88" w:rsidRPr="001E4C88" w:rsidRDefault="001E4C88" w:rsidP="001E4C88">
      <w:pPr>
        <w:spacing w:after="0" w:line="240" w:lineRule="auto"/>
        <w:ind w:left="720" w:hanging="720"/>
        <w:rPr>
          <w:rFonts w:cs="Calibri"/>
          <w:noProof/>
        </w:rPr>
      </w:pPr>
      <w:bookmarkStart w:id="139" w:name="_ENREF_112"/>
      <w:r w:rsidRPr="001E4C88">
        <w:rPr>
          <w:rFonts w:cs="Calibri"/>
          <w:noProof/>
        </w:rPr>
        <w:t>Rebain, S.A. comp. 2010 (revised January 20, 2011). The Fire and Fuels Extension to the Forest Vegetation Simulator: Updated Model Documentation. Internal Rep. Fort Collins, CO: U. S. Department of Agriculture, Forest Service, Forest Management Service Center. 379p.</w:t>
      </w:r>
      <w:bookmarkEnd w:id="139"/>
    </w:p>
    <w:p w:rsidR="001E4C88" w:rsidRPr="001E4C88" w:rsidRDefault="001E4C88" w:rsidP="001E4C88">
      <w:pPr>
        <w:spacing w:after="0" w:line="240" w:lineRule="auto"/>
        <w:ind w:left="720" w:hanging="720"/>
        <w:rPr>
          <w:rFonts w:cs="Calibri"/>
          <w:noProof/>
        </w:rPr>
      </w:pPr>
      <w:bookmarkStart w:id="140" w:name="_ENREF_113"/>
      <w:r w:rsidRPr="001E4C88">
        <w:rPr>
          <w:rFonts w:cs="Calibri"/>
          <w:noProof/>
        </w:rPr>
        <w:t xml:space="preserve">Ricketts, T.H., E. Dinerstein, D.M. Olson, C.J. Loucks, W. Wichbaum, D. DellaSalla, . . . S. Walters 1999. </w:t>
      </w:r>
      <w:r w:rsidRPr="001E4C88">
        <w:rPr>
          <w:rFonts w:cs="Calibri"/>
          <w:noProof/>
          <w:u w:val="single"/>
        </w:rPr>
        <w:t>Terrestrial ecoregions of North America: A conservation assessment</w:t>
      </w:r>
      <w:r w:rsidRPr="001E4C88">
        <w:rPr>
          <w:rFonts w:cs="Calibri"/>
          <w:noProof/>
        </w:rPr>
        <w:t>. Washington, D.C., Island Press.</w:t>
      </w:r>
      <w:bookmarkEnd w:id="140"/>
    </w:p>
    <w:p w:rsidR="001E4C88" w:rsidRPr="001E4C88" w:rsidRDefault="001E4C88" w:rsidP="001E4C88">
      <w:pPr>
        <w:spacing w:after="0" w:line="240" w:lineRule="auto"/>
        <w:ind w:left="720" w:hanging="720"/>
        <w:rPr>
          <w:rFonts w:cs="Calibri"/>
          <w:noProof/>
        </w:rPr>
      </w:pPr>
      <w:bookmarkStart w:id="141" w:name="_ENREF_114"/>
      <w:r w:rsidRPr="001E4C88">
        <w:rPr>
          <w:rFonts w:cs="Calibri"/>
          <w:noProof/>
        </w:rPr>
        <w:t xml:space="preserve">Rummer, B. and C. Erwin 2008. "Mechanical Felling."  Encyclopedia of Southern Appalachian Forest Ecosystems. Retrieved November 3, 2010, from </w:t>
      </w:r>
      <w:hyperlink r:id="rId28" w:history="1">
        <w:r w:rsidRPr="001E4C88">
          <w:rPr>
            <w:rStyle w:val="Hyperlink"/>
            <w:rFonts w:cs="Calibri"/>
            <w:noProof/>
          </w:rPr>
          <w:t>http://www.forestencyclopedia.net/p/p2276</w:t>
        </w:r>
      </w:hyperlink>
      <w:r w:rsidRPr="001E4C88">
        <w:rPr>
          <w:rFonts w:cs="Calibri"/>
          <w:noProof/>
        </w:rPr>
        <w:t>.</w:t>
      </w:r>
      <w:bookmarkEnd w:id="141"/>
    </w:p>
    <w:p w:rsidR="001E4C88" w:rsidRPr="001E4C88" w:rsidRDefault="001E4C88" w:rsidP="001E4C88">
      <w:pPr>
        <w:spacing w:after="0" w:line="240" w:lineRule="auto"/>
        <w:ind w:left="720" w:hanging="720"/>
        <w:rPr>
          <w:rFonts w:cs="Calibri"/>
          <w:noProof/>
        </w:rPr>
      </w:pPr>
      <w:bookmarkStart w:id="142" w:name="_ENREF_115"/>
      <w:r w:rsidRPr="001E4C88">
        <w:rPr>
          <w:rFonts w:cs="Calibri"/>
          <w:noProof/>
        </w:rPr>
        <w:t xml:space="preserve">Runkle, J.R. 1985. Disturbance regimes in temperate forests. </w:t>
      </w:r>
      <w:r w:rsidRPr="001E4C88">
        <w:rPr>
          <w:rFonts w:cs="Calibri"/>
          <w:noProof/>
          <w:u w:val="single"/>
        </w:rPr>
        <w:t>The ecology of natural disturbance and patch dynamics</w:t>
      </w:r>
      <w:r w:rsidRPr="001E4C88">
        <w:rPr>
          <w:rFonts w:cs="Calibri"/>
          <w:noProof/>
        </w:rPr>
        <w:t>. S. T. A. P. a. P. S. White. Orlando, FL, Academic Press</w:t>
      </w:r>
      <w:r w:rsidRPr="001E4C88">
        <w:rPr>
          <w:rFonts w:cs="Calibri"/>
          <w:b/>
          <w:noProof/>
        </w:rPr>
        <w:t xml:space="preserve">: </w:t>
      </w:r>
      <w:r w:rsidRPr="001E4C88">
        <w:rPr>
          <w:rFonts w:cs="Calibri"/>
          <w:noProof/>
        </w:rPr>
        <w:t>17-33.</w:t>
      </w:r>
      <w:bookmarkEnd w:id="142"/>
    </w:p>
    <w:p w:rsidR="001E4C88" w:rsidRPr="001E4C88" w:rsidRDefault="001E4C88" w:rsidP="001E4C88">
      <w:pPr>
        <w:spacing w:after="0" w:line="240" w:lineRule="auto"/>
        <w:ind w:left="720" w:hanging="720"/>
        <w:rPr>
          <w:rFonts w:cs="Calibri"/>
          <w:noProof/>
        </w:rPr>
      </w:pPr>
      <w:bookmarkStart w:id="143" w:name="_ENREF_116"/>
      <w:r w:rsidRPr="001E4C88">
        <w:rPr>
          <w:rFonts w:cs="Calibri"/>
          <w:noProof/>
        </w:rPr>
        <w:lastRenderedPageBreak/>
        <w:t>Sauer, J.R., J.E. Hines and J. Fallon 2005. The North American Breeding Bird Survey, results and analysis 1966-2004. Version 2005.2. U. S. Geological Survey Patuxent Wildlife Research Center, Laurel, MD.</w:t>
      </w:r>
      <w:bookmarkEnd w:id="143"/>
    </w:p>
    <w:p w:rsidR="001E4C88" w:rsidRPr="001E4C88" w:rsidRDefault="001E4C88" w:rsidP="001E4C88">
      <w:pPr>
        <w:spacing w:after="0" w:line="240" w:lineRule="auto"/>
        <w:ind w:left="720" w:hanging="720"/>
        <w:rPr>
          <w:rFonts w:cs="Calibri"/>
          <w:noProof/>
        </w:rPr>
      </w:pPr>
      <w:bookmarkStart w:id="144" w:name="_ENREF_117"/>
      <w:r w:rsidRPr="001E4C88">
        <w:rPr>
          <w:rFonts w:cs="Calibri"/>
          <w:noProof/>
        </w:rPr>
        <w:t>Schnur, G.L. 1937. Yield, Stand, and Volume Tables for Even-Aged Upland Oak Forests. U.S. Department of Agriculture, Technical Bulletin No. 560. 87p.</w:t>
      </w:r>
      <w:bookmarkEnd w:id="144"/>
    </w:p>
    <w:p w:rsidR="001E4C88" w:rsidRPr="001E4C88" w:rsidRDefault="001E4C88" w:rsidP="001E4C88">
      <w:pPr>
        <w:spacing w:after="0" w:line="240" w:lineRule="auto"/>
        <w:ind w:left="720" w:hanging="720"/>
        <w:rPr>
          <w:rFonts w:cs="Calibri"/>
          <w:noProof/>
        </w:rPr>
      </w:pPr>
      <w:bookmarkStart w:id="145" w:name="_ENREF_118"/>
      <w:r w:rsidRPr="001E4C88">
        <w:rPr>
          <w:rFonts w:cs="Calibri"/>
          <w:noProof/>
        </w:rPr>
        <w:t xml:space="preserve">Schuler, T.M. 2004. "Fifty years of partial harvesting in a mixed mesophytic forest: composition and productivity." </w:t>
      </w:r>
      <w:r w:rsidRPr="001E4C88">
        <w:rPr>
          <w:rFonts w:cs="Calibri"/>
          <w:noProof/>
          <w:u w:val="single"/>
        </w:rPr>
        <w:t>Canadian Journal of Forest Research</w:t>
      </w:r>
      <w:r w:rsidRPr="001E4C88">
        <w:rPr>
          <w:rFonts w:cs="Calibri"/>
          <w:noProof/>
        </w:rPr>
        <w:t xml:space="preserve"> </w:t>
      </w:r>
      <w:r w:rsidRPr="001E4C88">
        <w:rPr>
          <w:rFonts w:cs="Calibri"/>
          <w:b/>
          <w:noProof/>
        </w:rPr>
        <w:t>34</w:t>
      </w:r>
      <w:r w:rsidRPr="001E4C88">
        <w:rPr>
          <w:rFonts w:cs="Calibri"/>
          <w:noProof/>
        </w:rPr>
        <w:t>: 985-997.</w:t>
      </w:r>
      <w:bookmarkEnd w:id="145"/>
    </w:p>
    <w:p w:rsidR="001E4C88" w:rsidRPr="001E4C88" w:rsidRDefault="001E4C88" w:rsidP="001E4C88">
      <w:pPr>
        <w:spacing w:after="0" w:line="240" w:lineRule="auto"/>
        <w:ind w:left="720" w:hanging="720"/>
        <w:rPr>
          <w:rFonts w:cs="Calibri"/>
          <w:noProof/>
        </w:rPr>
      </w:pPr>
      <w:bookmarkStart w:id="146" w:name="_ENREF_119"/>
      <w:r w:rsidRPr="001E4C88">
        <w:rPr>
          <w:rFonts w:cs="Calibri"/>
          <w:noProof/>
        </w:rPr>
        <w:t xml:space="preserve">Schulte, L.A., M. Rickenbach and L.C. Merrick 2008. "Ecological and economic benefits of cross-boundary coordination among private forest landowners." </w:t>
      </w:r>
      <w:r w:rsidRPr="001E4C88">
        <w:rPr>
          <w:rFonts w:cs="Calibri"/>
          <w:noProof/>
          <w:u w:val="single"/>
        </w:rPr>
        <w:t>Landscape Ecology</w:t>
      </w:r>
      <w:r w:rsidRPr="001E4C88">
        <w:rPr>
          <w:rFonts w:cs="Calibri"/>
          <w:noProof/>
        </w:rPr>
        <w:t xml:space="preserve"> </w:t>
      </w:r>
      <w:r w:rsidRPr="001E4C88">
        <w:rPr>
          <w:rFonts w:cs="Calibri"/>
          <w:b/>
          <w:noProof/>
        </w:rPr>
        <w:t>23</w:t>
      </w:r>
      <w:r w:rsidRPr="001E4C88">
        <w:rPr>
          <w:rFonts w:cs="Calibri"/>
          <w:noProof/>
        </w:rPr>
        <w:t>(4): 481-496.</w:t>
      </w:r>
      <w:bookmarkEnd w:id="146"/>
    </w:p>
    <w:p w:rsidR="001E4C88" w:rsidRPr="001E4C88" w:rsidRDefault="001E4C88" w:rsidP="001E4C88">
      <w:pPr>
        <w:spacing w:after="0" w:line="240" w:lineRule="auto"/>
        <w:ind w:left="720" w:hanging="720"/>
        <w:rPr>
          <w:rFonts w:cs="Calibri"/>
          <w:noProof/>
        </w:rPr>
      </w:pPr>
      <w:bookmarkStart w:id="147" w:name="_ENREF_120"/>
      <w:r w:rsidRPr="001E4C88">
        <w:rPr>
          <w:rFonts w:cs="Calibri"/>
          <w:noProof/>
        </w:rPr>
        <w:t xml:space="preserve">Shaffer, R.M., H.L. Haney, Jr., E.G. Worrell and W.M. Aust 1998. "Forestry BMP Implementation Costs for Virginia." </w:t>
      </w:r>
      <w:r w:rsidRPr="001E4C88">
        <w:rPr>
          <w:rFonts w:cs="Calibri"/>
          <w:noProof/>
          <w:u w:val="single"/>
        </w:rPr>
        <w:t>Forest Products Journal</w:t>
      </w:r>
      <w:r w:rsidRPr="001E4C88">
        <w:rPr>
          <w:rFonts w:cs="Calibri"/>
          <w:b/>
          <w:noProof/>
        </w:rPr>
        <w:t xml:space="preserve"> 48</w:t>
      </w:r>
      <w:r w:rsidRPr="001E4C88">
        <w:rPr>
          <w:rFonts w:cs="Calibri"/>
          <w:noProof/>
        </w:rPr>
        <w:t>(9): 27-29.</w:t>
      </w:r>
      <w:bookmarkEnd w:id="147"/>
    </w:p>
    <w:p w:rsidR="001E4C88" w:rsidRPr="001E4C88" w:rsidRDefault="001E4C88" w:rsidP="001E4C88">
      <w:pPr>
        <w:spacing w:after="0" w:line="240" w:lineRule="auto"/>
        <w:ind w:left="720" w:hanging="720"/>
        <w:rPr>
          <w:rFonts w:cs="Calibri"/>
          <w:noProof/>
        </w:rPr>
      </w:pPr>
      <w:bookmarkStart w:id="148" w:name="_ENREF_121"/>
      <w:r w:rsidRPr="001E4C88">
        <w:rPr>
          <w:rFonts w:cs="Calibri"/>
          <w:noProof/>
        </w:rPr>
        <w:t xml:space="preserve">Shifley, S.R., Z. Fan, J.M. Kabrick and R.G. Jensen 2006. "Oak mortality risk factors and mortality estimation." </w:t>
      </w:r>
      <w:r w:rsidRPr="001E4C88">
        <w:rPr>
          <w:rFonts w:cs="Calibri"/>
          <w:noProof/>
          <w:u w:val="single"/>
        </w:rPr>
        <w:t>Forest Ecology and Management</w:t>
      </w:r>
      <w:r w:rsidRPr="001E4C88">
        <w:rPr>
          <w:rFonts w:cs="Calibri"/>
          <w:noProof/>
        </w:rPr>
        <w:t xml:space="preserve"> </w:t>
      </w:r>
      <w:r w:rsidRPr="001E4C88">
        <w:rPr>
          <w:rFonts w:cs="Calibri"/>
          <w:b/>
          <w:noProof/>
        </w:rPr>
        <w:t>229</w:t>
      </w:r>
      <w:r w:rsidRPr="001E4C88">
        <w:rPr>
          <w:rFonts w:cs="Calibri"/>
          <w:noProof/>
        </w:rPr>
        <w:t>: 16-26.</w:t>
      </w:r>
      <w:bookmarkEnd w:id="148"/>
    </w:p>
    <w:p w:rsidR="001E4C88" w:rsidRPr="001E4C88" w:rsidRDefault="001E4C88" w:rsidP="001E4C88">
      <w:pPr>
        <w:spacing w:after="0" w:line="240" w:lineRule="auto"/>
        <w:ind w:left="720" w:hanging="720"/>
        <w:rPr>
          <w:rFonts w:cs="Calibri"/>
          <w:noProof/>
        </w:rPr>
      </w:pPr>
      <w:bookmarkStart w:id="149" w:name="_ENREF_122"/>
      <w:r w:rsidRPr="001E4C88">
        <w:rPr>
          <w:rFonts w:cs="Calibri"/>
          <w:noProof/>
        </w:rPr>
        <w:t xml:space="preserve">Siry, J.P. 2002. Chapter 14: Intensive timber management practices. </w:t>
      </w:r>
      <w:r w:rsidRPr="001E4C88">
        <w:rPr>
          <w:rFonts w:cs="Calibri"/>
          <w:noProof/>
          <w:u w:val="single"/>
        </w:rPr>
        <w:t>Southern forest resource assessment</w:t>
      </w:r>
      <w:r w:rsidRPr="001E4C88">
        <w:rPr>
          <w:rFonts w:cs="Calibri"/>
          <w:noProof/>
        </w:rPr>
        <w:t xml:space="preserve">. W. D.N. and G. J.G. Asheville, North Carolina, U.S. Department of Agriculture, Forest Service, Southern Research Station. </w:t>
      </w:r>
      <w:r w:rsidRPr="00E9664B">
        <w:rPr>
          <w:rFonts w:cs="Calibri"/>
          <w:noProof/>
        </w:rPr>
        <w:t xml:space="preserve">Gen. Tech. Rep. SRS- 53: </w:t>
      </w:r>
      <w:r w:rsidRPr="001E4C88">
        <w:rPr>
          <w:rFonts w:cs="Calibri"/>
          <w:noProof/>
        </w:rPr>
        <w:t>327-340.</w:t>
      </w:r>
      <w:bookmarkEnd w:id="149"/>
    </w:p>
    <w:p w:rsidR="001E4C88" w:rsidRPr="001E4C88" w:rsidRDefault="001E4C88" w:rsidP="001E4C88">
      <w:pPr>
        <w:spacing w:after="0" w:line="240" w:lineRule="auto"/>
        <w:ind w:left="720" w:hanging="720"/>
        <w:rPr>
          <w:rFonts w:cs="Calibri"/>
          <w:noProof/>
        </w:rPr>
      </w:pPr>
      <w:bookmarkStart w:id="150" w:name="_ENREF_123"/>
      <w:r w:rsidRPr="001E4C88">
        <w:rPr>
          <w:rFonts w:cs="Calibri"/>
          <w:noProof/>
        </w:rPr>
        <w:t>Smalley, G.W. 1984. Classification and evaluation for forest sites in the Cumberland Mountains. Gen. Tech. Rep. SO-50. New Orleans, LA: U.S. Dept of Agriculture, Forest Service, Southern Forest Experiment Station. 89 p.</w:t>
      </w:r>
      <w:bookmarkEnd w:id="150"/>
    </w:p>
    <w:p w:rsidR="001E4C88" w:rsidRPr="001E4C88" w:rsidRDefault="001E4C88" w:rsidP="001E4C88">
      <w:pPr>
        <w:spacing w:after="0" w:line="240" w:lineRule="auto"/>
        <w:ind w:left="720" w:hanging="720"/>
        <w:rPr>
          <w:rFonts w:cs="Calibri"/>
          <w:noProof/>
        </w:rPr>
      </w:pPr>
      <w:bookmarkStart w:id="151" w:name="_ENREF_124"/>
      <w:r w:rsidRPr="001E4C88">
        <w:rPr>
          <w:rFonts w:cs="Calibri"/>
          <w:noProof/>
        </w:rPr>
        <w:t>Smith, H.C. 1981. Diameters of clearcut openings influence central Appalachian hardwood stem development -A 10-year study. Res. Pap. NE-476. Broomall, PA: U.S. Department of Agriculture, Forest Service, Northeastern Forest Experiment Station. 8 p.</w:t>
      </w:r>
      <w:bookmarkEnd w:id="151"/>
    </w:p>
    <w:p w:rsidR="001E4C88" w:rsidRPr="001E4C88" w:rsidRDefault="001E4C88" w:rsidP="001E4C88">
      <w:pPr>
        <w:spacing w:after="0" w:line="240" w:lineRule="auto"/>
        <w:ind w:left="720" w:hanging="720"/>
        <w:rPr>
          <w:rFonts w:cs="Calibri"/>
          <w:noProof/>
        </w:rPr>
      </w:pPr>
      <w:bookmarkStart w:id="152" w:name="_ENREF_125"/>
      <w:r w:rsidRPr="001E4C88">
        <w:rPr>
          <w:rFonts w:cs="Calibri"/>
          <w:noProof/>
        </w:rPr>
        <w:t>Smith, H.C. and N.I. Lamson 1977. Stand Development 25 Years after a 9.0-inch Diameter-Limit First Cutting In Appalachian Hardwoods. Res. Pap. NE-379. Upper Darby, PA: U.S. Department of Agriculture, Forest Service, Northeastern Forest Experiment Station. 4p.</w:t>
      </w:r>
      <w:bookmarkEnd w:id="152"/>
    </w:p>
    <w:p w:rsidR="001E4C88" w:rsidRPr="001E4C88" w:rsidRDefault="001E4C88" w:rsidP="001E4C88">
      <w:pPr>
        <w:spacing w:after="0" w:line="240" w:lineRule="auto"/>
        <w:ind w:left="720" w:hanging="720"/>
        <w:rPr>
          <w:rFonts w:cs="Calibri"/>
          <w:noProof/>
        </w:rPr>
      </w:pPr>
      <w:bookmarkStart w:id="153" w:name="_ENREF_126"/>
      <w:r w:rsidRPr="001E4C88">
        <w:rPr>
          <w:rFonts w:cs="Calibri"/>
          <w:noProof/>
        </w:rPr>
        <w:t>Smith, H.C. and N.I. Lamson 1983. Precommercial crop-tree release increases diameter growth of Appalachian hardwood saplings. Res. Pap. NE-534. Broomall, PA: U.S. Department of Agriculture, Forest Service, Northeastern Forest Experiement Station. 7p.</w:t>
      </w:r>
      <w:bookmarkEnd w:id="153"/>
    </w:p>
    <w:p w:rsidR="001E4C88" w:rsidRPr="001E4C88" w:rsidRDefault="001E4C88" w:rsidP="001E4C88">
      <w:pPr>
        <w:spacing w:after="0" w:line="240" w:lineRule="auto"/>
        <w:ind w:left="720" w:hanging="720"/>
        <w:rPr>
          <w:rFonts w:cs="Calibri"/>
          <w:noProof/>
        </w:rPr>
      </w:pPr>
      <w:bookmarkStart w:id="154" w:name="_ENREF_127"/>
      <w:r w:rsidRPr="001E4C88">
        <w:rPr>
          <w:rFonts w:cs="Calibri"/>
          <w:noProof/>
        </w:rPr>
        <w:t xml:space="preserve">Smith, H.C. and G.W. Miller 1987. "Managing Appalachian hardwood stands using four regeneration practices -34 year results." </w:t>
      </w:r>
      <w:r w:rsidRPr="001E4C88">
        <w:rPr>
          <w:rFonts w:cs="Calibri"/>
          <w:noProof/>
          <w:u w:val="single"/>
        </w:rPr>
        <w:t>Northern Journal of Applied Forestry</w:t>
      </w:r>
      <w:r w:rsidRPr="001E4C88">
        <w:rPr>
          <w:rFonts w:cs="Calibri"/>
          <w:noProof/>
        </w:rPr>
        <w:t xml:space="preserve"> </w:t>
      </w:r>
      <w:r w:rsidRPr="001E4C88">
        <w:rPr>
          <w:rFonts w:cs="Calibri"/>
          <w:b/>
          <w:noProof/>
        </w:rPr>
        <w:t>4</w:t>
      </w:r>
      <w:r w:rsidRPr="001E4C88">
        <w:rPr>
          <w:rFonts w:cs="Calibri"/>
          <w:noProof/>
        </w:rPr>
        <w:t>(4): 180-185.</w:t>
      </w:r>
      <w:bookmarkEnd w:id="154"/>
    </w:p>
    <w:p w:rsidR="001E4C88" w:rsidRPr="001E4C88" w:rsidRDefault="001E4C88" w:rsidP="001E4C88">
      <w:pPr>
        <w:spacing w:after="0" w:line="240" w:lineRule="auto"/>
        <w:ind w:left="720" w:hanging="720"/>
        <w:rPr>
          <w:rFonts w:cs="Calibri"/>
          <w:noProof/>
        </w:rPr>
      </w:pPr>
      <w:bookmarkStart w:id="155" w:name="_ENREF_128"/>
      <w:r w:rsidRPr="001E4C88">
        <w:rPr>
          <w:rFonts w:cs="Calibri"/>
          <w:noProof/>
        </w:rPr>
        <w:t>Smith, H.C. and G.W. Miller 1991. Releasing 75- to 80-year-old Appalachian hardwood sawtimber trees-5-year d.b.h. response.  In: McCormick, Larry H.; Gottschalk, Kurt W., eds. Proceedings, 8th Central Hardwood Forest Conference; 1991 March 4-6; University Park, PA. Gen. Tech. Rep. NE-148. Radnor, PA: U.S. Department of Agriculture, Forest Service, Northeastern Forest Experiment Station: 402-413.</w:t>
      </w:r>
      <w:bookmarkEnd w:id="155"/>
    </w:p>
    <w:p w:rsidR="001E4C88" w:rsidRPr="001E4C88" w:rsidRDefault="001E4C88" w:rsidP="001E4C88">
      <w:pPr>
        <w:spacing w:after="0" w:line="240" w:lineRule="auto"/>
        <w:ind w:left="720" w:hanging="720"/>
        <w:rPr>
          <w:rFonts w:cs="Calibri"/>
          <w:noProof/>
        </w:rPr>
      </w:pPr>
      <w:bookmarkStart w:id="156" w:name="_ENREF_129"/>
      <w:r w:rsidRPr="001E4C88">
        <w:rPr>
          <w:rFonts w:cs="Calibri"/>
          <w:noProof/>
        </w:rPr>
        <w:t>Smith, J.E., L.S. Heath, K.E. Skog and R.A. Birdsey 2006. Methods for calculating forest ecosystem and harvested carbon with standard estimates for forest types of the United States. Gen. Tech. Rep. NE-343. USDA, Forest Service, Northeastern Research Station, Newtown Square, PA. 216 p.</w:t>
      </w:r>
      <w:bookmarkEnd w:id="156"/>
    </w:p>
    <w:p w:rsidR="001E4C88" w:rsidRPr="001E4C88" w:rsidRDefault="001E4C88" w:rsidP="001E4C88">
      <w:pPr>
        <w:spacing w:after="0" w:line="240" w:lineRule="auto"/>
        <w:ind w:left="720" w:hanging="720"/>
        <w:rPr>
          <w:rFonts w:cs="Calibri"/>
          <w:noProof/>
        </w:rPr>
      </w:pPr>
      <w:bookmarkStart w:id="157" w:name="_ENREF_130"/>
      <w:r w:rsidRPr="001E4C88">
        <w:rPr>
          <w:rFonts w:cs="Calibri"/>
          <w:noProof/>
        </w:rPr>
        <w:t>Smith, W.B., tech. coord.; Miles, Patrick D., data coord.; Perry, Charles H., map coord.; Pugh, Scott A., Data CD coord. 2009. Forest Resources of the United States, 2007. Gen. Tech. Rep. WO-78. Washington, DC: U.S. Department of Agriculture, Forest Service, Washington Office. 336 p.</w:t>
      </w:r>
      <w:bookmarkEnd w:id="157"/>
    </w:p>
    <w:p w:rsidR="001E4C88" w:rsidRDefault="001E4C88" w:rsidP="001E4C88">
      <w:pPr>
        <w:spacing w:after="0" w:line="240" w:lineRule="auto"/>
        <w:ind w:left="720" w:hanging="720"/>
        <w:rPr>
          <w:rFonts w:cs="Calibri"/>
          <w:noProof/>
        </w:rPr>
      </w:pPr>
      <w:bookmarkStart w:id="158" w:name="_ENREF_131"/>
      <w:r w:rsidRPr="001E4C88">
        <w:rPr>
          <w:rFonts w:cs="Calibri"/>
          <w:noProof/>
        </w:rPr>
        <w:t xml:space="preserve">Sohngen, B. and S. Brown 2008. "Extending Timber Rotations: Carbon and Cost Implications." </w:t>
      </w:r>
      <w:r w:rsidRPr="001E4C88">
        <w:rPr>
          <w:rFonts w:cs="Calibri"/>
          <w:noProof/>
          <w:u w:val="single"/>
        </w:rPr>
        <w:t>Climate Policy</w:t>
      </w:r>
      <w:r w:rsidRPr="001E4C88">
        <w:rPr>
          <w:rFonts w:cs="Calibri"/>
          <w:noProof/>
        </w:rPr>
        <w:t xml:space="preserve"> </w:t>
      </w:r>
      <w:r w:rsidRPr="001E4C88">
        <w:rPr>
          <w:rFonts w:cs="Calibri"/>
          <w:b/>
          <w:noProof/>
        </w:rPr>
        <w:t>8</w:t>
      </w:r>
      <w:r w:rsidRPr="001E4C88">
        <w:rPr>
          <w:rFonts w:cs="Calibri"/>
          <w:noProof/>
        </w:rPr>
        <w:t>: 435-451.</w:t>
      </w:r>
      <w:bookmarkEnd w:id="158"/>
    </w:p>
    <w:p w:rsidR="001E4C88" w:rsidRPr="001E4C88" w:rsidRDefault="001E4C88" w:rsidP="001E4C88">
      <w:pPr>
        <w:spacing w:after="0" w:line="240" w:lineRule="auto"/>
        <w:ind w:left="720" w:hanging="720"/>
        <w:rPr>
          <w:rFonts w:cs="Calibri"/>
          <w:noProof/>
        </w:rPr>
      </w:pPr>
      <w:bookmarkStart w:id="159" w:name="_ENREF_9"/>
      <w:r w:rsidRPr="001E4C88">
        <w:rPr>
          <w:rFonts w:cs="Calibri"/>
          <w:noProof/>
        </w:rPr>
        <w:t>Southern Appalachian Man and the Biosphere 1996. The Southern Appalachian Assessment Social/Cultural/Economic Technical Report. Report 4 of 5. Atlanta: U.S. Department of Agriculture, Forest Service, Southern Region.</w:t>
      </w:r>
      <w:bookmarkEnd w:id="159"/>
    </w:p>
    <w:p w:rsidR="001E4C88" w:rsidRPr="001E4C88" w:rsidRDefault="001E4C88" w:rsidP="001E4C88">
      <w:pPr>
        <w:spacing w:after="0" w:line="240" w:lineRule="auto"/>
        <w:ind w:left="720" w:hanging="720"/>
        <w:rPr>
          <w:rFonts w:cs="Calibri"/>
          <w:noProof/>
        </w:rPr>
      </w:pPr>
      <w:bookmarkStart w:id="160" w:name="_ENREF_10"/>
      <w:r w:rsidRPr="001E4C88">
        <w:rPr>
          <w:rFonts w:cs="Calibri"/>
          <w:noProof/>
        </w:rPr>
        <w:t>Southern Appalachian Man and the Biosphere 1996. The Southern Appalachian Assessment Terrestrial Technical Report. Report 5 of 5. Atlanta: U.S. Department of Agriculture, Forest Service, Southern Region.</w:t>
      </w:r>
      <w:bookmarkEnd w:id="160"/>
    </w:p>
    <w:p w:rsidR="001E4C88" w:rsidRPr="001E4C88" w:rsidRDefault="001E4C88" w:rsidP="001E4C88">
      <w:pPr>
        <w:spacing w:after="0" w:line="240" w:lineRule="auto"/>
        <w:ind w:left="720" w:hanging="720"/>
        <w:rPr>
          <w:rFonts w:cs="Calibri"/>
          <w:noProof/>
        </w:rPr>
      </w:pPr>
      <w:bookmarkStart w:id="161" w:name="_ENREF_132"/>
      <w:r w:rsidRPr="001E4C88">
        <w:rPr>
          <w:rFonts w:cs="Calibri"/>
          <w:noProof/>
        </w:rPr>
        <w:lastRenderedPageBreak/>
        <w:t xml:space="preserve">Spelter, H. 2004. "Converting among log scaling methods: Scriber, International, and Doyle versus cubic." </w:t>
      </w:r>
      <w:r w:rsidRPr="001E4C88">
        <w:rPr>
          <w:rFonts w:cs="Calibri"/>
          <w:noProof/>
          <w:u w:val="single"/>
        </w:rPr>
        <w:t>Journal of forestry</w:t>
      </w:r>
      <w:r w:rsidRPr="001E4C88">
        <w:rPr>
          <w:rFonts w:cs="Calibri"/>
          <w:noProof/>
        </w:rPr>
        <w:t xml:space="preserve"> </w:t>
      </w:r>
      <w:r w:rsidRPr="001E4C88">
        <w:rPr>
          <w:rFonts w:cs="Calibri"/>
          <w:b/>
          <w:noProof/>
        </w:rPr>
        <w:t>102</w:t>
      </w:r>
      <w:r w:rsidRPr="001E4C88">
        <w:rPr>
          <w:rFonts w:cs="Calibri"/>
          <w:noProof/>
        </w:rPr>
        <w:t>(4): 33-39.</w:t>
      </w:r>
      <w:bookmarkEnd w:id="161"/>
    </w:p>
    <w:p w:rsidR="001E4C88" w:rsidRPr="001E4C88" w:rsidRDefault="001E4C88" w:rsidP="001E4C88">
      <w:pPr>
        <w:spacing w:after="0" w:line="240" w:lineRule="auto"/>
        <w:ind w:left="720" w:hanging="720"/>
        <w:rPr>
          <w:rFonts w:cs="Calibri"/>
          <w:noProof/>
        </w:rPr>
      </w:pPr>
      <w:bookmarkStart w:id="162" w:name="_ENREF_133"/>
      <w:r w:rsidRPr="001E4C88">
        <w:rPr>
          <w:rFonts w:cs="Calibri"/>
          <w:noProof/>
        </w:rPr>
        <w:t xml:space="preserve">Stein, S.M., R.E. McRoberts, M.D. Nelson, L. Mahal, C.H. Flather, R.J. Alig and S. Comas 2010. "Private Forest Habitat for At-Risk Species: Where Is It and Where Might It Be Changing? ." </w:t>
      </w:r>
      <w:r w:rsidRPr="001E4C88">
        <w:rPr>
          <w:rFonts w:cs="Calibri"/>
          <w:noProof/>
          <w:u w:val="single"/>
        </w:rPr>
        <w:t>Journal of Forestry</w:t>
      </w:r>
      <w:r w:rsidRPr="001E4C88">
        <w:rPr>
          <w:rFonts w:cs="Calibri"/>
          <w:noProof/>
        </w:rPr>
        <w:t xml:space="preserve"> </w:t>
      </w:r>
      <w:r w:rsidRPr="001E4C88">
        <w:rPr>
          <w:rFonts w:cs="Calibri"/>
          <w:b/>
          <w:noProof/>
        </w:rPr>
        <w:t>108</w:t>
      </w:r>
      <w:r w:rsidRPr="001E4C88">
        <w:rPr>
          <w:rFonts w:cs="Calibri"/>
          <w:noProof/>
        </w:rPr>
        <w:t>(2): 61-70.</w:t>
      </w:r>
      <w:bookmarkEnd w:id="162"/>
    </w:p>
    <w:p w:rsidR="001E4C88" w:rsidRPr="001E4C88" w:rsidRDefault="001E4C88" w:rsidP="001E4C88">
      <w:pPr>
        <w:spacing w:after="0" w:line="240" w:lineRule="auto"/>
        <w:ind w:left="720" w:hanging="720"/>
        <w:rPr>
          <w:rFonts w:cs="Calibri"/>
          <w:noProof/>
        </w:rPr>
      </w:pPr>
      <w:bookmarkStart w:id="163" w:name="_ENREF_134"/>
      <w:r w:rsidRPr="001E4C88">
        <w:rPr>
          <w:rFonts w:cs="Calibri"/>
          <w:noProof/>
        </w:rPr>
        <w:t xml:space="preserve">Stringer, J.W. 2006. Two-age system and deferment harvests. </w:t>
      </w:r>
      <w:r w:rsidRPr="001E4C88">
        <w:rPr>
          <w:rFonts w:cs="Calibri"/>
          <w:noProof/>
          <w:u w:val="single"/>
        </w:rPr>
        <w:t>Professional Hardwood Notes</w:t>
      </w:r>
      <w:r w:rsidRPr="001E4C88">
        <w:rPr>
          <w:rFonts w:cs="Calibri"/>
          <w:noProof/>
        </w:rPr>
        <w:t xml:space="preserve">. J. W. Stringer and W. K. Clatterbuck, University of Kentucky, Cooperative Extension Service, Lexington. </w:t>
      </w:r>
      <w:r w:rsidRPr="001E4C88">
        <w:rPr>
          <w:rFonts w:cs="Calibri"/>
          <w:b/>
          <w:noProof/>
        </w:rPr>
        <w:t xml:space="preserve">FOR-103: </w:t>
      </w:r>
      <w:r w:rsidRPr="001E4C88">
        <w:rPr>
          <w:rFonts w:cs="Calibri"/>
          <w:noProof/>
        </w:rPr>
        <w:t>12.</w:t>
      </w:r>
      <w:bookmarkEnd w:id="163"/>
    </w:p>
    <w:p w:rsidR="001E4C88" w:rsidRPr="001E4C88" w:rsidRDefault="001E4C88" w:rsidP="001E4C88">
      <w:pPr>
        <w:spacing w:after="0" w:line="240" w:lineRule="auto"/>
        <w:ind w:left="720" w:hanging="720"/>
        <w:rPr>
          <w:rFonts w:cs="Calibri"/>
          <w:noProof/>
        </w:rPr>
      </w:pPr>
      <w:bookmarkStart w:id="164" w:name="_ENREF_135"/>
      <w:r w:rsidRPr="001E4C88">
        <w:rPr>
          <w:rFonts w:cs="Calibri"/>
          <w:noProof/>
        </w:rPr>
        <w:t>Stringer, J.W., G.W. Miller and H.C. Smith 1988. Residual stand damage from crop tree release felling operations in white oak stands, Kentucky Dept. of For. Tech. Rep. No. 8801. Lexington, KY: University of Kentucky. 15 p.</w:t>
      </w:r>
      <w:bookmarkEnd w:id="164"/>
    </w:p>
    <w:p w:rsidR="001E4C88" w:rsidRPr="001E4C88" w:rsidRDefault="001E4C88" w:rsidP="001E4C88">
      <w:pPr>
        <w:spacing w:after="0" w:line="240" w:lineRule="auto"/>
        <w:ind w:left="720" w:hanging="720"/>
        <w:rPr>
          <w:rFonts w:cs="Calibri"/>
          <w:noProof/>
        </w:rPr>
      </w:pPr>
      <w:bookmarkStart w:id="165" w:name="_ENREF_136"/>
      <w:r w:rsidRPr="001E4C88">
        <w:rPr>
          <w:rFonts w:cs="Calibri"/>
          <w:noProof/>
        </w:rPr>
        <w:t xml:space="preserve">Thornthwaite, C.W. 1948. "An approach toward rational classification of climate." </w:t>
      </w:r>
      <w:r w:rsidRPr="001E4C88">
        <w:rPr>
          <w:rFonts w:cs="Calibri"/>
          <w:noProof/>
          <w:u w:val="single"/>
        </w:rPr>
        <w:t>Geographical Review</w:t>
      </w:r>
      <w:r w:rsidRPr="001E4C88">
        <w:rPr>
          <w:rFonts w:cs="Calibri"/>
          <w:noProof/>
        </w:rPr>
        <w:t xml:space="preserve"> </w:t>
      </w:r>
      <w:r w:rsidRPr="001E4C88">
        <w:rPr>
          <w:rFonts w:cs="Calibri"/>
          <w:b/>
          <w:noProof/>
        </w:rPr>
        <w:t>38</w:t>
      </w:r>
      <w:r w:rsidRPr="001E4C88">
        <w:rPr>
          <w:rFonts w:cs="Calibri"/>
          <w:noProof/>
        </w:rPr>
        <w:t>: 55-94.</w:t>
      </w:r>
      <w:bookmarkEnd w:id="165"/>
    </w:p>
    <w:p w:rsidR="001E4C88" w:rsidRPr="001E4C88" w:rsidRDefault="001E4C88" w:rsidP="001E4C88">
      <w:pPr>
        <w:spacing w:after="0" w:line="240" w:lineRule="auto"/>
        <w:ind w:left="720" w:hanging="720"/>
        <w:rPr>
          <w:rFonts w:cs="Calibri"/>
          <w:noProof/>
        </w:rPr>
      </w:pPr>
      <w:bookmarkStart w:id="166" w:name="_ENREF_11"/>
      <w:bookmarkStart w:id="167" w:name="_ENREF_137"/>
      <w:r w:rsidRPr="001E4C88">
        <w:rPr>
          <w:rFonts w:cs="Calibri"/>
          <w:noProof/>
        </w:rPr>
        <w:t>TN Dept. of Agriculture 2003. Guide to Forestry Best Management Practices in Tennessee. 50p.</w:t>
      </w:r>
      <w:bookmarkEnd w:id="166"/>
    </w:p>
    <w:p w:rsidR="001E4C88" w:rsidRPr="001E4C88" w:rsidRDefault="001E4C88" w:rsidP="001E4C88">
      <w:pPr>
        <w:spacing w:after="0" w:line="240" w:lineRule="auto"/>
        <w:ind w:left="720" w:hanging="720"/>
        <w:rPr>
          <w:rFonts w:cs="Calibri"/>
          <w:noProof/>
        </w:rPr>
      </w:pPr>
      <w:r w:rsidRPr="001E4C88">
        <w:rPr>
          <w:rFonts w:cs="Calibri"/>
          <w:noProof/>
        </w:rPr>
        <w:t xml:space="preserve">Trexler, M.C., D.J. Broekhoff and L.H. Kosloff 2006. "A Statistically-driven Approach to Offset-based GHG Additionality Determinations: What Can We Learn?" </w:t>
      </w:r>
      <w:r w:rsidRPr="001E4C88">
        <w:rPr>
          <w:rFonts w:cs="Calibri"/>
          <w:noProof/>
          <w:u w:val="single"/>
        </w:rPr>
        <w:t>Sustainable Development Law &amp; Policy</w:t>
      </w:r>
      <w:r w:rsidRPr="001E4C88">
        <w:rPr>
          <w:rFonts w:cs="Calibri"/>
          <w:noProof/>
        </w:rPr>
        <w:t xml:space="preserve"> </w:t>
      </w:r>
      <w:r w:rsidRPr="001E4C88">
        <w:rPr>
          <w:rFonts w:cs="Calibri"/>
          <w:b/>
          <w:noProof/>
        </w:rPr>
        <w:t>6</w:t>
      </w:r>
      <w:r w:rsidRPr="001E4C88">
        <w:rPr>
          <w:rFonts w:cs="Calibri"/>
          <w:noProof/>
        </w:rPr>
        <w:t>(2): 30-40.</w:t>
      </w:r>
      <w:bookmarkEnd w:id="167"/>
    </w:p>
    <w:p w:rsidR="001E4C88" w:rsidRPr="001E4C88" w:rsidRDefault="001E4C88" w:rsidP="001E4C88">
      <w:pPr>
        <w:spacing w:after="0" w:line="240" w:lineRule="auto"/>
        <w:ind w:left="720" w:hanging="720"/>
        <w:rPr>
          <w:rFonts w:cs="Calibri"/>
          <w:noProof/>
        </w:rPr>
      </w:pPr>
      <w:bookmarkStart w:id="168" w:name="_ENREF_138"/>
      <w:r w:rsidRPr="001E4C88">
        <w:rPr>
          <w:rFonts w:cs="Calibri"/>
          <w:noProof/>
        </w:rPr>
        <w:t>Trimble, G.R., Jr. 1974. Response to crop-tree release by 7-year-old stems of red maple stump sprouts and northern red oak advance reproduction. Res. Pap. NE-303. Upper Darby, PA: U.S. Department of Agriculture, Forest Service, Northeastern Forest Experiment Station. 6p.</w:t>
      </w:r>
      <w:bookmarkEnd w:id="168"/>
    </w:p>
    <w:p w:rsidR="001E4C88" w:rsidRPr="001E4C88" w:rsidRDefault="001E4C88" w:rsidP="001E4C88">
      <w:pPr>
        <w:spacing w:after="0" w:line="240" w:lineRule="auto"/>
        <w:ind w:left="720" w:hanging="720"/>
        <w:rPr>
          <w:rFonts w:cs="Calibri"/>
          <w:noProof/>
        </w:rPr>
      </w:pPr>
      <w:bookmarkStart w:id="169" w:name="_ENREF_139"/>
      <w:r w:rsidRPr="001E4C88">
        <w:rPr>
          <w:rFonts w:cs="Calibri"/>
          <w:noProof/>
        </w:rPr>
        <w:t>Trimble Jr., G.R. 1973. The regeneration of central Appalachian hardwoods with emphasis on the effects of site quality and harvesting practice. USDA Forest Service, Research Paper NE-282. Northeastern Forest Experiment Station, Broomall, PA. 14 p.</w:t>
      </w:r>
      <w:bookmarkEnd w:id="169"/>
    </w:p>
    <w:p w:rsidR="001E4C88" w:rsidRPr="001E4C88" w:rsidRDefault="001E4C88" w:rsidP="001E4C88">
      <w:pPr>
        <w:spacing w:after="0" w:line="240" w:lineRule="auto"/>
        <w:ind w:left="720" w:hanging="720"/>
        <w:rPr>
          <w:rFonts w:cs="Calibri"/>
          <w:noProof/>
        </w:rPr>
      </w:pPr>
      <w:bookmarkStart w:id="170" w:name="_ENREF_140"/>
      <w:r w:rsidRPr="001E4C88">
        <w:rPr>
          <w:rFonts w:cs="Calibri"/>
          <w:noProof/>
        </w:rPr>
        <w:t>Tryon, E.H., M. Lanasa and E.C. Townsend 1992. "Radial growth response of understory sugar maple (</w:t>
      </w:r>
      <w:r w:rsidRPr="001E4C88">
        <w:rPr>
          <w:rFonts w:cs="Calibri"/>
          <w:i/>
          <w:noProof/>
        </w:rPr>
        <w:t>Acer saccharum</w:t>
      </w:r>
      <w:r w:rsidRPr="001E4C88">
        <w:rPr>
          <w:rFonts w:cs="Calibri"/>
          <w:noProof/>
        </w:rPr>
        <w:t xml:space="preserve">) surrounding openings." </w:t>
      </w:r>
      <w:r w:rsidRPr="001E4C88">
        <w:rPr>
          <w:rFonts w:cs="Calibri"/>
          <w:noProof/>
          <w:u w:val="single"/>
        </w:rPr>
        <w:t>Forest Ecology and Management</w:t>
      </w:r>
      <w:r w:rsidRPr="001E4C88">
        <w:rPr>
          <w:rFonts w:cs="Calibri"/>
          <w:noProof/>
        </w:rPr>
        <w:t xml:space="preserve"> </w:t>
      </w:r>
      <w:r w:rsidRPr="001E4C88">
        <w:rPr>
          <w:rFonts w:cs="Calibri"/>
          <w:b/>
          <w:noProof/>
        </w:rPr>
        <w:t>55</w:t>
      </w:r>
      <w:r w:rsidRPr="001E4C88">
        <w:rPr>
          <w:rFonts w:cs="Calibri"/>
          <w:noProof/>
        </w:rPr>
        <w:t>: 249-257.</w:t>
      </w:r>
      <w:bookmarkEnd w:id="170"/>
    </w:p>
    <w:p w:rsidR="001E4C88" w:rsidRPr="001E4C88" w:rsidRDefault="001E4C88" w:rsidP="001E4C88">
      <w:pPr>
        <w:spacing w:after="0" w:line="240" w:lineRule="auto"/>
        <w:ind w:left="720" w:hanging="720"/>
        <w:rPr>
          <w:rFonts w:cs="Calibri"/>
          <w:noProof/>
        </w:rPr>
      </w:pPr>
      <w:bookmarkStart w:id="171" w:name="_ENREF_14"/>
      <w:bookmarkStart w:id="172" w:name="_ENREF_12"/>
      <w:bookmarkStart w:id="173" w:name="_ENREF_141"/>
      <w:r w:rsidRPr="001E4C88">
        <w:rPr>
          <w:rFonts w:cs="Calibri"/>
          <w:noProof/>
        </w:rPr>
        <w:t xml:space="preserve">USDA Forest Service 2007. "Distribution of Upland Hardwood Forests." </w:t>
      </w:r>
      <w:r w:rsidRPr="001E4C88">
        <w:rPr>
          <w:rFonts w:cs="Calibri"/>
          <w:noProof/>
          <w:u w:val="single"/>
        </w:rPr>
        <w:t>Compass</w:t>
      </w:r>
      <w:r w:rsidRPr="001E4C88">
        <w:rPr>
          <w:rFonts w:cs="Calibri"/>
          <w:noProof/>
        </w:rPr>
        <w:t xml:space="preserve"> Issue 9: The mighty oak in upland hardwood forests of the south. Asheville, NC: U.S. Department of Agriculture, Forest Service, Southern Research Station. Retrieved January 5, 2010, from </w:t>
      </w:r>
      <w:hyperlink r:id="rId29" w:history="1">
        <w:r w:rsidRPr="001E4C88">
          <w:rPr>
            <w:rStyle w:val="Hyperlink"/>
            <w:rFonts w:cs="Calibri"/>
            <w:noProof/>
          </w:rPr>
          <w:t>http://www.srs.fs.usda.gov/compass/issue9/03distro.htm</w:t>
        </w:r>
      </w:hyperlink>
      <w:r w:rsidRPr="001E4C88">
        <w:rPr>
          <w:rFonts w:cs="Calibri"/>
          <w:noProof/>
        </w:rPr>
        <w:t>.</w:t>
      </w:r>
      <w:bookmarkEnd w:id="171"/>
    </w:p>
    <w:p w:rsidR="001E4C88" w:rsidRPr="001E4C88" w:rsidRDefault="001E4C88" w:rsidP="001E4C88">
      <w:pPr>
        <w:spacing w:after="0" w:line="240" w:lineRule="auto"/>
        <w:ind w:left="720" w:hanging="720"/>
        <w:rPr>
          <w:rFonts w:cs="Calibri"/>
          <w:noProof/>
        </w:rPr>
      </w:pPr>
      <w:bookmarkStart w:id="174" w:name="_ENREF_15"/>
      <w:r w:rsidRPr="001E4C88">
        <w:rPr>
          <w:rFonts w:cs="Calibri"/>
          <w:noProof/>
        </w:rPr>
        <w:t xml:space="preserve">USDA Forest Service 2010a. National Forest Inventory and Analysis, FIA Database version 4.0. Washington, DC: U.S. Department of Agriculture, Forest Service. Available at </w:t>
      </w:r>
      <w:hyperlink r:id="rId30" w:history="1">
        <w:r w:rsidRPr="001E4C88">
          <w:rPr>
            <w:rStyle w:val="Hyperlink"/>
            <w:rFonts w:cs="Calibri"/>
            <w:noProof/>
          </w:rPr>
          <w:t>http://199.128.173.17/fiadb4-downloads/datamart.html</w:t>
        </w:r>
      </w:hyperlink>
      <w:r w:rsidRPr="001E4C88">
        <w:rPr>
          <w:rFonts w:cs="Calibri"/>
          <w:noProof/>
        </w:rPr>
        <w:t xml:space="preserve"> Retrieved January 4, 2010.</w:t>
      </w:r>
      <w:bookmarkEnd w:id="174"/>
    </w:p>
    <w:p w:rsidR="001E4C88" w:rsidRPr="001E4C88" w:rsidRDefault="001E4C88" w:rsidP="001E4C88">
      <w:pPr>
        <w:spacing w:after="0" w:line="240" w:lineRule="auto"/>
        <w:ind w:left="720" w:hanging="720"/>
        <w:rPr>
          <w:rFonts w:cs="Calibri"/>
          <w:noProof/>
        </w:rPr>
      </w:pPr>
      <w:bookmarkStart w:id="175" w:name="_ENREF_16"/>
      <w:r w:rsidRPr="001E4C88">
        <w:rPr>
          <w:rFonts w:cs="Calibri"/>
          <w:noProof/>
        </w:rPr>
        <w:t>USDA Forest Service 2010b. National Volume Estimator Library.  In: Excel volume functions. Fort Collins, CO, Forest Management Service Center, USDA Forest Service.</w:t>
      </w:r>
      <w:bookmarkEnd w:id="175"/>
    </w:p>
    <w:p w:rsidR="001E4C88" w:rsidRPr="001E4C88" w:rsidRDefault="001E4C88" w:rsidP="001E4C88">
      <w:pPr>
        <w:spacing w:after="0" w:line="240" w:lineRule="auto"/>
        <w:ind w:left="720" w:hanging="720"/>
        <w:rPr>
          <w:rFonts w:cs="Calibri"/>
          <w:noProof/>
        </w:rPr>
      </w:pPr>
      <w:r w:rsidRPr="001E4C88">
        <w:rPr>
          <w:rFonts w:cs="Calibri"/>
          <w:noProof/>
        </w:rPr>
        <w:t>U.S. EPA 2008. Inventory of U.S. Greenhouse Gas Emissions and Sinks: 1990-2006, U.S. Environmental Protection Agency, Washington, D.C. 473p.</w:t>
      </w:r>
      <w:bookmarkEnd w:id="172"/>
    </w:p>
    <w:p w:rsidR="001E4C88" w:rsidRPr="001E4C88" w:rsidRDefault="001E4C88" w:rsidP="001E4C88">
      <w:pPr>
        <w:spacing w:after="0" w:line="240" w:lineRule="auto"/>
        <w:ind w:left="720" w:hanging="720"/>
        <w:rPr>
          <w:rFonts w:cs="Calibri"/>
          <w:noProof/>
        </w:rPr>
      </w:pPr>
      <w:bookmarkStart w:id="176" w:name="_ENREF_13"/>
      <w:r w:rsidRPr="001E4C88">
        <w:rPr>
          <w:rFonts w:cs="Calibri"/>
          <w:noProof/>
        </w:rPr>
        <w:t>U.S. EPA 2009. Inventory of U.S. Greenhouse Gas Emissions and Sinks: 1990-2007, U.S. Environmental Protection Agency, Washington, DC.</w:t>
      </w:r>
      <w:bookmarkEnd w:id="176"/>
    </w:p>
    <w:p w:rsidR="001E4C88" w:rsidRPr="001E4C88" w:rsidRDefault="001E4C88" w:rsidP="001E4C88">
      <w:pPr>
        <w:spacing w:after="0" w:line="240" w:lineRule="auto"/>
        <w:ind w:left="720" w:hanging="720"/>
        <w:rPr>
          <w:rFonts w:cs="Calibri"/>
          <w:noProof/>
        </w:rPr>
      </w:pPr>
      <w:r w:rsidRPr="001E4C88">
        <w:rPr>
          <w:rFonts w:cs="Calibri"/>
          <w:noProof/>
        </w:rPr>
        <w:t xml:space="preserve">Van Deusen, P. and L.S. Heath. 2007. COLE web applications suite. NCASI and USDA Forest Service, Northern Research Station. Available only on internet: </w:t>
      </w:r>
      <w:hyperlink r:id="rId31" w:history="1">
        <w:r w:rsidRPr="001E4C88">
          <w:rPr>
            <w:rStyle w:val="Hyperlink"/>
            <w:rFonts w:cs="Calibri"/>
            <w:noProof/>
          </w:rPr>
          <w:t>http://www.ncasi2.org/COLE/</w:t>
        </w:r>
      </w:hyperlink>
      <w:r w:rsidRPr="001E4C88">
        <w:rPr>
          <w:rFonts w:cs="Calibri"/>
          <w:noProof/>
        </w:rPr>
        <w:t xml:space="preserve"> </w:t>
      </w:r>
      <w:bookmarkEnd w:id="173"/>
    </w:p>
    <w:p w:rsidR="001E4C88" w:rsidRPr="001E4C88" w:rsidRDefault="001E4C88" w:rsidP="001E4C88">
      <w:pPr>
        <w:spacing w:after="0" w:line="240" w:lineRule="auto"/>
        <w:ind w:left="720" w:hanging="720"/>
        <w:rPr>
          <w:rFonts w:cs="Calibri"/>
          <w:noProof/>
        </w:rPr>
      </w:pPr>
      <w:bookmarkStart w:id="177" w:name="_ENREF_142"/>
      <w:r w:rsidRPr="001E4C88">
        <w:rPr>
          <w:rFonts w:cs="Calibri"/>
          <w:noProof/>
        </w:rPr>
        <w:t>Vandendriesche, D. 2010. "An empirical approach for estimating natural regeneration for the Forest Vegetation Simulator. In: Jain, Theresa B.; Graham, Russell T.; and Sandquist, Jonathan, tech. eds. 2010.  Integrated management of carbon sequestration and biomass utilization opportunities in a changing climate: Proceedings of the 2009 National Silviculture Workshop; 2009 June 15-18; Boise, ID. Proceedings RMRS-P-61. Fort Collins, CO: U.S. Department of Agriculture, Forest Service, Rocky Mountain Research Station. 307-320p."</w:t>
      </w:r>
      <w:bookmarkEnd w:id="177"/>
    </w:p>
    <w:p w:rsidR="001E4C88" w:rsidRPr="001E4C88" w:rsidRDefault="001E4C88" w:rsidP="001E4C88">
      <w:pPr>
        <w:spacing w:after="0" w:line="240" w:lineRule="auto"/>
        <w:ind w:left="720" w:hanging="720"/>
        <w:rPr>
          <w:rFonts w:cs="Calibri"/>
          <w:noProof/>
        </w:rPr>
      </w:pPr>
      <w:bookmarkStart w:id="178" w:name="_ENREF_143"/>
      <w:r w:rsidRPr="001E4C88">
        <w:rPr>
          <w:rFonts w:cs="Calibri"/>
          <w:noProof/>
        </w:rPr>
        <w:t xml:space="preserve">Vandendriesche, D. and L. Haugen 2006. Comparison of Measured Growth and Mortality Trends to Modeled FVS Projections Relative to Oak Decline Impacts as Observed Over Three FIA Inventory Cycles on the Mark </w:t>
      </w:r>
      <w:r w:rsidRPr="001E4C88">
        <w:rPr>
          <w:rFonts w:cs="Calibri"/>
          <w:noProof/>
        </w:rPr>
        <w:lastRenderedPageBreak/>
        <w:t>Twain National Forest. USDA Forest Service. Forest Management Service Center. Fort Collins, Colorado. 42p.</w:t>
      </w:r>
      <w:bookmarkEnd w:id="178"/>
    </w:p>
    <w:p w:rsidR="001E4C88" w:rsidRPr="001E4C88" w:rsidRDefault="001E4C88" w:rsidP="001E4C88">
      <w:pPr>
        <w:spacing w:after="0" w:line="240" w:lineRule="auto"/>
        <w:ind w:left="720" w:hanging="720"/>
        <w:rPr>
          <w:rFonts w:cs="Calibri"/>
          <w:noProof/>
        </w:rPr>
      </w:pPr>
      <w:bookmarkStart w:id="179" w:name="_ENREF_144"/>
      <w:r w:rsidRPr="001E4C88">
        <w:rPr>
          <w:rFonts w:cs="Calibri"/>
          <w:noProof/>
        </w:rPr>
        <w:t xml:space="preserve">Wang, J., S.T. Grushecky and J. McNeel 2005. "Production analysis of helicopter logging in West Virginia: a preliminary case study." </w:t>
      </w:r>
      <w:r w:rsidRPr="001E4C88">
        <w:rPr>
          <w:rFonts w:cs="Calibri"/>
          <w:noProof/>
          <w:u w:val="single"/>
        </w:rPr>
        <w:t>Forest Products Journal</w:t>
      </w:r>
      <w:r w:rsidRPr="001E4C88">
        <w:rPr>
          <w:rFonts w:cs="Calibri"/>
          <w:noProof/>
        </w:rPr>
        <w:t xml:space="preserve"> </w:t>
      </w:r>
      <w:r w:rsidRPr="001E4C88">
        <w:rPr>
          <w:rFonts w:cs="Calibri"/>
          <w:b/>
          <w:noProof/>
        </w:rPr>
        <w:t>55</w:t>
      </w:r>
      <w:r w:rsidRPr="001E4C88">
        <w:rPr>
          <w:rFonts w:cs="Calibri"/>
          <w:noProof/>
        </w:rPr>
        <w:t>(12): 71-76.</w:t>
      </w:r>
      <w:bookmarkEnd w:id="179"/>
    </w:p>
    <w:p w:rsidR="001E4C88" w:rsidRPr="001E4C88" w:rsidRDefault="001E4C88" w:rsidP="001E4C88">
      <w:pPr>
        <w:spacing w:after="0" w:line="240" w:lineRule="auto"/>
        <w:ind w:left="720" w:hanging="720"/>
        <w:rPr>
          <w:rFonts w:cs="Calibri"/>
          <w:noProof/>
        </w:rPr>
      </w:pPr>
      <w:bookmarkStart w:id="180" w:name="_ENREF_145"/>
      <w:r w:rsidRPr="001E4C88">
        <w:rPr>
          <w:rFonts w:cs="Calibri"/>
          <w:noProof/>
        </w:rPr>
        <w:t xml:space="preserve">Wear, D., J. Pye and K. Riitters 2004. "Defining conservation priorities using fragmentation forecasts." </w:t>
      </w:r>
      <w:r w:rsidRPr="001E4C88">
        <w:rPr>
          <w:rFonts w:cs="Calibri"/>
          <w:noProof/>
          <w:u w:val="single"/>
        </w:rPr>
        <w:t xml:space="preserve">Ecology and Society </w:t>
      </w:r>
      <w:r w:rsidRPr="001E4C88">
        <w:rPr>
          <w:rFonts w:cs="Calibri"/>
          <w:b/>
          <w:noProof/>
        </w:rPr>
        <w:t>9</w:t>
      </w:r>
      <w:r w:rsidRPr="001E4C88">
        <w:rPr>
          <w:rFonts w:cs="Calibri"/>
          <w:noProof/>
        </w:rPr>
        <w:t xml:space="preserve">(5): 4. [online] URL: </w:t>
      </w:r>
      <w:hyperlink r:id="rId32" w:history="1">
        <w:r w:rsidRPr="001E4C88">
          <w:rPr>
            <w:rStyle w:val="Hyperlink"/>
            <w:rFonts w:cs="Calibri"/>
            <w:noProof/>
          </w:rPr>
          <w:t>http://www.ecologyandsociety.org/vol9/iss5/art4/</w:t>
        </w:r>
      </w:hyperlink>
      <w:r w:rsidRPr="001E4C88">
        <w:rPr>
          <w:rFonts w:cs="Calibri"/>
          <w:noProof/>
        </w:rPr>
        <w:t xml:space="preserve"> </w:t>
      </w:r>
      <w:bookmarkEnd w:id="180"/>
    </w:p>
    <w:p w:rsidR="001E4C88" w:rsidRPr="001E4C88" w:rsidRDefault="001E4C88" w:rsidP="001E4C88">
      <w:pPr>
        <w:spacing w:after="0" w:line="240" w:lineRule="auto"/>
        <w:ind w:left="720" w:hanging="720"/>
        <w:rPr>
          <w:rFonts w:cs="Calibri"/>
          <w:noProof/>
        </w:rPr>
      </w:pPr>
      <w:bookmarkStart w:id="181" w:name="_ENREF_146"/>
      <w:r w:rsidRPr="001E4C88">
        <w:rPr>
          <w:rFonts w:cs="Calibri"/>
          <w:noProof/>
        </w:rPr>
        <w:t>Wendel, G.W. and N.I. Lamson 1987. Effects of herbicide release on the growth of 8- to 12-year-old hardwood trees.  NE-RP-598. Broomall, PA: U.S. Department of Agriculture, Forest Service, Northeastern Forest Experiment Station. 4 p.</w:t>
      </w:r>
      <w:bookmarkEnd w:id="181"/>
    </w:p>
    <w:p w:rsidR="001E4C88" w:rsidRDefault="001E4C88" w:rsidP="00E91DB7">
      <w:pPr>
        <w:spacing w:line="240" w:lineRule="auto"/>
        <w:ind w:left="720" w:hanging="720"/>
        <w:rPr>
          <w:rFonts w:cs="Calibri"/>
          <w:noProof/>
        </w:rPr>
      </w:pPr>
      <w:bookmarkStart w:id="182" w:name="_ENREF_147"/>
      <w:r w:rsidRPr="001E4C88">
        <w:rPr>
          <w:rFonts w:cs="Calibri"/>
          <w:noProof/>
        </w:rPr>
        <w:t xml:space="preserve">Yaussy, D.A. 2000. "Comparison of an empirical forest growth and yield simulator and a forest gap simulator using actual 30-year growth from two even-aged forests in Kentucky." </w:t>
      </w:r>
      <w:r w:rsidRPr="001E4C88">
        <w:rPr>
          <w:rFonts w:cs="Calibri"/>
          <w:noProof/>
          <w:u w:val="single"/>
        </w:rPr>
        <w:t>Forest Ecology and Management</w:t>
      </w:r>
      <w:r w:rsidRPr="001E4C88">
        <w:rPr>
          <w:rFonts w:cs="Calibri"/>
          <w:noProof/>
        </w:rPr>
        <w:t xml:space="preserve"> </w:t>
      </w:r>
      <w:r w:rsidRPr="001E4C88">
        <w:rPr>
          <w:rFonts w:cs="Calibri"/>
          <w:b/>
          <w:noProof/>
        </w:rPr>
        <w:t>126</w:t>
      </w:r>
      <w:r w:rsidRPr="001E4C88">
        <w:rPr>
          <w:rFonts w:cs="Calibri"/>
          <w:noProof/>
        </w:rPr>
        <w:t>(3): 385-398.</w:t>
      </w:r>
      <w:bookmarkEnd w:id="182"/>
    </w:p>
    <w:p w:rsidR="003533BE" w:rsidRPr="0008386A" w:rsidRDefault="00002B87" w:rsidP="00736596">
      <w:pPr>
        <w:spacing w:line="240" w:lineRule="auto"/>
        <w:rPr>
          <w:rFonts w:asciiTheme="minorHAnsi" w:hAnsiTheme="minorHAnsi" w:cstheme="minorHAnsi"/>
        </w:rPr>
      </w:pPr>
      <w:r>
        <w:fldChar w:fldCharType="end"/>
      </w:r>
    </w:p>
    <w:sectPr w:rsidR="003533BE" w:rsidRPr="0008386A" w:rsidSect="008F1E2A">
      <w:footerReference w:type="default" r:id="rId33"/>
      <w:footnotePr>
        <w:numFmt w:val="lowerRoman"/>
      </w:footnotePr>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78D" w:rsidRDefault="0071278D" w:rsidP="003608C0">
      <w:pPr>
        <w:spacing w:after="0" w:line="240" w:lineRule="auto"/>
      </w:pPr>
      <w:r>
        <w:separator/>
      </w:r>
    </w:p>
    <w:p w:rsidR="0071278D" w:rsidRDefault="0071278D"/>
  </w:endnote>
  <w:endnote w:type="continuationSeparator" w:id="0">
    <w:p w:rsidR="0071278D" w:rsidRDefault="0071278D" w:rsidP="003608C0">
      <w:pPr>
        <w:spacing w:after="0" w:line="240" w:lineRule="auto"/>
      </w:pPr>
      <w:r>
        <w:continuationSeparator/>
      </w:r>
    </w:p>
    <w:p w:rsidR="0071278D" w:rsidRDefault="00712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HVQPS+HelveticaNeue-Roman">
    <w:altName w:val="Helvetica Neue"/>
    <w:panose1 w:val="00000000000000000000"/>
    <w:charset w:val="00"/>
    <w:family w:val="roman"/>
    <w:notTrueType/>
    <w:pitch w:val="default"/>
    <w:sig w:usb0="00000003" w:usb1="00000000" w:usb2="00000000" w:usb3="00000000" w:csb0="00000001" w:csb1="00000000"/>
  </w:font>
  <w:font w:name="NewCenturySchlb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E1" w:rsidRDefault="00816BE1">
    <w:pPr>
      <w:pStyle w:val="Footer"/>
      <w:jc w:val="right"/>
    </w:pPr>
    <w:r>
      <w:fldChar w:fldCharType="begin"/>
    </w:r>
    <w:r>
      <w:instrText xml:space="preserve"> PAGE   \* MERGEFORMAT </w:instrText>
    </w:r>
    <w:r>
      <w:fldChar w:fldCharType="separate"/>
    </w:r>
    <w:r w:rsidR="00B36E79">
      <w:rPr>
        <w:noProof/>
      </w:rPr>
      <w:t>3</w:t>
    </w:r>
    <w:r>
      <w:rPr>
        <w:noProof/>
      </w:rPr>
      <w:fldChar w:fldCharType="end"/>
    </w:r>
  </w:p>
  <w:p w:rsidR="00816BE1" w:rsidRDefault="00816BE1">
    <w:pPr>
      <w:pStyle w:val="Footer"/>
    </w:pPr>
  </w:p>
  <w:p w:rsidR="00816BE1" w:rsidRDefault="00816B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78D" w:rsidRDefault="0071278D" w:rsidP="003608C0">
      <w:pPr>
        <w:spacing w:after="0" w:line="240" w:lineRule="auto"/>
      </w:pPr>
      <w:r>
        <w:separator/>
      </w:r>
    </w:p>
    <w:p w:rsidR="0071278D" w:rsidRDefault="0071278D"/>
  </w:footnote>
  <w:footnote w:type="continuationSeparator" w:id="0">
    <w:p w:rsidR="0071278D" w:rsidRDefault="0071278D" w:rsidP="003608C0">
      <w:pPr>
        <w:spacing w:after="0" w:line="240" w:lineRule="auto"/>
      </w:pPr>
      <w:r>
        <w:continuationSeparator/>
      </w:r>
    </w:p>
    <w:p w:rsidR="0071278D" w:rsidRDefault="0071278D"/>
  </w:footnote>
  <w:footnote w:id="1">
    <w:p w:rsidR="00816BE1" w:rsidRDefault="00816BE1" w:rsidP="008A7B1D">
      <w:pPr>
        <w:pStyle w:val="FootnoteText"/>
      </w:pPr>
      <w:r>
        <w:rPr>
          <w:rStyle w:val="FootnoteReference"/>
        </w:rPr>
        <w:footnoteRef/>
      </w:r>
      <w:r>
        <w:t xml:space="preserve"> T</w:t>
      </w:r>
      <w:r w:rsidRPr="00D91EBD">
        <w:t>o be classified as forestland</w:t>
      </w:r>
      <w:r>
        <w:t xml:space="preserve">, an area must generally have at </w:t>
      </w:r>
      <w:r w:rsidRPr="00D91EBD">
        <w:t xml:space="preserve">least </w:t>
      </w:r>
      <w:r>
        <w:rPr>
          <w:lang w:val="en-US"/>
        </w:rPr>
        <w:t>ten</w:t>
      </w:r>
      <w:r w:rsidRPr="00D91EBD">
        <w:t xml:space="preserve"> percent </w:t>
      </w:r>
      <w:r>
        <w:t xml:space="preserve">live tree cover and be </w:t>
      </w:r>
      <w:r w:rsidRPr="008A7B1D">
        <w:t xml:space="preserve">at least 120 </w:t>
      </w:r>
      <w:r>
        <w:rPr>
          <w:lang w:val="en-US"/>
        </w:rPr>
        <w:t>ft.</w:t>
      </w:r>
      <w:r>
        <w:t xml:space="preserve"> wide and </w:t>
      </w:r>
      <w:r>
        <w:rPr>
          <w:lang w:val="en-US"/>
        </w:rPr>
        <w:t>one</w:t>
      </w:r>
      <w:r>
        <w:t xml:space="preserve"> acre in size, </w:t>
      </w:r>
      <w:r w:rsidRPr="008A7B1D">
        <w:t>including land that formerly had such tree cover</w:t>
      </w:r>
      <w:r>
        <w:t xml:space="preserve"> </w:t>
      </w:r>
      <w:r w:rsidRPr="008A7B1D">
        <w:t>and will be naturally or artificially regenerated</w:t>
      </w:r>
      <w:r>
        <w:t xml:space="preserve"> (</w:t>
      </w:r>
      <w:r>
        <w:rPr>
          <w:lang w:val="en-US"/>
        </w:rPr>
        <w:t xml:space="preserve">W.B. </w:t>
      </w:r>
      <w:r>
        <w:t xml:space="preserve">Smith </w:t>
      </w:r>
      <w:r>
        <w:rPr>
          <w:lang w:val="en-US"/>
        </w:rPr>
        <w:t xml:space="preserve">et al. </w:t>
      </w:r>
      <w:r>
        <w:t>2009)</w:t>
      </w:r>
      <w:r w:rsidRPr="008A7B1D">
        <w:t>.</w:t>
      </w:r>
    </w:p>
  </w:footnote>
  <w:footnote w:id="2">
    <w:p w:rsidR="00816BE1" w:rsidRDefault="00816BE1" w:rsidP="00595E62">
      <w:pPr>
        <w:pStyle w:val="FootnoteText"/>
      </w:pPr>
      <w:r>
        <w:rPr>
          <w:rStyle w:val="FootnoteReference"/>
        </w:rPr>
        <w:footnoteRef/>
      </w:r>
      <w:r>
        <w:t xml:space="preserve"> As defined by Region 8 of the U.S. Dept. of Agriculture, Forest Service</w:t>
      </w:r>
    </w:p>
  </w:footnote>
  <w:footnote w:id="3">
    <w:p w:rsidR="00816BE1" w:rsidRDefault="00816BE1" w:rsidP="00D523E3">
      <w:pPr>
        <w:pStyle w:val="FootnoteText"/>
      </w:pPr>
      <w:r>
        <w:rPr>
          <w:rStyle w:val="FootnoteReference"/>
        </w:rPr>
        <w:footnoteRef/>
      </w:r>
      <w:r>
        <w:t xml:space="preserve"> Data from forests in the central portions of Oklahoma and Texas were not yet available for this period.</w:t>
      </w:r>
    </w:p>
  </w:footnote>
  <w:footnote w:id="4">
    <w:p w:rsidR="00816BE1" w:rsidRDefault="00816BE1" w:rsidP="00F95D83">
      <w:pPr>
        <w:pStyle w:val="FootnoteText"/>
      </w:pPr>
      <w:r>
        <w:rPr>
          <w:rStyle w:val="FootnoteReference"/>
        </w:rPr>
        <w:footnoteRef/>
      </w:r>
      <w:r>
        <w:t xml:space="preserve"> Timberlands are defined as forestland that is capable of producing in excess of 20 cubic </w:t>
      </w:r>
      <w:r>
        <w:rPr>
          <w:lang w:val="en-US"/>
        </w:rPr>
        <w:t>ft.</w:t>
      </w:r>
      <w:r>
        <w:t xml:space="preserve"> of industrial wood per acre per year in natural stands and is not precluded from timber extractions by statute or regulation (Smith 2009). </w:t>
      </w:r>
    </w:p>
    <w:p w:rsidR="00816BE1" w:rsidRDefault="00816BE1" w:rsidP="00F95D83">
      <w:pPr>
        <w:pStyle w:val="FootnoteText"/>
      </w:pPr>
    </w:p>
    <w:p w:rsidR="00816BE1" w:rsidRDefault="00816BE1">
      <w:pPr>
        <w:pStyle w:val="FootnoteText"/>
      </w:pPr>
    </w:p>
  </w:footnote>
  <w:footnote w:id="5">
    <w:p w:rsidR="00816BE1" w:rsidRPr="00B12896" w:rsidRDefault="00816BE1">
      <w:pPr>
        <w:pStyle w:val="FootnoteText"/>
        <w:rPr>
          <w:lang w:val="en-US"/>
        </w:rPr>
      </w:pPr>
      <w:r>
        <w:rPr>
          <w:rStyle w:val="FootnoteReference"/>
        </w:rPr>
        <w:footnoteRef/>
      </w:r>
      <w:r>
        <w:t xml:space="preserve"> </w:t>
      </w:r>
      <w:r>
        <w:rPr>
          <w:lang w:val="en-US"/>
        </w:rPr>
        <w:t xml:space="preserve">This area includes </w:t>
      </w:r>
      <w:r w:rsidRPr="009D6D5F">
        <w:rPr>
          <w:rFonts w:cs="Calibri"/>
        </w:rPr>
        <w:t>the</w:t>
      </w:r>
      <w:r>
        <w:rPr>
          <w:rFonts w:cs="Calibri"/>
        </w:rPr>
        <w:t xml:space="preserve"> area assessed in this analysis</w:t>
      </w:r>
      <w:r>
        <w:rPr>
          <w:rFonts w:cs="Calibri"/>
          <w:lang w:val="en-US"/>
        </w:rPr>
        <w:t>,</w:t>
      </w:r>
      <w:r>
        <w:rPr>
          <w:lang w:val="en-US"/>
        </w:rPr>
        <w:t xml:space="preserve"> the Cumberland Mountains of TN.</w:t>
      </w:r>
    </w:p>
  </w:footnote>
  <w:footnote w:id="6">
    <w:p w:rsidR="00816BE1" w:rsidRDefault="00816BE1" w:rsidP="00A95F6D">
      <w:pPr>
        <w:pStyle w:val="FootnoteText"/>
      </w:pPr>
      <w:r>
        <w:rPr>
          <w:rStyle w:val="FootnoteReference"/>
        </w:rPr>
        <w:footnoteRef/>
      </w:r>
      <w:r>
        <w:t xml:space="preserve"> These statistics were computed from all southern states including Texas and Oklahoma at the 95 percent confidence level using the </w:t>
      </w:r>
      <w:r w:rsidRPr="00CD5FF0">
        <w:rPr>
          <w:color w:val="000000"/>
        </w:rPr>
        <w:t>National Woodland Owner Survey Table Maker.</w:t>
      </w:r>
    </w:p>
  </w:footnote>
  <w:footnote w:id="7">
    <w:p w:rsidR="00816BE1" w:rsidRPr="00D319FC" w:rsidRDefault="00816BE1" w:rsidP="00D319FC">
      <w:pPr>
        <w:pStyle w:val="FootnoteText"/>
        <w:rPr>
          <w:lang w:val="en-US"/>
        </w:rPr>
      </w:pPr>
      <w:r>
        <w:rPr>
          <w:rStyle w:val="FootnoteReference"/>
        </w:rPr>
        <w:footnoteRef/>
      </w:r>
      <w:r>
        <w:t xml:space="preserve"> </w:t>
      </w:r>
      <w:r w:rsidRPr="00D319FC">
        <w:rPr>
          <w:bCs/>
        </w:rPr>
        <w:t>Recorded in the period 1961-90 at Oneida, Tennessee</w:t>
      </w:r>
    </w:p>
  </w:footnote>
  <w:footnote w:id="8">
    <w:p w:rsidR="00816BE1" w:rsidRPr="00A967ED" w:rsidRDefault="00816BE1">
      <w:pPr>
        <w:pStyle w:val="FootnoteText"/>
        <w:rPr>
          <w:lang w:val="en-US"/>
        </w:rPr>
      </w:pPr>
      <w:r>
        <w:rPr>
          <w:rStyle w:val="FootnoteReference"/>
        </w:rPr>
        <w:footnoteRef/>
      </w:r>
      <w:r>
        <w:t xml:space="preserve"> </w:t>
      </w:r>
      <w:r>
        <w:rPr>
          <w:lang w:val="en-US"/>
        </w:rPr>
        <w:t>This relative density measure is already a FVS variable; though at the present time, it must be manually calculated for simulations in southern states because it can only be used in concert with the northeast variant.</w:t>
      </w:r>
    </w:p>
  </w:footnote>
  <w:footnote w:id="9">
    <w:p w:rsidR="00816BE1" w:rsidRPr="00B74A9F" w:rsidRDefault="00816BE1">
      <w:pPr>
        <w:pStyle w:val="FootnoteText"/>
        <w:rPr>
          <w:lang w:val="en-US"/>
        </w:rPr>
      </w:pPr>
      <w:r>
        <w:rPr>
          <w:rStyle w:val="FootnoteReference"/>
        </w:rPr>
        <w:footnoteRef/>
      </w:r>
      <w:r>
        <w:t xml:space="preserve"> </w:t>
      </w:r>
      <w:r>
        <w:rPr>
          <w:lang w:val="en-US"/>
        </w:rPr>
        <w:t xml:space="preserve">Converting FIA database fields to FVS input fields is explained </w:t>
      </w:r>
      <w:r w:rsidRPr="00261637">
        <w:rPr>
          <w:lang w:val="en-US"/>
        </w:rPr>
        <w:t>in</w:t>
      </w:r>
      <w:r>
        <w:rPr>
          <w:lang w:val="en-US"/>
        </w:rPr>
        <w:t>:</w:t>
      </w:r>
      <w:r w:rsidRPr="00261637">
        <w:rPr>
          <w:lang w:val="en-US"/>
        </w:rPr>
        <w:t xml:space="preserve"> </w:t>
      </w:r>
      <w:r>
        <w:rPr>
          <w:rStyle w:val="apple-style-span"/>
          <w:color w:val="000000"/>
        </w:rPr>
        <w:t>Shaw, John D.</w:t>
      </w:r>
      <w:r w:rsidRPr="00261637">
        <w:rPr>
          <w:rStyle w:val="apple-style-span"/>
          <w:color w:val="000000"/>
        </w:rPr>
        <w:t xml:space="preserve"> 2009.  Using FIA data in the Forest Vegetation Simulator.   In: McWilliams, Will; </w:t>
      </w:r>
      <w:proofErr w:type="spellStart"/>
      <w:r w:rsidRPr="00261637">
        <w:rPr>
          <w:rStyle w:val="apple-style-span"/>
          <w:color w:val="000000"/>
        </w:rPr>
        <w:t>Moisen</w:t>
      </w:r>
      <w:proofErr w:type="spellEnd"/>
      <w:r w:rsidRPr="00261637">
        <w:rPr>
          <w:rStyle w:val="apple-style-span"/>
          <w:color w:val="000000"/>
        </w:rPr>
        <w:t xml:space="preserve">, Gretchen; </w:t>
      </w:r>
      <w:proofErr w:type="spellStart"/>
      <w:r w:rsidRPr="00261637">
        <w:rPr>
          <w:rStyle w:val="apple-style-span"/>
          <w:color w:val="000000"/>
        </w:rPr>
        <w:t>Czaplewski</w:t>
      </w:r>
      <w:proofErr w:type="spellEnd"/>
      <w:r w:rsidRPr="00261637">
        <w:rPr>
          <w:rStyle w:val="apple-style-span"/>
          <w:color w:val="000000"/>
        </w:rPr>
        <w:t xml:space="preserve">, Ray, comps. Forest Inventory and Analysis </w:t>
      </w:r>
      <w:r w:rsidRPr="00B74A9F">
        <w:rPr>
          <w:rStyle w:val="apple-style-span"/>
          <w:color w:val="000000"/>
        </w:rPr>
        <w:t>(FIA) Symposium 2008; October 21-23, 2008; Park City, UT. Proc. RMRS-P-56CD. Fort Collins, CO: U.S. Department of Agriculture, Forest Service, Rocky Mountain Research Station. 16 p.</w:t>
      </w:r>
      <w:r w:rsidRPr="00B74A9F">
        <w:rPr>
          <w:rStyle w:val="apple-style-span"/>
          <w:color w:val="000000"/>
          <w:lang w:val="en-US"/>
        </w:rPr>
        <w:t xml:space="preserve"> </w:t>
      </w:r>
      <w:hyperlink r:id="rId1" w:history="1">
        <w:r w:rsidRPr="00B74A9F">
          <w:rPr>
            <w:rFonts w:eastAsia="Calibri"/>
            <w:color w:val="0000FF"/>
            <w:sz w:val="22"/>
            <w:szCs w:val="22"/>
            <w:u w:val="single"/>
            <w:lang w:val="en-US" w:eastAsia="en-US"/>
          </w:rPr>
          <w:t>http://www.treesearch.fs.fed.us/pubs/33330</w:t>
        </w:r>
      </w:hyperlink>
    </w:p>
  </w:footnote>
  <w:footnote w:id="10">
    <w:p w:rsidR="00816BE1" w:rsidRPr="0048623D" w:rsidRDefault="00816BE1">
      <w:pPr>
        <w:pStyle w:val="FootnoteText"/>
        <w:rPr>
          <w:lang w:val="en-US"/>
        </w:rPr>
      </w:pPr>
      <w:r>
        <w:rPr>
          <w:rStyle w:val="FootnoteReference"/>
        </w:rPr>
        <w:footnoteRef/>
      </w:r>
      <w:r>
        <w:t xml:space="preserve"> </w:t>
      </w:r>
      <w:r w:rsidRPr="0048623D">
        <w:t xml:space="preserve">Utilizing the Repute program involved such an exhaustive exercise because the online FIA database tool (Mapmaker 2.1) that transfigured FIA data into FVS-ready input files was lost in a server crash.  </w:t>
      </w:r>
    </w:p>
  </w:footnote>
  <w:footnote w:id="11">
    <w:p w:rsidR="00816BE1" w:rsidRPr="00F36D42" w:rsidRDefault="00816BE1" w:rsidP="00EF3402">
      <w:pPr>
        <w:pStyle w:val="FootnoteText"/>
        <w:rPr>
          <w:lang w:val="en-US"/>
        </w:rPr>
      </w:pPr>
      <w:r>
        <w:rPr>
          <w:rStyle w:val="FootnoteReference"/>
        </w:rPr>
        <w:footnoteRef/>
      </w:r>
      <w:r>
        <w:t xml:space="preserve"> </w:t>
      </w:r>
      <w:r w:rsidRPr="00F36D42">
        <w:rPr>
          <w:lang w:val="en-US"/>
        </w:rPr>
        <w:t xml:space="preserve">Diameter increments given by </w:t>
      </w:r>
      <w:r w:rsidRPr="00F36D42">
        <w:t xml:space="preserve">trees measured </w:t>
      </w:r>
      <w:r w:rsidRPr="00F36D42">
        <w:rPr>
          <w:lang w:val="en-US"/>
        </w:rPr>
        <w:t xml:space="preserve">in more than one inventory (including those from FIA plots </w:t>
      </w:r>
      <w:r w:rsidRPr="00F36D42">
        <w:t>from the TN Cumberland Mountains</w:t>
      </w:r>
      <w:r w:rsidRPr="00F36D42">
        <w:rPr>
          <w:lang w:val="en-US"/>
        </w:rPr>
        <w:t xml:space="preserve">) were basis of this calibration. </w:t>
      </w:r>
    </w:p>
  </w:footnote>
  <w:footnote w:id="12">
    <w:p w:rsidR="00816BE1" w:rsidRDefault="00816BE1">
      <w:pPr>
        <w:pStyle w:val="FootnoteText"/>
      </w:pPr>
      <w:r>
        <w:rPr>
          <w:rStyle w:val="FootnoteReference"/>
        </w:rPr>
        <w:footnoteRef/>
      </w:r>
      <w:r>
        <w:t xml:space="preserve"> This refers to management judgments based on tree health and quality</w:t>
      </w:r>
      <w:r>
        <w:rPr>
          <w:lang w:val="en-US"/>
        </w:rPr>
        <w:t>.  In addition to the exception made for percent rot measurements mentioned previously, other exceptions to this rule are disclosed hereafter.</w:t>
      </w:r>
    </w:p>
  </w:footnote>
  <w:footnote w:id="13">
    <w:p w:rsidR="00816BE1" w:rsidRPr="005B3F7A" w:rsidRDefault="00816BE1" w:rsidP="009838FA">
      <w:pPr>
        <w:pStyle w:val="FootnoteText"/>
        <w:rPr>
          <w:lang w:val="en-US"/>
        </w:rPr>
      </w:pPr>
      <w:r>
        <w:rPr>
          <w:rStyle w:val="FootnoteReference"/>
        </w:rPr>
        <w:footnoteRef/>
      </w:r>
      <w:r>
        <w:t xml:space="preserve"> </w:t>
      </w:r>
      <w:r>
        <w:rPr>
          <w:lang w:val="en-US"/>
        </w:rPr>
        <w:t>While this is most likely an unrealistic assumption for the BAU management case, it was necessary to avoid overcomplicating the scenario comparisons.</w:t>
      </w:r>
    </w:p>
  </w:footnote>
  <w:footnote w:id="14">
    <w:p w:rsidR="00816BE1" w:rsidRPr="007F2D5E" w:rsidRDefault="00816BE1" w:rsidP="009838FA">
      <w:pPr>
        <w:pStyle w:val="FootnoteText"/>
        <w:rPr>
          <w:lang w:val="en-US"/>
        </w:rPr>
      </w:pPr>
      <w:r>
        <w:rPr>
          <w:rStyle w:val="FootnoteReference"/>
        </w:rPr>
        <w:footnoteRef/>
      </w:r>
      <w:r>
        <w:t xml:space="preserve"> </w:t>
      </w:r>
      <w:r>
        <w:rPr>
          <w:lang w:val="en-US"/>
        </w:rPr>
        <w:t>Crop trees were not grown larger than the maximum diameters that the relevant mill or steep-terrain harvester is capable of handling.</w:t>
      </w:r>
    </w:p>
  </w:footnote>
  <w:footnote w:id="15">
    <w:p w:rsidR="00816BE1" w:rsidRPr="0078163B" w:rsidRDefault="00816BE1" w:rsidP="009838FA">
      <w:pPr>
        <w:pStyle w:val="FootnoteText"/>
        <w:rPr>
          <w:lang w:val="en-US"/>
        </w:rPr>
      </w:pPr>
      <w:r>
        <w:rPr>
          <w:rStyle w:val="FootnoteReference"/>
        </w:rPr>
        <w:footnoteRef/>
      </w:r>
      <w:r>
        <w:t xml:space="preserve"> </w:t>
      </w:r>
      <w:r>
        <w:rPr>
          <w:lang w:val="en-US"/>
        </w:rPr>
        <w:t xml:space="preserve">Stumpage rates were </w:t>
      </w:r>
      <w:r>
        <w:t>derived from delivered volumes not cruise estimates</w:t>
      </w:r>
      <w:r>
        <w:rPr>
          <w:lang w:val="en-US"/>
        </w:rPr>
        <w:t>.</w:t>
      </w:r>
    </w:p>
  </w:footnote>
  <w:footnote w:id="16">
    <w:p w:rsidR="00816BE1" w:rsidRPr="00591524" w:rsidRDefault="00816BE1" w:rsidP="00020458">
      <w:pPr>
        <w:pStyle w:val="FootnoteText"/>
        <w:rPr>
          <w:rFonts w:ascii="Calibri" w:hAnsi="Calibri" w:cs="Calibri"/>
        </w:rPr>
      </w:pPr>
      <w:r w:rsidRPr="00591524">
        <w:rPr>
          <w:rStyle w:val="FootnoteReference"/>
          <w:rFonts w:ascii="Calibri" w:hAnsi="Calibri" w:cs="Calibri"/>
        </w:rPr>
        <w:footnoteRef/>
      </w:r>
      <w:r w:rsidRPr="00591524">
        <w:rPr>
          <w:rFonts w:ascii="Calibri" w:hAnsi="Calibri" w:cs="Calibri"/>
        </w:rPr>
        <w:t xml:space="preserve"> </w:t>
      </w:r>
      <w:r>
        <w:t xml:space="preserve">Pers. </w:t>
      </w:r>
      <w:r>
        <w:rPr>
          <w:lang w:val="en-US"/>
        </w:rPr>
        <w:t>c</w:t>
      </w:r>
      <w:proofErr w:type="spellStart"/>
      <w:r w:rsidRPr="006A3E3A">
        <w:t>omm</w:t>
      </w:r>
      <w:proofErr w:type="spellEnd"/>
      <w:r w:rsidRPr="006A3E3A">
        <w:t xml:space="preserve">., Chad Keyser, </w:t>
      </w:r>
      <w:r w:rsidRPr="006A3E3A">
        <w:rPr>
          <w:rStyle w:val="HTMLTypewriter"/>
          <w:rFonts w:ascii="Times New Roman" w:hAnsi="Times New Roman" w:cs="Times New Roman"/>
        </w:rPr>
        <w:t>USFS Forest Management Service Center, May 14, 2009</w:t>
      </w:r>
    </w:p>
  </w:footnote>
  <w:footnote w:id="17">
    <w:p w:rsidR="00816BE1" w:rsidRPr="006A3E3A" w:rsidRDefault="00816BE1">
      <w:pPr>
        <w:pStyle w:val="FootnoteText"/>
        <w:rPr>
          <w:lang w:val="en-US"/>
        </w:rPr>
      </w:pPr>
      <w:r>
        <w:rPr>
          <w:rStyle w:val="FootnoteReference"/>
        </w:rPr>
        <w:footnoteRef/>
      </w:r>
      <w:r>
        <w:t xml:space="preserve"> Pers. </w:t>
      </w:r>
      <w:r>
        <w:rPr>
          <w:lang w:val="en-US"/>
        </w:rPr>
        <w:t>c</w:t>
      </w:r>
      <w:proofErr w:type="spellStart"/>
      <w:r w:rsidRPr="006A3E3A">
        <w:t>omm</w:t>
      </w:r>
      <w:proofErr w:type="spellEnd"/>
      <w:r w:rsidRPr="006A3E3A">
        <w:t xml:space="preserve">., </w:t>
      </w:r>
      <w:r>
        <w:rPr>
          <w:lang w:val="en-US"/>
        </w:rPr>
        <w:t>Richard Taylor</w:t>
      </w:r>
      <w:r w:rsidRPr="006A3E3A">
        <w:t xml:space="preserve">, </w:t>
      </w:r>
      <w:r>
        <w:rPr>
          <w:rStyle w:val="HTMLTypewriter"/>
          <w:rFonts w:ascii="Times New Roman" w:hAnsi="Times New Roman" w:cs="Times New Roman"/>
          <w:lang w:val="en-US"/>
        </w:rPr>
        <w:t>Columbia Forest Products</w:t>
      </w:r>
      <w:r w:rsidRPr="006A3E3A">
        <w:rPr>
          <w:rStyle w:val="HTMLTypewriter"/>
          <w:rFonts w:ascii="Times New Roman" w:hAnsi="Times New Roman" w:cs="Times New Roman"/>
        </w:rPr>
        <w:t xml:space="preserve">, </w:t>
      </w:r>
      <w:r>
        <w:rPr>
          <w:rStyle w:val="HTMLTypewriter"/>
          <w:rFonts w:ascii="Times New Roman" w:hAnsi="Times New Roman" w:cs="Times New Roman"/>
          <w:lang w:val="en-US"/>
        </w:rPr>
        <w:t>October 20</w:t>
      </w:r>
      <w:r w:rsidRPr="006A3E3A">
        <w:rPr>
          <w:rStyle w:val="HTMLTypewriter"/>
          <w:rFonts w:ascii="Times New Roman" w:hAnsi="Times New Roman" w:cs="Times New Roman"/>
        </w:rPr>
        <w:t>, 2009</w:t>
      </w:r>
    </w:p>
  </w:footnote>
  <w:footnote w:id="18">
    <w:p w:rsidR="00816BE1" w:rsidRDefault="00816BE1" w:rsidP="00020458">
      <w:pPr>
        <w:pStyle w:val="FootnoteText"/>
      </w:pPr>
      <w:r w:rsidRPr="00591524">
        <w:rPr>
          <w:rStyle w:val="FootnoteReference"/>
          <w:rFonts w:ascii="Calibri" w:hAnsi="Calibri" w:cs="Calibri"/>
        </w:rPr>
        <w:footnoteRef/>
      </w:r>
      <w:r w:rsidRPr="00591524">
        <w:rPr>
          <w:rFonts w:ascii="Calibri" w:hAnsi="Calibri" w:cs="Calibri"/>
        </w:rPr>
        <w:t xml:space="preserve"> </w:t>
      </w:r>
      <w:r w:rsidRPr="00E637C1">
        <w:t xml:space="preserve">Some trees did not have 16′ butt logs but did contain one 12′ </w:t>
      </w:r>
      <w:r>
        <w:rPr>
          <w:lang w:val="en-US"/>
        </w:rPr>
        <w:t xml:space="preserve"> of </w:t>
      </w:r>
      <w:r>
        <w:t>1</w:t>
      </w:r>
      <w:r>
        <w:rPr>
          <w:lang w:val="en-US"/>
        </w:rPr>
        <w:t>4</w:t>
      </w:r>
      <w:r w:rsidRPr="00E637C1">
        <w:t>′ log.</w:t>
      </w:r>
      <w:r>
        <w:t xml:space="preserve">   </w:t>
      </w:r>
    </w:p>
  </w:footnote>
  <w:footnote w:id="19">
    <w:p w:rsidR="00816BE1" w:rsidRPr="003A2315" w:rsidRDefault="00816BE1">
      <w:pPr>
        <w:pStyle w:val="FootnoteText"/>
        <w:rPr>
          <w:lang w:val="en-US"/>
        </w:rPr>
      </w:pPr>
      <w:r>
        <w:rPr>
          <w:rStyle w:val="FootnoteReference"/>
        </w:rPr>
        <w:footnoteRef/>
      </w:r>
      <w:r>
        <w:t xml:space="preserve"> </w:t>
      </w:r>
      <w:r w:rsidRPr="003A2315">
        <w:rPr>
          <w:lang w:val="en-US"/>
        </w:rPr>
        <w:t xml:space="preserve">Pers. comm., </w:t>
      </w:r>
      <w:r>
        <w:rPr>
          <w:lang w:val="en-US"/>
        </w:rPr>
        <w:t>Greg Bailey</w:t>
      </w:r>
      <w:r w:rsidRPr="003A2315">
        <w:rPr>
          <w:lang w:val="en-US"/>
        </w:rPr>
        <w:t xml:space="preserve">, </w:t>
      </w:r>
      <w:r>
        <w:rPr>
          <w:lang w:val="en-US"/>
        </w:rPr>
        <w:t>American Forest Management</w:t>
      </w:r>
      <w:r w:rsidRPr="003A2315">
        <w:rPr>
          <w:lang w:val="en-US"/>
        </w:rPr>
        <w:t xml:space="preserve">, </w:t>
      </w:r>
      <w:r>
        <w:rPr>
          <w:lang w:val="en-US"/>
        </w:rPr>
        <w:t>January</w:t>
      </w:r>
      <w:r w:rsidRPr="003A2315">
        <w:rPr>
          <w:lang w:val="en-US"/>
        </w:rPr>
        <w:t xml:space="preserve"> </w:t>
      </w:r>
      <w:r>
        <w:rPr>
          <w:lang w:val="en-US"/>
        </w:rPr>
        <w:t>26</w:t>
      </w:r>
      <w:r w:rsidRPr="003A2315">
        <w:rPr>
          <w:lang w:val="en-US"/>
        </w:rPr>
        <w:t>, 20</w:t>
      </w:r>
      <w:r>
        <w:rPr>
          <w:lang w:val="en-US"/>
        </w:rPr>
        <w:t>10</w:t>
      </w:r>
    </w:p>
  </w:footnote>
  <w:footnote w:id="20">
    <w:p w:rsidR="00816BE1" w:rsidRPr="009A2536" w:rsidRDefault="00816BE1">
      <w:pPr>
        <w:pStyle w:val="FootnoteText"/>
        <w:rPr>
          <w:lang w:val="en-US"/>
        </w:rPr>
      </w:pPr>
      <w:r>
        <w:rPr>
          <w:rStyle w:val="FootnoteReference"/>
        </w:rPr>
        <w:footnoteRef/>
      </w:r>
      <w:r>
        <w:t xml:space="preserve"> </w:t>
      </w:r>
      <w:r w:rsidRPr="009A2536">
        <w:t>The same cost was not applied in the CAR-involvement case due to</w:t>
      </w:r>
      <w:r>
        <w:rPr>
          <w:lang w:val="en-US"/>
        </w:rPr>
        <w:t xml:space="preserve"> its incorporation into a project development fee.</w:t>
      </w:r>
    </w:p>
  </w:footnote>
  <w:footnote w:id="21">
    <w:p w:rsidR="00816BE1" w:rsidRPr="00C02FF0" w:rsidRDefault="00816BE1" w:rsidP="00C04126">
      <w:pPr>
        <w:pStyle w:val="FootnoteText"/>
        <w:rPr>
          <w:lang w:val="en-US"/>
        </w:rPr>
      </w:pPr>
      <w:r>
        <w:rPr>
          <w:rStyle w:val="FootnoteReference"/>
        </w:rPr>
        <w:footnoteRef/>
      </w:r>
      <w:r>
        <w:t xml:space="preserve"> </w:t>
      </w:r>
      <w:r w:rsidRPr="004A1F0D">
        <w:rPr>
          <w:lang w:val="en"/>
        </w:rPr>
        <w:t>This was the approximate age of stands simulated here.</w:t>
      </w:r>
    </w:p>
  </w:footnote>
  <w:footnote w:id="22">
    <w:p w:rsidR="00816BE1" w:rsidRPr="00A6462A" w:rsidRDefault="00816BE1" w:rsidP="00C04126">
      <w:pPr>
        <w:pStyle w:val="FootnoteText"/>
        <w:rPr>
          <w:lang w:val="en-US"/>
        </w:rPr>
      </w:pPr>
      <w:r>
        <w:rPr>
          <w:rStyle w:val="FootnoteReference"/>
        </w:rPr>
        <w:footnoteRef/>
      </w:r>
      <w:r>
        <w:t xml:space="preserve"> </w:t>
      </w:r>
      <w:r>
        <w:rPr>
          <w:lang w:val="en-US"/>
        </w:rPr>
        <w:t xml:space="preserve">Found in both studies for </w:t>
      </w:r>
      <w:r>
        <w:t>Appalachian mixed hardwood</w:t>
      </w:r>
      <w:r>
        <w:rPr>
          <w:lang w:val="en-US"/>
        </w:rPr>
        <w:t xml:space="preserve"> stands cut from below ~12</w:t>
      </w:r>
      <w:r w:rsidRPr="005077DB">
        <w:t>″</w:t>
      </w:r>
      <w:proofErr w:type="gramStart"/>
      <w:r>
        <w:rPr>
          <w:lang w:val="en-US"/>
        </w:rPr>
        <w:t>DBH  with</w:t>
      </w:r>
      <w:proofErr w:type="gramEnd"/>
      <w:r>
        <w:rPr>
          <w:lang w:val="en-US"/>
        </w:rPr>
        <w:t xml:space="preserve"> no</w:t>
      </w:r>
      <w:r>
        <w:t xml:space="preserve"> prior </w:t>
      </w:r>
      <w:r w:rsidRPr="003C414C">
        <w:t>discounting</w:t>
      </w:r>
      <w:r>
        <w:rPr>
          <w:lang w:val="en-US"/>
        </w:rPr>
        <w:t xml:space="preserve"> and for </w:t>
      </w:r>
      <w:r>
        <w:t xml:space="preserve">Appalachian oak </w:t>
      </w:r>
      <w:r>
        <w:rPr>
          <w:lang w:val="en-US"/>
        </w:rPr>
        <w:t>stands cut from below ~8</w:t>
      </w:r>
      <w:r w:rsidRPr="005077DB">
        <w:t>″</w:t>
      </w:r>
      <w:r>
        <w:rPr>
          <w:lang w:val="en-US"/>
        </w:rPr>
        <w:t>DBH with time-</w:t>
      </w:r>
      <w:r w:rsidRPr="00E971DB">
        <w:t xml:space="preserve">discounting from </w:t>
      </w:r>
      <w:r>
        <w:rPr>
          <w:lang w:val="en-US"/>
        </w:rPr>
        <w:t xml:space="preserve">an </w:t>
      </w:r>
      <w:r>
        <w:t xml:space="preserve">initial stand </w:t>
      </w:r>
      <w:r w:rsidRPr="00E971DB">
        <w:t xml:space="preserve">age </w:t>
      </w:r>
      <w:r>
        <w:t xml:space="preserve">of </w:t>
      </w:r>
      <w:r w:rsidRPr="00E971DB">
        <w:t>40</w:t>
      </w:r>
      <w:r>
        <w:rPr>
          <w:lang w:val="en-US"/>
        </w:rPr>
        <w:t>.</w:t>
      </w:r>
    </w:p>
  </w:footnote>
  <w:footnote w:id="23">
    <w:p w:rsidR="00816BE1" w:rsidRPr="004A604F" w:rsidRDefault="00816BE1" w:rsidP="00C04126">
      <w:pPr>
        <w:pStyle w:val="FootnoteText"/>
        <w:rPr>
          <w:lang w:val="en-US"/>
        </w:rPr>
      </w:pPr>
      <w:r>
        <w:rPr>
          <w:rStyle w:val="FootnoteReference"/>
        </w:rPr>
        <w:footnoteRef/>
      </w:r>
      <w:r>
        <w:t xml:space="preserve"> </w:t>
      </w:r>
      <w:r>
        <w:rPr>
          <w:lang w:val="en-US"/>
        </w:rPr>
        <w:t xml:space="preserve">Found in </w:t>
      </w:r>
      <w:r>
        <w:t xml:space="preserve">Appalachian oak </w:t>
      </w:r>
      <w:r>
        <w:rPr>
          <w:lang w:val="en-US"/>
        </w:rPr>
        <w:t>stand</w:t>
      </w:r>
      <w:r w:rsidRPr="004A604F">
        <w:rPr>
          <w:lang w:val="en-US"/>
        </w:rPr>
        <w:t xml:space="preserve"> </w:t>
      </w:r>
      <w:r>
        <w:rPr>
          <w:lang w:val="en-US"/>
        </w:rPr>
        <w:t>cut from below ~8</w:t>
      </w:r>
      <w:r w:rsidRPr="005077DB">
        <w:t>″</w:t>
      </w:r>
      <w:r>
        <w:rPr>
          <w:lang w:val="en-US"/>
        </w:rPr>
        <w:t>DBH with time-d</w:t>
      </w:r>
      <w:proofErr w:type="spellStart"/>
      <w:r w:rsidRPr="00E971DB">
        <w:t>iscounting</w:t>
      </w:r>
      <w:proofErr w:type="spellEnd"/>
      <w:r w:rsidRPr="00E971DB">
        <w:t xml:space="preserve"> from </w:t>
      </w:r>
      <w:r>
        <w:t xml:space="preserve">initial stand </w:t>
      </w:r>
      <w:r w:rsidRPr="00E971DB">
        <w:t xml:space="preserve">age </w:t>
      </w:r>
      <w:r>
        <w:t xml:space="preserve">of </w:t>
      </w:r>
      <w:r w:rsidRPr="00E971DB">
        <w:t>40</w:t>
      </w:r>
      <w:r>
        <w:rPr>
          <w:lang w:val="en-US"/>
        </w:rPr>
        <w:t>.</w:t>
      </w:r>
    </w:p>
  </w:footnote>
  <w:footnote w:id="24">
    <w:p w:rsidR="00816BE1" w:rsidRPr="00317B7B" w:rsidRDefault="00816BE1">
      <w:pPr>
        <w:pStyle w:val="FootnoteText"/>
        <w:rPr>
          <w:lang w:val="en-US"/>
        </w:rPr>
      </w:pPr>
      <w:r>
        <w:rPr>
          <w:rStyle w:val="FootnoteReference"/>
        </w:rPr>
        <w:footnoteRef/>
      </w:r>
      <w:r>
        <w:t xml:space="preserve"> </w:t>
      </w:r>
      <w:r>
        <w:rPr>
          <w:lang w:val="en-US"/>
        </w:rPr>
        <w:t xml:space="preserve">Including only </w:t>
      </w:r>
      <w:r w:rsidRPr="00C04126">
        <w:rPr>
          <w:rFonts w:asciiTheme="minorHAnsi" w:hAnsiTheme="minorHAnsi" w:cstheme="minorHAnsi"/>
        </w:rPr>
        <w:t>wood products and above-ground living and dead pools</w:t>
      </w:r>
    </w:p>
  </w:footnote>
  <w:footnote w:id="25">
    <w:p w:rsidR="00816BE1" w:rsidRPr="00710131" w:rsidRDefault="00816BE1" w:rsidP="00C04126">
      <w:pPr>
        <w:pStyle w:val="FootnoteText"/>
        <w:rPr>
          <w:lang w:val="en-US"/>
        </w:rPr>
      </w:pPr>
      <w:r>
        <w:rPr>
          <w:rStyle w:val="FootnoteReference"/>
        </w:rPr>
        <w:footnoteRef/>
      </w:r>
      <w:r>
        <w:t xml:space="preserve"> </w:t>
      </w:r>
      <w:r>
        <w:rPr>
          <w:lang w:val="en-US"/>
        </w:rPr>
        <w:t xml:space="preserve">Percentage increases in growth were inferred from the increased-growth observations of CTR studies.  These </w:t>
      </w:r>
      <w:r>
        <w:t>percentage increases</w:t>
      </w:r>
      <w:r w:rsidRPr="00A64CC8">
        <w:t xml:space="preserve"> </w:t>
      </w:r>
      <w:r>
        <w:rPr>
          <w:lang w:val="en-US"/>
        </w:rPr>
        <w:t>were applied to FVS-determined stand growth obtained from unthinned model runs.  The resulting augmented growth estimates were used to determine the appropriate growth multipliers to incorporate into the thinned model.</w:t>
      </w:r>
    </w:p>
  </w:footnote>
  <w:footnote w:id="26">
    <w:p w:rsidR="00816BE1" w:rsidRPr="00804311" w:rsidRDefault="00816BE1" w:rsidP="00E75D2B">
      <w:pPr>
        <w:pStyle w:val="FootnoteText"/>
        <w:rPr>
          <w:lang w:val="en-US"/>
        </w:rPr>
      </w:pPr>
      <w:r>
        <w:rPr>
          <w:rStyle w:val="FootnoteReference"/>
        </w:rPr>
        <w:footnoteRef/>
      </w:r>
      <w:r>
        <w:t xml:space="preserve"> </w:t>
      </w:r>
      <w:r>
        <w:rPr>
          <w:lang w:val="en-US"/>
        </w:rPr>
        <w:t xml:space="preserve">Pers. comm. Jim </w:t>
      </w:r>
      <w:proofErr w:type="spellStart"/>
      <w:r>
        <w:rPr>
          <w:lang w:val="en-US"/>
        </w:rPr>
        <w:t>Sitts</w:t>
      </w:r>
      <w:proofErr w:type="spellEnd"/>
      <w:r>
        <w:rPr>
          <w:lang w:val="en-US"/>
        </w:rPr>
        <w:t xml:space="preserve">, </w:t>
      </w:r>
      <w:r>
        <w:rPr>
          <w:rStyle w:val="HTMLTypewriter"/>
          <w:rFonts w:ascii="Times New Roman" w:hAnsi="Times New Roman" w:cs="Times New Roman"/>
          <w:lang w:val="en-US"/>
        </w:rPr>
        <w:t>Columbia Forest Products</w:t>
      </w:r>
      <w:r w:rsidRPr="006A3E3A">
        <w:rPr>
          <w:rStyle w:val="HTMLTypewriter"/>
          <w:rFonts w:ascii="Times New Roman" w:hAnsi="Times New Roman" w:cs="Times New Roman"/>
        </w:rPr>
        <w:t xml:space="preserve">, </w:t>
      </w:r>
      <w:r>
        <w:rPr>
          <w:rStyle w:val="HTMLTypewriter"/>
          <w:rFonts w:ascii="Times New Roman" w:hAnsi="Times New Roman" w:cs="Times New Roman"/>
          <w:lang w:val="en-US"/>
        </w:rPr>
        <w:t>December 15</w:t>
      </w:r>
      <w:r w:rsidRPr="006A3E3A">
        <w:rPr>
          <w:rStyle w:val="HTMLTypewriter"/>
          <w:rFonts w:ascii="Times New Roman" w:hAnsi="Times New Roman" w:cs="Times New Roman"/>
        </w:rPr>
        <w:t>, 20</w:t>
      </w:r>
      <w:r>
        <w:rPr>
          <w:rStyle w:val="HTMLTypewriter"/>
          <w:rFonts w:ascii="Times New Roman" w:hAnsi="Times New Roman" w:cs="Times New Roman"/>
          <w:lang w:val="en-US"/>
        </w:rPr>
        <w:t>09; Greg Bailey, American Forest Management, February 3, 2010</w:t>
      </w:r>
    </w:p>
    <w:p w:rsidR="00816BE1" w:rsidRPr="00804311" w:rsidRDefault="00816BE1" w:rsidP="00E75D2B">
      <w:pPr>
        <w:pStyle w:val="FootnoteText"/>
        <w:rPr>
          <w:lang w:val="en-US"/>
        </w:rPr>
      </w:pPr>
    </w:p>
  </w:footnote>
  <w:footnote w:id="27">
    <w:p w:rsidR="00816BE1" w:rsidRPr="000B25CE" w:rsidRDefault="00816BE1" w:rsidP="00573A55">
      <w:pPr>
        <w:pStyle w:val="FootnoteText"/>
        <w:rPr>
          <w:lang w:val="en-US"/>
        </w:rPr>
      </w:pPr>
      <w:r>
        <w:rPr>
          <w:rStyle w:val="FootnoteReference"/>
        </w:rPr>
        <w:footnoteRef/>
      </w:r>
      <w:r>
        <w:t xml:space="preserve"> </w:t>
      </w:r>
      <w:r>
        <w:rPr>
          <w:lang w:val="en-US"/>
        </w:rPr>
        <w:t xml:space="preserve">Pers. comm., Ken </w:t>
      </w:r>
      <w:r w:rsidRPr="000B25CE">
        <w:rPr>
          <w:lang w:val="en-US"/>
        </w:rPr>
        <w:t>Cormier</w:t>
      </w:r>
      <w:r>
        <w:rPr>
          <w:lang w:val="en-US"/>
        </w:rPr>
        <w:t>, Forest Management Service Center, USFS, March 22, 2010</w:t>
      </w:r>
    </w:p>
  </w:footnote>
  <w:footnote w:id="28">
    <w:p w:rsidR="00816BE1" w:rsidRPr="0047215F" w:rsidRDefault="00816BE1" w:rsidP="00D11167">
      <w:pPr>
        <w:pStyle w:val="FootnoteText"/>
        <w:rPr>
          <w:lang w:val="en-US"/>
        </w:rPr>
      </w:pPr>
      <w:r>
        <w:rPr>
          <w:rStyle w:val="FootnoteReference"/>
        </w:rPr>
        <w:footnoteRef/>
      </w:r>
      <w:r>
        <w:t xml:space="preserve"> </w:t>
      </w:r>
      <w:r w:rsidRPr="0047215F">
        <w:t xml:space="preserve">Only </w:t>
      </w:r>
      <w:r>
        <w:rPr>
          <w:lang w:val="en-US"/>
        </w:rPr>
        <w:t>applied</w:t>
      </w:r>
      <w:r w:rsidRPr="0047215F">
        <w:t xml:space="preserve"> at end of harvest years and in verification years if resampling occurred in the verification period</w:t>
      </w:r>
    </w:p>
  </w:footnote>
  <w:footnote w:id="29">
    <w:p w:rsidR="00816BE1" w:rsidRPr="0047215F" w:rsidRDefault="00816BE1" w:rsidP="00D11167">
      <w:pPr>
        <w:pStyle w:val="FootnoteText"/>
        <w:rPr>
          <w:lang w:val="en-US"/>
        </w:rPr>
      </w:pPr>
      <w:r>
        <w:rPr>
          <w:rStyle w:val="FootnoteReference"/>
        </w:rPr>
        <w:footnoteRef/>
      </w:r>
      <w:r>
        <w:t xml:space="preserve"> </w:t>
      </w:r>
      <w:r w:rsidRPr="0047215F">
        <w:t xml:space="preserve">Only </w:t>
      </w:r>
      <w:r>
        <w:rPr>
          <w:lang w:val="en-US"/>
        </w:rPr>
        <w:t>applied</w:t>
      </w:r>
      <w:r w:rsidRPr="0047215F">
        <w:t xml:space="preserve"> at end of harvest years</w:t>
      </w:r>
    </w:p>
  </w:footnote>
  <w:footnote w:id="30">
    <w:p w:rsidR="00816BE1" w:rsidRPr="007523E9" w:rsidRDefault="00816BE1">
      <w:pPr>
        <w:pStyle w:val="FootnoteText"/>
        <w:rPr>
          <w:lang w:val="en-US"/>
        </w:rPr>
      </w:pPr>
      <w:r>
        <w:rPr>
          <w:rStyle w:val="FootnoteReference"/>
        </w:rPr>
        <w:footnoteRef/>
      </w:r>
      <w:r>
        <w:t xml:space="preserve"> </w:t>
      </w:r>
      <w:r>
        <w:rPr>
          <w:lang w:val="en-US"/>
        </w:rPr>
        <w:t xml:space="preserve">Hereafter, ‘unadjusted’ refers to the protocol as written but assumes the use of the </w:t>
      </w:r>
      <w:r>
        <w:t xml:space="preserve">Jenkins </w:t>
      </w:r>
      <w:r w:rsidRPr="006E5012">
        <w:t>et al.</w:t>
      </w:r>
      <w:r>
        <w:rPr>
          <w:i/>
        </w:rPr>
        <w:t xml:space="preserve"> </w:t>
      </w:r>
      <w:r>
        <w:rPr>
          <w:lang w:val="en-US"/>
        </w:rPr>
        <w:t xml:space="preserve">(2003) </w:t>
      </w:r>
      <w:r>
        <w:t>BGL biomass equations</w:t>
      </w:r>
      <w:r>
        <w:rPr>
          <w:lang w:val="en-US"/>
        </w:rPr>
        <w:t>.</w:t>
      </w:r>
    </w:p>
  </w:footnote>
  <w:footnote w:id="31">
    <w:p w:rsidR="00816BE1" w:rsidRDefault="00816BE1" w:rsidP="0042249B">
      <w:pPr>
        <w:pStyle w:val="FootnoteText"/>
        <w:rPr>
          <w:lang w:val="en-US"/>
        </w:rPr>
      </w:pPr>
      <w:r>
        <w:rPr>
          <w:rStyle w:val="FootnoteReference"/>
        </w:rPr>
        <w:footnoteRef/>
      </w:r>
      <w:r>
        <w:t xml:space="preserve"> </w:t>
      </w:r>
      <w:r>
        <w:rPr>
          <w:lang w:val="en-US"/>
        </w:rPr>
        <w:t xml:space="preserve">While some carbon market studies take the approach of Herzog et al. (2003) whereby carbon prices are grown at the discount rate </w:t>
      </w:r>
      <w:r w:rsidRPr="00881811">
        <w:rPr>
          <w:lang w:val="en-US"/>
        </w:rPr>
        <w:t xml:space="preserve">to achieve price parity over time in present value terms </w:t>
      </w:r>
      <w:r>
        <w:rPr>
          <w:lang w:val="en-US"/>
        </w:rPr>
        <w:t xml:space="preserve">(i.e. the </w:t>
      </w:r>
      <w:proofErr w:type="spellStart"/>
      <w:r>
        <w:rPr>
          <w:lang w:val="en-US"/>
        </w:rPr>
        <w:t>Hotelling</w:t>
      </w:r>
      <w:proofErr w:type="spellEnd"/>
      <w:r>
        <w:rPr>
          <w:lang w:val="en-US"/>
        </w:rPr>
        <w:t xml:space="preserve"> rule), a more (continued on next page) </w:t>
      </w:r>
    </w:p>
    <w:p w:rsidR="00816BE1" w:rsidRPr="00B02989" w:rsidRDefault="00816BE1" w:rsidP="0042249B">
      <w:pPr>
        <w:pStyle w:val="FootnoteText"/>
        <w:rPr>
          <w:lang w:val="en-US"/>
        </w:rPr>
      </w:pPr>
      <w:proofErr w:type="gramStart"/>
      <w:r>
        <w:rPr>
          <w:lang w:val="en-US"/>
        </w:rPr>
        <w:t>conservative</w:t>
      </w:r>
      <w:proofErr w:type="gramEnd"/>
      <w:r>
        <w:rPr>
          <w:lang w:val="en-US"/>
        </w:rPr>
        <w:t xml:space="preserve"> growth rate seems appropriate considering that CAR is a voluntary program and given that it is unfortunately very uncertain whether the world will cooperatively set a global cap on GHG emissions, making emissions a finite resource subject to the </w:t>
      </w:r>
      <w:proofErr w:type="spellStart"/>
      <w:r>
        <w:rPr>
          <w:lang w:val="en-US"/>
        </w:rPr>
        <w:t>Hotelling</w:t>
      </w:r>
      <w:proofErr w:type="spellEnd"/>
      <w:r>
        <w:rPr>
          <w:lang w:val="en-US"/>
        </w:rPr>
        <w:t xml:space="preserve"> rule.</w:t>
      </w:r>
    </w:p>
  </w:footnote>
  <w:footnote w:id="32">
    <w:p w:rsidR="00816BE1" w:rsidRPr="00EA1717" w:rsidRDefault="00816BE1">
      <w:pPr>
        <w:pStyle w:val="FootnoteText"/>
        <w:rPr>
          <w:lang w:val="en-US"/>
        </w:rPr>
      </w:pPr>
      <w:r>
        <w:rPr>
          <w:rStyle w:val="FootnoteReference"/>
        </w:rPr>
        <w:footnoteRef/>
      </w:r>
      <w:r>
        <w:t xml:space="preserve"> </w:t>
      </w:r>
      <w:r>
        <w:rPr>
          <w:lang w:val="en-US"/>
        </w:rPr>
        <w:t>This alternative baseline methodology was conceptualized only in the context of projects whose minimum baseline level AGL stocks are near initial stocks and did not consider the implications of applying this option to projects whose “high stocking reference” as defined by CAR exceeds initial stocks.</w:t>
      </w:r>
    </w:p>
  </w:footnote>
  <w:footnote w:id="33">
    <w:p w:rsidR="00816BE1" w:rsidRPr="00357271" w:rsidRDefault="00816BE1" w:rsidP="006D7970">
      <w:pPr>
        <w:pStyle w:val="FootnoteText"/>
        <w:rPr>
          <w:lang w:val="en-US"/>
        </w:rPr>
      </w:pPr>
      <w:r>
        <w:rPr>
          <w:rStyle w:val="FootnoteReference"/>
        </w:rPr>
        <w:footnoteRef/>
      </w:r>
      <w:r>
        <w:t xml:space="preserve"> </w:t>
      </w:r>
      <w:r>
        <w:rPr>
          <w:lang w:val="en-US"/>
        </w:rPr>
        <w:t>Leakage, which refers to the amount of carbon sequestration compromised by market feedback to changes in timber supply, is accounted for in the CAR protocol with a 20% discount of the annual change in HWP carbon.</w:t>
      </w:r>
    </w:p>
  </w:footnote>
  <w:footnote w:id="34">
    <w:p w:rsidR="00816BE1" w:rsidRPr="006919EC" w:rsidRDefault="00816BE1" w:rsidP="00EA503D">
      <w:pPr>
        <w:pStyle w:val="FootnoteText"/>
        <w:rPr>
          <w:lang w:val="en-US"/>
        </w:rPr>
      </w:pPr>
      <w:r>
        <w:rPr>
          <w:rStyle w:val="FootnoteReference"/>
        </w:rPr>
        <w:footnoteRef/>
      </w:r>
      <w:r>
        <w:t xml:space="preserve"> </w:t>
      </w:r>
      <w:r>
        <w:rPr>
          <w:lang w:val="en-US"/>
        </w:rPr>
        <w:t>A more retrograding scenario could be envisioned</w:t>
      </w:r>
      <w:r>
        <w:t xml:space="preserve"> with regard to harvest frequency</w:t>
      </w:r>
      <w:r>
        <w:rPr>
          <w:lang w:val="en-US"/>
        </w:rPr>
        <w:t>, residual tree damage,</w:t>
      </w:r>
      <w:r>
        <w:t xml:space="preserve"> and logging road considerations</w:t>
      </w:r>
      <w:r>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90E3A"/>
    <w:multiLevelType w:val="hybridMultilevel"/>
    <w:tmpl w:val="71CACF56"/>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E976D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AF7EE2"/>
    <w:multiLevelType w:val="hybridMultilevel"/>
    <w:tmpl w:val="087CD8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56125"/>
    <w:multiLevelType w:val="hybridMultilevel"/>
    <w:tmpl w:val="413CF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CEB5AF"/>
    <w:multiLevelType w:val="hybridMultilevel"/>
    <w:tmpl w:val="18F0D5A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1E276582"/>
    <w:multiLevelType w:val="hybridMultilevel"/>
    <w:tmpl w:val="12324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66CB6"/>
    <w:multiLevelType w:val="hybridMultilevel"/>
    <w:tmpl w:val="AB9E4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A45CF8"/>
    <w:multiLevelType w:val="hybridMultilevel"/>
    <w:tmpl w:val="737E3A18"/>
    <w:lvl w:ilvl="0" w:tplc="7130B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721A4"/>
    <w:multiLevelType w:val="hybridMultilevel"/>
    <w:tmpl w:val="6EA4E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5D357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nsid w:val="2FC43244"/>
    <w:multiLevelType w:val="hybridMultilevel"/>
    <w:tmpl w:val="77A67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F12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9352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43F1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5821C6"/>
    <w:multiLevelType w:val="multilevel"/>
    <w:tmpl w:val="4C2ED8D8"/>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C1A799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8A10E0C"/>
    <w:multiLevelType w:val="hybridMultilevel"/>
    <w:tmpl w:val="14C049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476248"/>
    <w:multiLevelType w:val="hybridMultilevel"/>
    <w:tmpl w:val="785CDD0E"/>
    <w:lvl w:ilvl="0" w:tplc="2716FCDE">
      <w:start w:val="1"/>
      <w:numFmt w:val="bullet"/>
      <w:lvlText w:val="•"/>
      <w:lvlJc w:val="left"/>
      <w:pPr>
        <w:tabs>
          <w:tab w:val="num" w:pos="720"/>
        </w:tabs>
        <w:ind w:left="720" w:hanging="360"/>
      </w:pPr>
      <w:rPr>
        <w:rFonts w:ascii="Arial" w:hAnsi="Arial" w:hint="default"/>
      </w:rPr>
    </w:lvl>
    <w:lvl w:ilvl="1" w:tplc="67AEF13C">
      <w:start w:val="166"/>
      <w:numFmt w:val="bullet"/>
      <w:lvlText w:val=""/>
      <w:lvlJc w:val="left"/>
      <w:pPr>
        <w:tabs>
          <w:tab w:val="num" w:pos="1440"/>
        </w:tabs>
        <w:ind w:left="1440" w:hanging="360"/>
      </w:pPr>
      <w:rPr>
        <w:rFonts w:ascii="Wingdings" w:hAnsi="Wingdings" w:hint="default"/>
      </w:rPr>
    </w:lvl>
    <w:lvl w:ilvl="2" w:tplc="0952F874">
      <w:start w:val="166"/>
      <w:numFmt w:val="bullet"/>
      <w:lvlText w:val=""/>
      <w:lvlJc w:val="left"/>
      <w:pPr>
        <w:tabs>
          <w:tab w:val="num" w:pos="2160"/>
        </w:tabs>
        <w:ind w:left="2160" w:hanging="360"/>
      </w:pPr>
      <w:rPr>
        <w:rFonts w:ascii="Wingdings" w:hAnsi="Wingdings" w:hint="default"/>
      </w:rPr>
    </w:lvl>
    <w:lvl w:ilvl="3" w:tplc="04C6874A" w:tentative="1">
      <w:start w:val="1"/>
      <w:numFmt w:val="bullet"/>
      <w:lvlText w:val="•"/>
      <w:lvlJc w:val="left"/>
      <w:pPr>
        <w:tabs>
          <w:tab w:val="num" w:pos="2880"/>
        </w:tabs>
        <w:ind w:left="2880" w:hanging="360"/>
      </w:pPr>
      <w:rPr>
        <w:rFonts w:ascii="Arial" w:hAnsi="Arial" w:hint="default"/>
      </w:rPr>
    </w:lvl>
    <w:lvl w:ilvl="4" w:tplc="C06434B0" w:tentative="1">
      <w:start w:val="1"/>
      <w:numFmt w:val="bullet"/>
      <w:lvlText w:val="•"/>
      <w:lvlJc w:val="left"/>
      <w:pPr>
        <w:tabs>
          <w:tab w:val="num" w:pos="3600"/>
        </w:tabs>
        <w:ind w:left="3600" w:hanging="360"/>
      </w:pPr>
      <w:rPr>
        <w:rFonts w:ascii="Arial" w:hAnsi="Arial" w:hint="default"/>
      </w:rPr>
    </w:lvl>
    <w:lvl w:ilvl="5" w:tplc="AAD05B3C" w:tentative="1">
      <w:start w:val="1"/>
      <w:numFmt w:val="bullet"/>
      <w:lvlText w:val="•"/>
      <w:lvlJc w:val="left"/>
      <w:pPr>
        <w:tabs>
          <w:tab w:val="num" w:pos="4320"/>
        </w:tabs>
        <w:ind w:left="4320" w:hanging="360"/>
      </w:pPr>
      <w:rPr>
        <w:rFonts w:ascii="Arial" w:hAnsi="Arial" w:hint="default"/>
      </w:rPr>
    </w:lvl>
    <w:lvl w:ilvl="6" w:tplc="6742CB48" w:tentative="1">
      <w:start w:val="1"/>
      <w:numFmt w:val="bullet"/>
      <w:lvlText w:val="•"/>
      <w:lvlJc w:val="left"/>
      <w:pPr>
        <w:tabs>
          <w:tab w:val="num" w:pos="5040"/>
        </w:tabs>
        <w:ind w:left="5040" w:hanging="360"/>
      </w:pPr>
      <w:rPr>
        <w:rFonts w:ascii="Arial" w:hAnsi="Arial" w:hint="default"/>
      </w:rPr>
    </w:lvl>
    <w:lvl w:ilvl="7" w:tplc="326E30AE" w:tentative="1">
      <w:start w:val="1"/>
      <w:numFmt w:val="bullet"/>
      <w:lvlText w:val="•"/>
      <w:lvlJc w:val="left"/>
      <w:pPr>
        <w:tabs>
          <w:tab w:val="num" w:pos="5760"/>
        </w:tabs>
        <w:ind w:left="5760" w:hanging="360"/>
      </w:pPr>
      <w:rPr>
        <w:rFonts w:ascii="Arial" w:hAnsi="Arial" w:hint="default"/>
      </w:rPr>
    </w:lvl>
    <w:lvl w:ilvl="8" w:tplc="0CA8C764" w:tentative="1">
      <w:start w:val="1"/>
      <w:numFmt w:val="bullet"/>
      <w:lvlText w:val="•"/>
      <w:lvlJc w:val="left"/>
      <w:pPr>
        <w:tabs>
          <w:tab w:val="num" w:pos="6480"/>
        </w:tabs>
        <w:ind w:left="6480" w:hanging="360"/>
      </w:pPr>
      <w:rPr>
        <w:rFonts w:ascii="Arial" w:hAnsi="Arial" w:hint="default"/>
      </w:rPr>
    </w:lvl>
  </w:abstractNum>
  <w:abstractNum w:abstractNumId="18">
    <w:nsid w:val="4DE9390C"/>
    <w:multiLevelType w:val="hybridMultilevel"/>
    <w:tmpl w:val="AB9E4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3C4EB5"/>
    <w:multiLevelType w:val="hybridMultilevel"/>
    <w:tmpl w:val="3CA62508"/>
    <w:lvl w:ilvl="0" w:tplc="B428D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913787"/>
    <w:multiLevelType w:val="hybridMultilevel"/>
    <w:tmpl w:val="35242E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CD228F"/>
    <w:multiLevelType w:val="multilevel"/>
    <w:tmpl w:val="0652B1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4234C37"/>
    <w:multiLevelType w:val="multilevel"/>
    <w:tmpl w:val="4C2ED8D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5EB3412"/>
    <w:multiLevelType w:val="hybridMultilevel"/>
    <w:tmpl w:val="AB9E4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0D2499"/>
    <w:multiLevelType w:val="hybridMultilevel"/>
    <w:tmpl w:val="3C948E18"/>
    <w:lvl w:ilvl="0" w:tplc="A2786FA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D5D4DCF"/>
    <w:multiLevelType w:val="hybridMultilevel"/>
    <w:tmpl w:val="A692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F74A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67C362A"/>
    <w:multiLevelType w:val="hybridMultilevel"/>
    <w:tmpl w:val="E4FC485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7AB00AB5"/>
    <w:multiLevelType w:val="multilevel"/>
    <w:tmpl w:val="F260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0"/>
  </w:num>
  <w:num w:numId="3">
    <w:abstractNumId w:val="24"/>
  </w:num>
  <w:num w:numId="4">
    <w:abstractNumId w:val="23"/>
  </w:num>
  <w:num w:numId="5">
    <w:abstractNumId w:val="6"/>
  </w:num>
  <w:num w:numId="6">
    <w:abstractNumId w:val="21"/>
  </w:num>
  <w:num w:numId="7">
    <w:abstractNumId w:val="0"/>
  </w:num>
  <w:num w:numId="8">
    <w:abstractNumId w:val="4"/>
  </w:num>
  <w:num w:numId="9">
    <w:abstractNumId w:val="17"/>
  </w:num>
  <w:num w:numId="10">
    <w:abstractNumId w:val="28"/>
  </w:num>
  <w:num w:numId="11">
    <w:abstractNumId w:val="18"/>
  </w:num>
  <w:num w:numId="12">
    <w:abstractNumId w:val="20"/>
  </w:num>
  <w:num w:numId="13">
    <w:abstractNumId w:val="7"/>
  </w:num>
  <w:num w:numId="14">
    <w:abstractNumId w:val="2"/>
  </w:num>
  <w:num w:numId="15">
    <w:abstractNumId w:val="16"/>
  </w:num>
  <w:num w:numId="16">
    <w:abstractNumId w:val="15"/>
  </w:num>
  <w:num w:numId="17">
    <w:abstractNumId w:val="19"/>
  </w:num>
  <w:num w:numId="18">
    <w:abstractNumId w:val="11"/>
  </w:num>
  <w:num w:numId="19">
    <w:abstractNumId w:val="13"/>
  </w:num>
  <w:num w:numId="20">
    <w:abstractNumId w:val="26"/>
  </w:num>
  <w:num w:numId="21">
    <w:abstractNumId w:val="14"/>
  </w:num>
  <w:num w:numId="22">
    <w:abstractNumId w:val="12"/>
  </w:num>
  <w:num w:numId="23">
    <w:abstractNumId w:val="1"/>
  </w:num>
  <w:num w:numId="24">
    <w:abstractNumId w:val="9"/>
  </w:num>
  <w:num w:numId="25">
    <w:abstractNumId w:val="8"/>
  </w:num>
  <w:num w:numId="26">
    <w:abstractNumId w:val="22"/>
  </w:num>
  <w:num w:numId="27">
    <w:abstractNumId w:val="3"/>
  </w:num>
  <w:num w:numId="28">
    <w:abstractNumId w:val="2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ocumentProtection w:edit="comments" w:enforcement="0"/>
  <w:defaultTabStop w:val="720"/>
  <w:drawingGridHorizontalSpacing w:val="187"/>
  <w:drawingGridVerticalSpacing w:val="187"/>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Annotated -Edi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0s5zadewrawxeer07v2f90xr5vxv022sat&quot;&gt;Library Copy&lt;record-ids&gt;&lt;item&gt;24&lt;/item&gt;&lt;item&gt;25&lt;/item&gt;&lt;item&gt;28&lt;/item&gt;&lt;item&gt;33&lt;/item&gt;&lt;item&gt;42&lt;/item&gt;&lt;item&gt;43&lt;/item&gt;&lt;item&gt;44&lt;/item&gt;&lt;item&gt;45&lt;/item&gt;&lt;item&gt;46&lt;/item&gt;&lt;item&gt;47&lt;/item&gt;&lt;item&gt;48&lt;/item&gt;&lt;item&gt;50&lt;/item&gt;&lt;item&gt;52&lt;/item&gt;&lt;item&gt;61&lt;/item&gt;&lt;item&gt;62&lt;/item&gt;&lt;item&gt;63&lt;/item&gt;&lt;item&gt;67&lt;/item&gt;&lt;item&gt;68&lt;/item&gt;&lt;item&gt;70&lt;/item&gt;&lt;item&gt;92&lt;/item&gt;&lt;item&gt;94&lt;/item&gt;&lt;item&gt;95&lt;/item&gt;&lt;item&gt;97&lt;/item&gt;&lt;item&gt;99&lt;/item&gt;&lt;item&gt;110&lt;/item&gt;&lt;item&gt;118&lt;/item&gt;&lt;item&gt;124&lt;/item&gt;&lt;item&gt;126&lt;/item&gt;&lt;item&gt;133&lt;/item&gt;&lt;item&gt;134&lt;/item&gt;&lt;item&gt;135&lt;/item&gt;&lt;item&gt;136&lt;/item&gt;&lt;item&gt;137&lt;/item&gt;&lt;item&gt;138&lt;/item&gt;&lt;item&gt;139&lt;/item&gt;&lt;item&gt;143&lt;/item&gt;&lt;item&gt;146&lt;/item&gt;&lt;item&gt;148&lt;/item&gt;&lt;item&gt;151&lt;/item&gt;&lt;item&gt;152&lt;/item&gt;&lt;item&gt;153&lt;/item&gt;&lt;item&gt;154&lt;/item&gt;&lt;item&gt;155&lt;/item&gt;&lt;item&gt;156&lt;/item&gt;&lt;item&gt;157&lt;/item&gt;&lt;item&gt;162&lt;/item&gt;&lt;item&gt;166&lt;/item&gt;&lt;item&gt;167&lt;/item&gt;&lt;item&gt;168&lt;/item&gt;&lt;item&gt;175&lt;/item&gt;&lt;item&gt;176&lt;/item&gt;&lt;item&gt;186&lt;/item&gt;&lt;item&gt;193&lt;/item&gt;&lt;item&gt;209&lt;/item&gt;&lt;item&gt;210&lt;/item&gt;&lt;item&gt;213&lt;/item&gt;&lt;item&gt;214&lt;/item&gt;&lt;item&gt;215&lt;/item&gt;&lt;item&gt;216&lt;/item&gt;&lt;item&gt;217&lt;/item&gt;&lt;item&gt;218&lt;/item&gt;&lt;item&gt;219&lt;/item&gt;&lt;item&gt;222&lt;/item&gt;&lt;item&gt;223&lt;/item&gt;&lt;item&gt;224&lt;/item&gt;&lt;item&gt;225&lt;/item&gt;&lt;item&gt;226&lt;/item&gt;&lt;item&gt;227&lt;/item&gt;&lt;item&gt;228&lt;/item&gt;&lt;item&gt;229&lt;/item&gt;&lt;item&gt;230&lt;/item&gt;&lt;item&gt;231&lt;/item&gt;&lt;item&gt;232&lt;/item&gt;&lt;item&gt;235&lt;/item&gt;&lt;item&gt;237&lt;/item&gt;&lt;item&gt;238&lt;/item&gt;&lt;item&gt;239&lt;/item&gt;&lt;item&gt;240&lt;/item&gt;&lt;item&gt;241&lt;/item&gt;&lt;item&gt;242&lt;/item&gt;&lt;item&gt;243&lt;/item&gt;&lt;item&gt;245&lt;/item&gt;&lt;item&gt;246&lt;/item&gt;&lt;item&gt;247&lt;/item&gt;&lt;/record-ids&gt;&lt;/item&gt;&lt;/Libraries&gt;"/>
  </w:docVars>
  <w:rsids>
    <w:rsidRoot w:val="008006E6"/>
    <w:rsid w:val="00000B7E"/>
    <w:rsid w:val="00001197"/>
    <w:rsid w:val="0000161B"/>
    <w:rsid w:val="00001C09"/>
    <w:rsid w:val="0000241F"/>
    <w:rsid w:val="0000248B"/>
    <w:rsid w:val="00002B87"/>
    <w:rsid w:val="000037D3"/>
    <w:rsid w:val="000037D8"/>
    <w:rsid w:val="00004FB7"/>
    <w:rsid w:val="00005160"/>
    <w:rsid w:val="00005821"/>
    <w:rsid w:val="00005C0B"/>
    <w:rsid w:val="00006305"/>
    <w:rsid w:val="000066F2"/>
    <w:rsid w:val="00007A66"/>
    <w:rsid w:val="00010699"/>
    <w:rsid w:val="00010C68"/>
    <w:rsid w:val="0001192B"/>
    <w:rsid w:val="00012772"/>
    <w:rsid w:val="00012F5A"/>
    <w:rsid w:val="000130BD"/>
    <w:rsid w:val="00013C55"/>
    <w:rsid w:val="00014065"/>
    <w:rsid w:val="00015329"/>
    <w:rsid w:val="00015C5B"/>
    <w:rsid w:val="00016203"/>
    <w:rsid w:val="00016E96"/>
    <w:rsid w:val="00017A10"/>
    <w:rsid w:val="00020458"/>
    <w:rsid w:val="000204E9"/>
    <w:rsid w:val="000207E2"/>
    <w:rsid w:val="00020F9F"/>
    <w:rsid w:val="00022655"/>
    <w:rsid w:val="00022AE9"/>
    <w:rsid w:val="00023DB6"/>
    <w:rsid w:val="000251C3"/>
    <w:rsid w:val="000266C4"/>
    <w:rsid w:val="00027819"/>
    <w:rsid w:val="00030059"/>
    <w:rsid w:val="000304EC"/>
    <w:rsid w:val="0003132B"/>
    <w:rsid w:val="00031334"/>
    <w:rsid w:val="00031A53"/>
    <w:rsid w:val="00031FC2"/>
    <w:rsid w:val="000331C2"/>
    <w:rsid w:val="000345AA"/>
    <w:rsid w:val="00034853"/>
    <w:rsid w:val="00034EE1"/>
    <w:rsid w:val="00035075"/>
    <w:rsid w:val="0003525E"/>
    <w:rsid w:val="00036B5C"/>
    <w:rsid w:val="00037198"/>
    <w:rsid w:val="00037FDB"/>
    <w:rsid w:val="00040539"/>
    <w:rsid w:val="00040E26"/>
    <w:rsid w:val="000412C1"/>
    <w:rsid w:val="0004147F"/>
    <w:rsid w:val="000424C2"/>
    <w:rsid w:val="00042786"/>
    <w:rsid w:val="00044D4E"/>
    <w:rsid w:val="000453D2"/>
    <w:rsid w:val="00046BA5"/>
    <w:rsid w:val="00047950"/>
    <w:rsid w:val="00047F98"/>
    <w:rsid w:val="0005011B"/>
    <w:rsid w:val="00050A50"/>
    <w:rsid w:val="00050A5B"/>
    <w:rsid w:val="00051504"/>
    <w:rsid w:val="00051830"/>
    <w:rsid w:val="00051A57"/>
    <w:rsid w:val="0005221D"/>
    <w:rsid w:val="00052931"/>
    <w:rsid w:val="00052D64"/>
    <w:rsid w:val="000545B2"/>
    <w:rsid w:val="00054CA9"/>
    <w:rsid w:val="00054FB1"/>
    <w:rsid w:val="00060384"/>
    <w:rsid w:val="000603EE"/>
    <w:rsid w:val="00060DBD"/>
    <w:rsid w:val="000612D2"/>
    <w:rsid w:val="0006132E"/>
    <w:rsid w:val="0006174F"/>
    <w:rsid w:val="00061C37"/>
    <w:rsid w:val="00061C8F"/>
    <w:rsid w:val="00062A21"/>
    <w:rsid w:val="00063781"/>
    <w:rsid w:val="00063C7B"/>
    <w:rsid w:val="00064358"/>
    <w:rsid w:val="0006487B"/>
    <w:rsid w:val="00065B20"/>
    <w:rsid w:val="00066B5B"/>
    <w:rsid w:val="00067C69"/>
    <w:rsid w:val="00067D56"/>
    <w:rsid w:val="000714FD"/>
    <w:rsid w:val="00071C4E"/>
    <w:rsid w:val="00071D63"/>
    <w:rsid w:val="00072279"/>
    <w:rsid w:val="00072338"/>
    <w:rsid w:val="00072E19"/>
    <w:rsid w:val="0007321F"/>
    <w:rsid w:val="00073E93"/>
    <w:rsid w:val="00073EC0"/>
    <w:rsid w:val="0007470C"/>
    <w:rsid w:val="00074A62"/>
    <w:rsid w:val="00075067"/>
    <w:rsid w:val="00075FCC"/>
    <w:rsid w:val="00076E1C"/>
    <w:rsid w:val="00077582"/>
    <w:rsid w:val="000776C3"/>
    <w:rsid w:val="0008026E"/>
    <w:rsid w:val="00081E38"/>
    <w:rsid w:val="00082083"/>
    <w:rsid w:val="00082270"/>
    <w:rsid w:val="00082C68"/>
    <w:rsid w:val="00082E6B"/>
    <w:rsid w:val="00083723"/>
    <w:rsid w:val="0008386A"/>
    <w:rsid w:val="00083879"/>
    <w:rsid w:val="000838B8"/>
    <w:rsid w:val="000841B1"/>
    <w:rsid w:val="00084F9B"/>
    <w:rsid w:val="00085B48"/>
    <w:rsid w:val="000862C5"/>
    <w:rsid w:val="00087221"/>
    <w:rsid w:val="000906EB"/>
    <w:rsid w:val="00090A4E"/>
    <w:rsid w:val="00090D7C"/>
    <w:rsid w:val="00094387"/>
    <w:rsid w:val="00094AF5"/>
    <w:rsid w:val="000959C0"/>
    <w:rsid w:val="0009750C"/>
    <w:rsid w:val="0009774C"/>
    <w:rsid w:val="000A05D5"/>
    <w:rsid w:val="000A080E"/>
    <w:rsid w:val="000A09E9"/>
    <w:rsid w:val="000A188A"/>
    <w:rsid w:val="000A201C"/>
    <w:rsid w:val="000A2899"/>
    <w:rsid w:val="000A3768"/>
    <w:rsid w:val="000A386E"/>
    <w:rsid w:val="000A4556"/>
    <w:rsid w:val="000A4AED"/>
    <w:rsid w:val="000A59C9"/>
    <w:rsid w:val="000A619D"/>
    <w:rsid w:val="000A640D"/>
    <w:rsid w:val="000A7045"/>
    <w:rsid w:val="000A749E"/>
    <w:rsid w:val="000B051E"/>
    <w:rsid w:val="000B1100"/>
    <w:rsid w:val="000B1230"/>
    <w:rsid w:val="000B19B6"/>
    <w:rsid w:val="000B19EC"/>
    <w:rsid w:val="000B1B0D"/>
    <w:rsid w:val="000B25CE"/>
    <w:rsid w:val="000B265F"/>
    <w:rsid w:val="000B2F9E"/>
    <w:rsid w:val="000B327C"/>
    <w:rsid w:val="000B331D"/>
    <w:rsid w:val="000B35D4"/>
    <w:rsid w:val="000B379D"/>
    <w:rsid w:val="000B3C94"/>
    <w:rsid w:val="000B5BE6"/>
    <w:rsid w:val="000B75A1"/>
    <w:rsid w:val="000B760E"/>
    <w:rsid w:val="000B7DDC"/>
    <w:rsid w:val="000B7F26"/>
    <w:rsid w:val="000C03B5"/>
    <w:rsid w:val="000C06E6"/>
    <w:rsid w:val="000C0D47"/>
    <w:rsid w:val="000C1DBE"/>
    <w:rsid w:val="000C2544"/>
    <w:rsid w:val="000C399E"/>
    <w:rsid w:val="000C4928"/>
    <w:rsid w:val="000C494C"/>
    <w:rsid w:val="000C4C0A"/>
    <w:rsid w:val="000C5F29"/>
    <w:rsid w:val="000C5F58"/>
    <w:rsid w:val="000C6DCF"/>
    <w:rsid w:val="000C7A95"/>
    <w:rsid w:val="000D13C1"/>
    <w:rsid w:val="000D142E"/>
    <w:rsid w:val="000D15BB"/>
    <w:rsid w:val="000D186B"/>
    <w:rsid w:val="000D2E8B"/>
    <w:rsid w:val="000D3437"/>
    <w:rsid w:val="000D46A6"/>
    <w:rsid w:val="000D777B"/>
    <w:rsid w:val="000D7922"/>
    <w:rsid w:val="000D7F17"/>
    <w:rsid w:val="000E0994"/>
    <w:rsid w:val="000E13C5"/>
    <w:rsid w:val="000E1A71"/>
    <w:rsid w:val="000E1E62"/>
    <w:rsid w:val="000E1FFD"/>
    <w:rsid w:val="000E2264"/>
    <w:rsid w:val="000E24C8"/>
    <w:rsid w:val="000E2ACE"/>
    <w:rsid w:val="000E3213"/>
    <w:rsid w:val="000E38A8"/>
    <w:rsid w:val="000E399F"/>
    <w:rsid w:val="000E4571"/>
    <w:rsid w:val="000E47C2"/>
    <w:rsid w:val="000E4CC8"/>
    <w:rsid w:val="000E50CC"/>
    <w:rsid w:val="000E62D9"/>
    <w:rsid w:val="000F2FC9"/>
    <w:rsid w:val="000F3F6D"/>
    <w:rsid w:val="000F489B"/>
    <w:rsid w:val="000F5BAB"/>
    <w:rsid w:val="000F6497"/>
    <w:rsid w:val="000F7E09"/>
    <w:rsid w:val="00100B97"/>
    <w:rsid w:val="0010106D"/>
    <w:rsid w:val="00102002"/>
    <w:rsid w:val="00102323"/>
    <w:rsid w:val="00102546"/>
    <w:rsid w:val="00102EB5"/>
    <w:rsid w:val="00103667"/>
    <w:rsid w:val="0010369F"/>
    <w:rsid w:val="001040D3"/>
    <w:rsid w:val="00105E10"/>
    <w:rsid w:val="00105F0D"/>
    <w:rsid w:val="00106989"/>
    <w:rsid w:val="00106A48"/>
    <w:rsid w:val="001078CA"/>
    <w:rsid w:val="00107CE8"/>
    <w:rsid w:val="00110FCE"/>
    <w:rsid w:val="00111C6D"/>
    <w:rsid w:val="00111D73"/>
    <w:rsid w:val="00112C22"/>
    <w:rsid w:val="00112DC2"/>
    <w:rsid w:val="00114AAD"/>
    <w:rsid w:val="001158D4"/>
    <w:rsid w:val="00115DA3"/>
    <w:rsid w:val="00116D34"/>
    <w:rsid w:val="00117243"/>
    <w:rsid w:val="00117323"/>
    <w:rsid w:val="001208F8"/>
    <w:rsid w:val="00120DDA"/>
    <w:rsid w:val="00122570"/>
    <w:rsid w:val="00122B38"/>
    <w:rsid w:val="00123524"/>
    <w:rsid w:val="0012353B"/>
    <w:rsid w:val="00123582"/>
    <w:rsid w:val="00123B08"/>
    <w:rsid w:val="00123C4F"/>
    <w:rsid w:val="00125917"/>
    <w:rsid w:val="00125E05"/>
    <w:rsid w:val="00127C54"/>
    <w:rsid w:val="00127DD5"/>
    <w:rsid w:val="00130B29"/>
    <w:rsid w:val="00130CD3"/>
    <w:rsid w:val="00130F34"/>
    <w:rsid w:val="00131859"/>
    <w:rsid w:val="00131A63"/>
    <w:rsid w:val="001320E4"/>
    <w:rsid w:val="00132458"/>
    <w:rsid w:val="001331FE"/>
    <w:rsid w:val="00134675"/>
    <w:rsid w:val="00134D21"/>
    <w:rsid w:val="00135264"/>
    <w:rsid w:val="0013720C"/>
    <w:rsid w:val="00137260"/>
    <w:rsid w:val="00137BF5"/>
    <w:rsid w:val="00140854"/>
    <w:rsid w:val="00141105"/>
    <w:rsid w:val="001417DE"/>
    <w:rsid w:val="0014197C"/>
    <w:rsid w:val="00141D96"/>
    <w:rsid w:val="00141FAB"/>
    <w:rsid w:val="001427E1"/>
    <w:rsid w:val="00142853"/>
    <w:rsid w:val="0014327B"/>
    <w:rsid w:val="00143845"/>
    <w:rsid w:val="00143E4F"/>
    <w:rsid w:val="00144190"/>
    <w:rsid w:val="0014431D"/>
    <w:rsid w:val="001449F3"/>
    <w:rsid w:val="001451AE"/>
    <w:rsid w:val="001451CB"/>
    <w:rsid w:val="001456DF"/>
    <w:rsid w:val="001468AA"/>
    <w:rsid w:val="0014703D"/>
    <w:rsid w:val="0014718C"/>
    <w:rsid w:val="00147A4E"/>
    <w:rsid w:val="00147DE6"/>
    <w:rsid w:val="0015025B"/>
    <w:rsid w:val="0015093A"/>
    <w:rsid w:val="00151280"/>
    <w:rsid w:val="0015313E"/>
    <w:rsid w:val="001534EF"/>
    <w:rsid w:val="001545AF"/>
    <w:rsid w:val="00154EFB"/>
    <w:rsid w:val="0015520E"/>
    <w:rsid w:val="001566D9"/>
    <w:rsid w:val="0015704F"/>
    <w:rsid w:val="001570D8"/>
    <w:rsid w:val="00157633"/>
    <w:rsid w:val="0016018D"/>
    <w:rsid w:val="00160D51"/>
    <w:rsid w:val="00161C89"/>
    <w:rsid w:val="00162725"/>
    <w:rsid w:val="00162CBE"/>
    <w:rsid w:val="00162E4B"/>
    <w:rsid w:val="00163CDA"/>
    <w:rsid w:val="00164376"/>
    <w:rsid w:val="00164483"/>
    <w:rsid w:val="00164E1E"/>
    <w:rsid w:val="001668E1"/>
    <w:rsid w:val="0016699E"/>
    <w:rsid w:val="00166ADF"/>
    <w:rsid w:val="00170B9D"/>
    <w:rsid w:val="00171331"/>
    <w:rsid w:val="00172115"/>
    <w:rsid w:val="00173456"/>
    <w:rsid w:val="001738D9"/>
    <w:rsid w:val="00173EB4"/>
    <w:rsid w:val="001743C3"/>
    <w:rsid w:val="00174447"/>
    <w:rsid w:val="00174870"/>
    <w:rsid w:val="001749D2"/>
    <w:rsid w:val="00174CCD"/>
    <w:rsid w:val="00175188"/>
    <w:rsid w:val="00175972"/>
    <w:rsid w:val="0017641D"/>
    <w:rsid w:val="00176663"/>
    <w:rsid w:val="00176CC8"/>
    <w:rsid w:val="00176CD0"/>
    <w:rsid w:val="001774ED"/>
    <w:rsid w:val="00181CAA"/>
    <w:rsid w:val="00182B28"/>
    <w:rsid w:val="00182BDF"/>
    <w:rsid w:val="00182D88"/>
    <w:rsid w:val="00182E48"/>
    <w:rsid w:val="001834E5"/>
    <w:rsid w:val="0018352A"/>
    <w:rsid w:val="00183BAB"/>
    <w:rsid w:val="00184188"/>
    <w:rsid w:val="001856C9"/>
    <w:rsid w:val="001858F4"/>
    <w:rsid w:val="00186090"/>
    <w:rsid w:val="00186DDC"/>
    <w:rsid w:val="00186F12"/>
    <w:rsid w:val="00187607"/>
    <w:rsid w:val="001876A1"/>
    <w:rsid w:val="0018777C"/>
    <w:rsid w:val="00190453"/>
    <w:rsid w:val="00191B6B"/>
    <w:rsid w:val="00191CE6"/>
    <w:rsid w:val="001920E8"/>
    <w:rsid w:val="00192B08"/>
    <w:rsid w:val="00192DE1"/>
    <w:rsid w:val="0019412E"/>
    <w:rsid w:val="0019416B"/>
    <w:rsid w:val="001941A9"/>
    <w:rsid w:val="00194290"/>
    <w:rsid w:val="001942BA"/>
    <w:rsid w:val="001951C6"/>
    <w:rsid w:val="0019557E"/>
    <w:rsid w:val="001974A1"/>
    <w:rsid w:val="00197C04"/>
    <w:rsid w:val="001A0166"/>
    <w:rsid w:val="001A0D62"/>
    <w:rsid w:val="001A11D2"/>
    <w:rsid w:val="001A1255"/>
    <w:rsid w:val="001A13B2"/>
    <w:rsid w:val="001A160C"/>
    <w:rsid w:val="001A1611"/>
    <w:rsid w:val="001A2DAA"/>
    <w:rsid w:val="001A2E4A"/>
    <w:rsid w:val="001A3A9B"/>
    <w:rsid w:val="001A3EB1"/>
    <w:rsid w:val="001A427B"/>
    <w:rsid w:val="001A4BBC"/>
    <w:rsid w:val="001A549D"/>
    <w:rsid w:val="001A54F3"/>
    <w:rsid w:val="001A6095"/>
    <w:rsid w:val="001A6BC5"/>
    <w:rsid w:val="001A7905"/>
    <w:rsid w:val="001A793D"/>
    <w:rsid w:val="001A79CF"/>
    <w:rsid w:val="001A7F0F"/>
    <w:rsid w:val="001B06D2"/>
    <w:rsid w:val="001B1579"/>
    <w:rsid w:val="001B19F7"/>
    <w:rsid w:val="001B1CB0"/>
    <w:rsid w:val="001B1EE3"/>
    <w:rsid w:val="001B2E45"/>
    <w:rsid w:val="001B323D"/>
    <w:rsid w:val="001B354C"/>
    <w:rsid w:val="001B3723"/>
    <w:rsid w:val="001B4E7D"/>
    <w:rsid w:val="001B61C9"/>
    <w:rsid w:val="001B677D"/>
    <w:rsid w:val="001B6A4E"/>
    <w:rsid w:val="001B6D85"/>
    <w:rsid w:val="001C0186"/>
    <w:rsid w:val="001C09A7"/>
    <w:rsid w:val="001C09E6"/>
    <w:rsid w:val="001C0C3C"/>
    <w:rsid w:val="001C159F"/>
    <w:rsid w:val="001C3764"/>
    <w:rsid w:val="001C37D1"/>
    <w:rsid w:val="001C3845"/>
    <w:rsid w:val="001C3B84"/>
    <w:rsid w:val="001C3D17"/>
    <w:rsid w:val="001C403A"/>
    <w:rsid w:val="001C4237"/>
    <w:rsid w:val="001C43E4"/>
    <w:rsid w:val="001C4AD9"/>
    <w:rsid w:val="001C4F98"/>
    <w:rsid w:val="001C6C3B"/>
    <w:rsid w:val="001C7677"/>
    <w:rsid w:val="001C7EEC"/>
    <w:rsid w:val="001C7FBB"/>
    <w:rsid w:val="001D04FD"/>
    <w:rsid w:val="001D18B7"/>
    <w:rsid w:val="001D1BDB"/>
    <w:rsid w:val="001D1F83"/>
    <w:rsid w:val="001D26D6"/>
    <w:rsid w:val="001D283F"/>
    <w:rsid w:val="001D2B80"/>
    <w:rsid w:val="001D2D89"/>
    <w:rsid w:val="001D2F3A"/>
    <w:rsid w:val="001D4FB7"/>
    <w:rsid w:val="001D53F1"/>
    <w:rsid w:val="001D5961"/>
    <w:rsid w:val="001D5E9B"/>
    <w:rsid w:val="001D676C"/>
    <w:rsid w:val="001D6A6C"/>
    <w:rsid w:val="001D6B51"/>
    <w:rsid w:val="001D74C9"/>
    <w:rsid w:val="001E0552"/>
    <w:rsid w:val="001E141B"/>
    <w:rsid w:val="001E16D6"/>
    <w:rsid w:val="001E223D"/>
    <w:rsid w:val="001E322D"/>
    <w:rsid w:val="001E38C6"/>
    <w:rsid w:val="001E3A11"/>
    <w:rsid w:val="001E3B49"/>
    <w:rsid w:val="001E4C88"/>
    <w:rsid w:val="001E50A1"/>
    <w:rsid w:val="001E5189"/>
    <w:rsid w:val="001E5854"/>
    <w:rsid w:val="001E5C07"/>
    <w:rsid w:val="001E6925"/>
    <w:rsid w:val="001E71FF"/>
    <w:rsid w:val="001E7CC6"/>
    <w:rsid w:val="001F0009"/>
    <w:rsid w:val="001F02FF"/>
    <w:rsid w:val="001F0B95"/>
    <w:rsid w:val="001F11C2"/>
    <w:rsid w:val="001F140A"/>
    <w:rsid w:val="001F1673"/>
    <w:rsid w:val="001F3226"/>
    <w:rsid w:val="001F35E0"/>
    <w:rsid w:val="001F3840"/>
    <w:rsid w:val="001F3C80"/>
    <w:rsid w:val="001F5681"/>
    <w:rsid w:val="001F5B46"/>
    <w:rsid w:val="001F7121"/>
    <w:rsid w:val="001F7D8C"/>
    <w:rsid w:val="0020051E"/>
    <w:rsid w:val="00200BDC"/>
    <w:rsid w:val="00200FB5"/>
    <w:rsid w:val="0020179E"/>
    <w:rsid w:val="00202BB2"/>
    <w:rsid w:val="00202BBE"/>
    <w:rsid w:val="00202CCC"/>
    <w:rsid w:val="00203AE9"/>
    <w:rsid w:val="00203C65"/>
    <w:rsid w:val="00203EF9"/>
    <w:rsid w:val="0020503A"/>
    <w:rsid w:val="002051C5"/>
    <w:rsid w:val="00205425"/>
    <w:rsid w:val="00205C4D"/>
    <w:rsid w:val="0020671C"/>
    <w:rsid w:val="00206C62"/>
    <w:rsid w:val="00207072"/>
    <w:rsid w:val="00207502"/>
    <w:rsid w:val="0021000F"/>
    <w:rsid w:val="00210596"/>
    <w:rsid w:val="002106B5"/>
    <w:rsid w:val="002106E8"/>
    <w:rsid w:val="00210734"/>
    <w:rsid w:val="002115B7"/>
    <w:rsid w:val="0021291E"/>
    <w:rsid w:val="00212D82"/>
    <w:rsid w:val="0021319D"/>
    <w:rsid w:val="00213569"/>
    <w:rsid w:val="00213A31"/>
    <w:rsid w:val="00214527"/>
    <w:rsid w:val="00215246"/>
    <w:rsid w:val="0021630E"/>
    <w:rsid w:val="00217AD8"/>
    <w:rsid w:val="00217B47"/>
    <w:rsid w:val="00217CCD"/>
    <w:rsid w:val="00220610"/>
    <w:rsid w:val="002212EA"/>
    <w:rsid w:val="00221933"/>
    <w:rsid w:val="002223DC"/>
    <w:rsid w:val="00222852"/>
    <w:rsid w:val="00222BFA"/>
    <w:rsid w:val="00223535"/>
    <w:rsid w:val="00223669"/>
    <w:rsid w:val="00225E88"/>
    <w:rsid w:val="00226913"/>
    <w:rsid w:val="0022709E"/>
    <w:rsid w:val="0022723D"/>
    <w:rsid w:val="0022755F"/>
    <w:rsid w:val="00230ADF"/>
    <w:rsid w:val="00230B54"/>
    <w:rsid w:val="00230E37"/>
    <w:rsid w:val="0023149C"/>
    <w:rsid w:val="00231751"/>
    <w:rsid w:val="00232191"/>
    <w:rsid w:val="0023242C"/>
    <w:rsid w:val="0023306C"/>
    <w:rsid w:val="00233233"/>
    <w:rsid w:val="00233816"/>
    <w:rsid w:val="00233A95"/>
    <w:rsid w:val="00234FC9"/>
    <w:rsid w:val="002359F5"/>
    <w:rsid w:val="00236558"/>
    <w:rsid w:val="002368A2"/>
    <w:rsid w:val="002401E9"/>
    <w:rsid w:val="002405BA"/>
    <w:rsid w:val="00241709"/>
    <w:rsid w:val="00241A4E"/>
    <w:rsid w:val="00242679"/>
    <w:rsid w:val="002427EB"/>
    <w:rsid w:val="002429B7"/>
    <w:rsid w:val="00242C6A"/>
    <w:rsid w:val="00242FAF"/>
    <w:rsid w:val="00245811"/>
    <w:rsid w:val="0024583E"/>
    <w:rsid w:val="00245B52"/>
    <w:rsid w:val="002466A2"/>
    <w:rsid w:val="00246971"/>
    <w:rsid w:val="00246BE5"/>
    <w:rsid w:val="002471B8"/>
    <w:rsid w:val="00250198"/>
    <w:rsid w:val="00251F08"/>
    <w:rsid w:val="00252599"/>
    <w:rsid w:val="00252939"/>
    <w:rsid w:val="002529C6"/>
    <w:rsid w:val="00252ED9"/>
    <w:rsid w:val="00253178"/>
    <w:rsid w:val="002539CB"/>
    <w:rsid w:val="00253C3E"/>
    <w:rsid w:val="00254252"/>
    <w:rsid w:val="00254A1D"/>
    <w:rsid w:val="00255D1B"/>
    <w:rsid w:val="002561EB"/>
    <w:rsid w:val="00256686"/>
    <w:rsid w:val="00256EA9"/>
    <w:rsid w:val="0025723E"/>
    <w:rsid w:val="002575C2"/>
    <w:rsid w:val="00260239"/>
    <w:rsid w:val="0026065E"/>
    <w:rsid w:val="00260A5F"/>
    <w:rsid w:val="00261637"/>
    <w:rsid w:val="00261AFA"/>
    <w:rsid w:val="0026216B"/>
    <w:rsid w:val="00263198"/>
    <w:rsid w:val="00263A5A"/>
    <w:rsid w:val="00266339"/>
    <w:rsid w:val="0026648C"/>
    <w:rsid w:val="002679EB"/>
    <w:rsid w:val="00267DFD"/>
    <w:rsid w:val="00270146"/>
    <w:rsid w:val="0027096F"/>
    <w:rsid w:val="00270F54"/>
    <w:rsid w:val="00271A6D"/>
    <w:rsid w:val="002722E4"/>
    <w:rsid w:val="00274C24"/>
    <w:rsid w:val="00275BC2"/>
    <w:rsid w:val="002761F4"/>
    <w:rsid w:val="002778A7"/>
    <w:rsid w:val="00277E43"/>
    <w:rsid w:val="00277F67"/>
    <w:rsid w:val="002800A6"/>
    <w:rsid w:val="002802E3"/>
    <w:rsid w:val="00280CD5"/>
    <w:rsid w:val="00280FD5"/>
    <w:rsid w:val="002811AF"/>
    <w:rsid w:val="0028147C"/>
    <w:rsid w:val="002816B4"/>
    <w:rsid w:val="00281747"/>
    <w:rsid w:val="00281833"/>
    <w:rsid w:val="00281B0C"/>
    <w:rsid w:val="00282AFF"/>
    <w:rsid w:val="00282E99"/>
    <w:rsid w:val="002831D6"/>
    <w:rsid w:val="002834B3"/>
    <w:rsid w:val="00283EAC"/>
    <w:rsid w:val="0028485C"/>
    <w:rsid w:val="00284BDC"/>
    <w:rsid w:val="00285289"/>
    <w:rsid w:val="0028547E"/>
    <w:rsid w:val="002865F2"/>
    <w:rsid w:val="00286693"/>
    <w:rsid w:val="0028748C"/>
    <w:rsid w:val="00287DBF"/>
    <w:rsid w:val="002915E5"/>
    <w:rsid w:val="00291C26"/>
    <w:rsid w:val="00292080"/>
    <w:rsid w:val="0029218B"/>
    <w:rsid w:val="002925DE"/>
    <w:rsid w:val="00292A71"/>
    <w:rsid w:val="00293222"/>
    <w:rsid w:val="002945D3"/>
    <w:rsid w:val="00294A82"/>
    <w:rsid w:val="002952FB"/>
    <w:rsid w:val="002969ED"/>
    <w:rsid w:val="00296CED"/>
    <w:rsid w:val="002A0907"/>
    <w:rsid w:val="002A1B69"/>
    <w:rsid w:val="002A1EDE"/>
    <w:rsid w:val="002A2104"/>
    <w:rsid w:val="002A2156"/>
    <w:rsid w:val="002A4A92"/>
    <w:rsid w:val="002A4F2C"/>
    <w:rsid w:val="002A5A90"/>
    <w:rsid w:val="002A5D4C"/>
    <w:rsid w:val="002A6081"/>
    <w:rsid w:val="002A6487"/>
    <w:rsid w:val="002A69DC"/>
    <w:rsid w:val="002A6A57"/>
    <w:rsid w:val="002B0684"/>
    <w:rsid w:val="002B1192"/>
    <w:rsid w:val="002B154B"/>
    <w:rsid w:val="002B16C4"/>
    <w:rsid w:val="002B18B7"/>
    <w:rsid w:val="002B1FA4"/>
    <w:rsid w:val="002B32E0"/>
    <w:rsid w:val="002B5030"/>
    <w:rsid w:val="002B51B4"/>
    <w:rsid w:val="002B5586"/>
    <w:rsid w:val="002B58DD"/>
    <w:rsid w:val="002B58E9"/>
    <w:rsid w:val="002B5B4A"/>
    <w:rsid w:val="002B5B5E"/>
    <w:rsid w:val="002B5C6B"/>
    <w:rsid w:val="002B687D"/>
    <w:rsid w:val="002B6DCA"/>
    <w:rsid w:val="002B7445"/>
    <w:rsid w:val="002C05D7"/>
    <w:rsid w:val="002C090E"/>
    <w:rsid w:val="002C17E5"/>
    <w:rsid w:val="002C3062"/>
    <w:rsid w:val="002C3B26"/>
    <w:rsid w:val="002C51AB"/>
    <w:rsid w:val="002C5776"/>
    <w:rsid w:val="002C61F5"/>
    <w:rsid w:val="002C6AAE"/>
    <w:rsid w:val="002C7429"/>
    <w:rsid w:val="002C7E8C"/>
    <w:rsid w:val="002D15C9"/>
    <w:rsid w:val="002D1BD2"/>
    <w:rsid w:val="002D2609"/>
    <w:rsid w:val="002D2715"/>
    <w:rsid w:val="002D334D"/>
    <w:rsid w:val="002D4844"/>
    <w:rsid w:val="002D7A2A"/>
    <w:rsid w:val="002D7C18"/>
    <w:rsid w:val="002E0DF8"/>
    <w:rsid w:val="002E1413"/>
    <w:rsid w:val="002E1EA4"/>
    <w:rsid w:val="002E2B92"/>
    <w:rsid w:val="002E39EB"/>
    <w:rsid w:val="002E3C28"/>
    <w:rsid w:val="002E40E8"/>
    <w:rsid w:val="002E4126"/>
    <w:rsid w:val="002E412A"/>
    <w:rsid w:val="002E41C4"/>
    <w:rsid w:val="002E451A"/>
    <w:rsid w:val="002E4AA9"/>
    <w:rsid w:val="002E4D62"/>
    <w:rsid w:val="002E6D57"/>
    <w:rsid w:val="002E7558"/>
    <w:rsid w:val="002E7730"/>
    <w:rsid w:val="002F0DD2"/>
    <w:rsid w:val="002F100F"/>
    <w:rsid w:val="002F2121"/>
    <w:rsid w:val="002F2442"/>
    <w:rsid w:val="002F2C55"/>
    <w:rsid w:val="002F362A"/>
    <w:rsid w:val="002F3F7B"/>
    <w:rsid w:val="002F418E"/>
    <w:rsid w:val="002F499E"/>
    <w:rsid w:val="002F5C2B"/>
    <w:rsid w:val="002F6F7B"/>
    <w:rsid w:val="002F7050"/>
    <w:rsid w:val="002F7E18"/>
    <w:rsid w:val="0030036B"/>
    <w:rsid w:val="0030187F"/>
    <w:rsid w:val="0030191F"/>
    <w:rsid w:val="00301934"/>
    <w:rsid w:val="003025F1"/>
    <w:rsid w:val="00303670"/>
    <w:rsid w:val="00303C60"/>
    <w:rsid w:val="00303CA7"/>
    <w:rsid w:val="00303F41"/>
    <w:rsid w:val="0030482B"/>
    <w:rsid w:val="00304FE4"/>
    <w:rsid w:val="00305719"/>
    <w:rsid w:val="003058F1"/>
    <w:rsid w:val="00305B43"/>
    <w:rsid w:val="00306210"/>
    <w:rsid w:val="003063A6"/>
    <w:rsid w:val="00306701"/>
    <w:rsid w:val="00306B0B"/>
    <w:rsid w:val="003100CA"/>
    <w:rsid w:val="00310611"/>
    <w:rsid w:val="003107D6"/>
    <w:rsid w:val="00310DB3"/>
    <w:rsid w:val="00310EE8"/>
    <w:rsid w:val="00311558"/>
    <w:rsid w:val="00312586"/>
    <w:rsid w:val="00312C63"/>
    <w:rsid w:val="00313946"/>
    <w:rsid w:val="00315293"/>
    <w:rsid w:val="00315CD5"/>
    <w:rsid w:val="00316BD1"/>
    <w:rsid w:val="0031735C"/>
    <w:rsid w:val="00317499"/>
    <w:rsid w:val="00317B7B"/>
    <w:rsid w:val="00320446"/>
    <w:rsid w:val="00320730"/>
    <w:rsid w:val="00320FEE"/>
    <w:rsid w:val="003222D1"/>
    <w:rsid w:val="0032370F"/>
    <w:rsid w:val="00323776"/>
    <w:rsid w:val="003242DD"/>
    <w:rsid w:val="00324A5E"/>
    <w:rsid w:val="00324C1C"/>
    <w:rsid w:val="0032505F"/>
    <w:rsid w:val="003250F2"/>
    <w:rsid w:val="003258E0"/>
    <w:rsid w:val="00326176"/>
    <w:rsid w:val="00326473"/>
    <w:rsid w:val="003264F4"/>
    <w:rsid w:val="0032690C"/>
    <w:rsid w:val="00327034"/>
    <w:rsid w:val="00327A87"/>
    <w:rsid w:val="00327C95"/>
    <w:rsid w:val="00327F0E"/>
    <w:rsid w:val="00330D86"/>
    <w:rsid w:val="00330F98"/>
    <w:rsid w:val="00331961"/>
    <w:rsid w:val="00331BC3"/>
    <w:rsid w:val="00331C8C"/>
    <w:rsid w:val="00332161"/>
    <w:rsid w:val="003339F5"/>
    <w:rsid w:val="00334405"/>
    <w:rsid w:val="003347DC"/>
    <w:rsid w:val="00334BAB"/>
    <w:rsid w:val="003357BA"/>
    <w:rsid w:val="00336A35"/>
    <w:rsid w:val="00337239"/>
    <w:rsid w:val="00337659"/>
    <w:rsid w:val="003379EC"/>
    <w:rsid w:val="00337A17"/>
    <w:rsid w:val="00337C93"/>
    <w:rsid w:val="00337DFF"/>
    <w:rsid w:val="003401AD"/>
    <w:rsid w:val="00340382"/>
    <w:rsid w:val="003403BF"/>
    <w:rsid w:val="00340544"/>
    <w:rsid w:val="00340993"/>
    <w:rsid w:val="00340F5C"/>
    <w:rsid w:val="0034144A"/>
    <w:rsid w:val="003434B8"/>
    <w:rsid w:val="00343F9B"/>
    <w:rsid w:val="00344962"/>
    <w:rsid w:val="00345680"/>
    <w:rsid w:val="00345819"/>
    <w:rsid w:val="00347874"/>
    <w:rsid w:val="00350623"/>
    <w:rsid w:val="00351C5E"/>
    <w:rsid w:val="00353072"/>
    <w:rsid w:val="003533BE"/>
    <w:rsid w:val="00353FE0"/>
    <w:rsid w:val="00354107"/>
    <w:rsid w:val="003541A3"/>
    <w:rsid w:val="003544E5"/>
    <w:rsid w:val="003544F1"/>
    <w:rsid w:val="00354999"/>
    <w:rsid w:val="00354F9E"/>
    <w:rsid w:val="00355251"/>
    <w:rsid w:val="00355DE3"/>
    <w:rsid w:val="00356630"/>
    <w:rsid w:val="003568B8"/>
    <w:rsid w:val="00356DCF"/>
    <w:rsid w:val="0035762D"/>
    <w:rsid w:val="003576AA"/>
    <w:rsid w:val="003608C0"/>
    <w:rsid w:val="00362D30"/>
    <w:rsid w:val="003634D1"/>
    <w:rsid w:val="00364320"/>
    <w:rsid w:val="0036496D"/>
    <w:rsid w:val="00364D33"/>
    <w:rsid w:val="00364F30"/>
    <w:rsid w:val="00365533"/>
    <w:rsid w:val="0036771F"/>
    <w:rsid w:val="003678BB"/>
    <w:rsid w:val="00367CD7"/>
    <w:rsid w:val="00367EBF"/>
    <w:rsid w:val="00371BD6"/>
    <w:rsid w:val="00372134"/>
    <w:rsid w:val="003735FF"/>
    <w:rsid w:val="00374C2B"/>
    <w:rsid w:val="00375354"/>
    <w:rsid w:val="003755D5"/>
    <w:rsid w:val="00375D0E"/>
    <w:rsid w:val="00376DC1"/>
    <w:rsid w:val="00377374"/>
    <w:rsid w:val="00377543"/>
    <w:rsid w:val="00377DC6"/>
    <w:rsid w:val="003806FF"/>
    <w:rsid w:val="0038117D"/>
    <w:rsid w:val="0038153F"/>
    <w:rsid w:val="00381912"/>
    <w:rsid w:val="00381C80"/>
    <w:rsid w:val="00382535"/>
    <w:rsid w:val="00383658"/>
    <w:rsid w:val="00383749"/>
    <w:rsid w:val="0038444A"/>
    <w:rsid w:val="003858A0"/>
    <w:rsid w:val="0038593D"/>
    <w:rsid w:val="003901D3"/>
    <w:rsid w:val="003908FA"/>
    <w:rsid w:val="00391961"/>
    <w:rsid w:val="00391A98"/>
    <w:rsid w:val="00392B28"/>
    <w:rsid w:val="0039458C"/>
    <w:rsid w:val="00394C47"/>
    <w:rsid w:val="003955AA"/>
    <w:rsid w:val="003957A4"/>
    <w:rsid w:val="00395ABD"/>
    <w:rsid w:val="00397846"/>
    <w:rsid w:val="00397A56"/>
    <w:rsid w:val="003A11BE"/>
    <w:rsid w:val="003A2315"/>
    <w:rsid w:val="003A2CAC"/>
    <w:rsid w:val="003A3668"/>
    <w:rsid w:val="003A38EF"/>
    <w:rsid w:val="003A59FB"/>
    <w:rsid w:val="003A6936"/>
    <w:rsid w:val="003B00A1"/>
    <w:rsid w:val="003B028E"/>
    <w:rsid w:val="003B08A6"/>
    <w:rsid w:val="003B1692"/>
    <w:rsid w:val="003B1ED5"/>
    <w:rsid w:val="003B2425"/>
    <w:rsid w:val="003B4081"/>
    <w:rsid w:val="003B5351"/>
    <w:rsid w:val="003B5587"/>
    <w:rsid w:val="003B61AB"/>
    <w:rsid w:val="003B689E"/>
    <w:rsid w:val="003B703A"/>
    <w:rsid w:val="003B70D2"/>
    <w:rsid w:val="003B7217"/>
    <w:rsid w:val="003B794F"/>
    <w:rsid w:val="003C0A5E"/>
    <w:rsid w:val="003C1516"/>
    <w:rsid w:val="003C23C3"/>
    <w:rsid w:val="003C24F9"/>
    <w:rsid w:val="003C2A30"/>
    <w:rsid w:val="003C2F91"/>
    <w:rsid w:val="003C3543"/>
    <w:rsid w:val="003C414C"/>
    <w:rsid w:val="003C4931"/>
    <w:rsid w:val="003C6CDC"/>
    <w:rsid w:val="003D00A9"/>
    <w:rsid w:val="003D0310"/>
    <w:rsid w:val="003D1202"/>
    <w:rsid w:val="003D1667"/>
    <w:rsid w:val="003D2099"/>
    <w:rsid w:val="003D32D0"/>
    <w:rsid w:val="003D5458"/>
    <w:rsid w:val="003D645D"/>
    <w:rsid w:val="003D65BA"/>
    <w:rsid w:val="003D671B"/>
    <w:rsid w:val="003D69ED"/>
    <w:rsid w:val="003D6CC7"/>
    <w:rsid w:val="003D7BAC"/>
    <w:rsid w:val="003D7FA8"/>
    <w:rsid w:val="003E01EE"/>
    <w:rsid w:val="003E095C"/>
    <w:rsid w:val="003E0CFA"/>
    <w:rsid w:val="003E17F1"/>
    <w:rsid w:val="003E1C9F"/>
    <w:rsid w:val="003E2A76"/>
    <w:rsid w:val="003E36D0"/>
    <w:rsid w:val="003E73DE"/>
    <w:rsid w:val="003F0368"/>
    <w:rsid w:val="003F2595"/>
    <w:rsid w:val="003F29D1"/>
    <w:rsid w:val="003F2CBB"/>
    <w:rsid w:val="003F3F49"/>
    <w:rsid w:val="003F44CB"/>
    <w:rsid w:val="003F46B6"/>
    <w:rsid w:val="003F4AF9"/>
    <w:rsid w:val="003F4F3D"/>
    <w:rsid w:val="003F5478"/>
    <w:rsid w:val="003F6D2B"/>
    <w:rsid w:val="003F6F77"/>
    <w:rsid w:val="003F7955"/>
    <w:rsid w:val="004000F9"/>
    <w:rsid w:val="0040039F"/>
    <w:rsid w:val="00403C56"/>
    <w:rsid w:val="00404ABC"/>
    <w:rsid w:val="00404F8D"/>
    <w:rsid w:val="00405470"/>
    <w:rsid w:val="00405812"/>
    <w:rsid w:val="004059B2"/>
    <w:rsid w:val="0040623C"/>
    <w:rsid w:val="004067D4"/>
    <w:rsid w:val="00406A88"/>
    <w:rsid w:val="00406F46"/>
    <w:rsid w:val="00410633"/>
    <w:rsid w:val="00410745"/>
    <w:rsid w:val="00410EBF"/>
    <w:rsid w:val="004117FD"/>
    <w:rsid w:val="004124AE"/>
    <w:rsid w:val="00412818"/>
    <w:rsid w:val="004130F5"/>
    <w:rsid w:val="004139CA"/>
    <w:rsid w:val="0041410F"/>
    <w:rsid w:val="004143FC"/>
    <w:rsid w:val="0041445B"/>
    <w:rsid w:val="00414627"/>
    <w:rsid w:val="00415872"/>
    <w:rsid w:val="0041606E"/>
    <w:rsid w:val="00416AAD"/>
    <w:rsid w:val="00417834"/>
    <w:rsid w:val="004201CD"/>
    <w:rsid w:val="0042076F"/>
    <w:rsid w:val="00420A2C"/>
    <w:rsid w:val="00421843"/>
    <w:rsid w:val="00421CAC"/>
    <w:rsid w:val="00421E20"/>
    <w:rsid w:val="0042249B"/>
    <w:rsid w:val="00422754"/>
    <w:rsid w:val="0042358E"/>
    <w:rsid w:val="00423BB5"/>
    <w:rsid w:val="00423C2D"/>
    <w:rsid w:val="004258F8"/>
    <w:rsid w:val="00425905"/>
    <w:rsid w:val="00425A7D"/>
    <w:rsid w:val="00426DB5"/>
    <w:rsid w:val="00426E17"/>
    <w:rsid w:val="00426F41"/>
    <w:rsid w:val="00427467"/>
    <w:rsid w:val="004275A3"/>
    <w:rsid w:val="00430042"/>
    <w:rsid w:val="0043073A"/>
    <w:rsid w:val="00431048"/>
    <w:rsid w:val="004316C3"/>
    <w:rsid w:val="00431789"/>
    <w:rsid w:val="004321D3"/>
    <w:rsid w:val="00432447"/>
    <w:rsid w:val="0043248A"/>
    <w:rsid w:val="00432AA2"/>
    <w:rsid w:val="00432E37"/>
    <w:rsid w:val="00432EDB"/>
    <w:rsid w:val="004330B6"/>
    <w:rsid w:val="004331B5"/>
    <w:rsid w:val="00433E2F"/>
    <w:rsid w:val="0043497E"/>
    <w:rsid w:val="00434E84"/>
    <w:rsid w:val="00436700"/>
    <w:rsid w:val="00440F22"/>
    <w:rsid w:val="00441C2C"/>
    <w:rsid w:val="00442320"/>
    <w:rsid w:val="004425C8"/>
    <w:rsid w:val="00442B2B"/>
    <w:rsid w:val="004434CF"/>
    <w:rsid w:val="00443A97"/>
    <w:rsid w:val="00443E98"/>
    <w:rsid w:val="0044447B"/>
    <w:rsid w:val="004444D1"/>
    <w:rsid w:val="00445AC1"/>
    <w:rsid w:val="004465D7"/>
    <w:rsid w:val="0044670B"/>
    <w:rsid w:val="00446B2F"/>
    <w:rsid w:val="00446CCE"/>
    <w:rsid w:val="00447D16"/>
    <w:rsid w:val="00447E46"/>
    <w:rsid w:val="00450484"/>
    <w:rsid w:val="004504AC"/>
    <w:rsid w:val="00450E68"/>
    <w:rsid w:val="00451428"/>
    <w:rsid w:val="004514F9"/>
    <w:rsid w:val="0045168F"/>
    <w:rsid w:val="004516A6"/>
    <w:rsid w:val="004518BE"/>
    <w:rsid w:val="0045198B"/>
    <w:rsid w:val="0045276C"/>
    <w:rsid w:val="0045291D"/>
    <w:rsid w:val="00453F05"/>
    <w:rsid w:val="00454469"/>
    <w:rsid w:val="00455081"/>
    <w:rsid w:val="00455F32"/>
    <w:rsid w:val="00456317"/>
    <w:rsid w:val="00456AD8"/>
    <w:rsid w:val="00457738"/>
    <w:rsid w:val="00457A3B"/>
    <w:rsid w:val="00460208"/>
    <w:rsid w:val="00460395"/>
    <w:rsid w:val="004606DD"/>
    <w:rsid w:val="00460CA8"/>
    <w:rsid w:val="00461541"/>
    <w:rsid w:val="00461584"/>
    <w:rsid w:val="00461707"/>
    <w:rsid w:val="0046171C"/>
    <w:rsid w:val="00461ED5"/>
    <w:rsid w:val="004629F7"/>
    <w:rsid w:val="0046433B"/>
    <w:rsid w:val="00464501"/>
    <w:rsid w:val="0046535B"/>
    <w:rsid w:val="00465C3F"/>
    <w:rsid w:val="00465CD3"/>
    <w:rsid w:val="00466894"/>
    <w:rsid w:val="00466A63"/>
    <w:rsid w:val="004670C0"/>
    <w:rsid w:val="0046719F"/>
    <w:rsid w:val="00470D67"/>
    <w:rsid w:val="00470E4B"/>
    <w:rsid w:val="00471894"/>
    <w:rsid w:val="0047215F"/>
    <w:rsid w:val="00473750"/>
    <w:rsid w:val="0047407D"/>
    <w:rsid w:val="004740E1"/>
    <w:rsid w:val="004765DE"/>
    <w:rsid w:val="004773C1"/>
    <w:rsid w:val="00480094"/>
    <w:rsid w:val="00480358"/>
    <w:rsid w:val="0048091C"/>
    <w:rsid w:val="00481404"/>
    <w:rsid w:val="00481BCF"/>
    <w:rsid w:val="00482B7F"/>
    <w:rsid w:val="00483A78"/>
    <w:rsid w:val="004847CC"/>
    <w:rsid w:val="0048623D"/>
    <w:rsid w:val="00486575"/>
    <w:rsid w:val="004878A7"/>
    <w:rsid w:val="00487A12"/>
    <w:rsid w:val="004904A8"/>
    <w:rsid w:val="00490973"/>
    <w:rsid w:val="00491017"/>
    <w:rsid w:val="004914A5"/>
    <w:rsid w:val="00491900"/>
    <w:rsid w:val="00492CB6"/>
    <w:rsid w:val="00495BB1"/>
    <w:rsid w:val="004960BE"/>
    <w:rsid w:val="0049683C"/>
    <w:rsid w:val="00496AA0"/>
    <w:rsid w:val="004971CA"/>
    <w:rsid w:val="004978A4"/>
    <w:rsid w:val="004A0127"/>
    <w:rsid w:val="004A0E43"/>
    <w:rsid w:val="004A146A"/>
    <w:rsid w:val="004A1F0D"/>
    <w:rsid w:val="004A1FFF"/>
    <w:rsid w:val="004A2DC4"/>
    <w:rsid w:val="004A3A3B"/>
    <w:rsid w:val="004A41B3"/>
    <w:rsid w:val="004A5F8B"/>
    <w:rsid w:val="004A604F"/>
    <w:rsid w:val="004A68DC"/>
    <w:rsid w:val="004A69C7"/>
    <w:rsid w:val="004A6B35"/>
    <w:rsid w:val="004A6C47"/>
    <w:rsid w:val="004B0894"/>
    <w:rsid w:val="004B0D64"/>
    <w:rsid w:val="004B173E"/>
    <w:rsid w:val="004B1CF4"/>
    <w:rsid w:val="004B27CE"/>
    <w:rsid w:val="004B2896"/>
    <w:rsid w:val="004B2CF1"/>
    <w:rsid w:val="004B4139"/>
    <w:rsid w:val="004B51CD"/>
    <w:rsid w:val="004B7918"/>
    <w:rsid w:val="004C0157"/>
    <w:rsid w:val="004C01A8"/>
    <w:rsid w:val="004C026E"/>
    <w:rsid w:val="004C02CF"/>
    <w:rsid w:val="004C0C54"/>
    <w:rsid w:val="004C16A5"/>
    <w:rsid w:val="004C1C43"/>
    <w:rsid w:val="004C4780"/>
    <w:rsid w:val="004C533F"/>
    <w:rsid w:val="004C5B93"/>
    <w:rsid w:val="004C688E"/>
    <w:rsid w:val="004C7526"/>
    <w:rsid w:val="004C7AD6"/>
    <w:rsid w:val="004C7F2A"/>
    <w:rsid w:val="004D11FA"/>
    <w:rsid w:val="004D1581"/>
    <w:rsid w:val="004D19B2"/>
    <w:rsid w:val="004D2CAC"/>
    <w:rsid w:val="004D2CE1"/>
    <w:rsid w:val="004D377E"/>
    <w:rsid w:val="004D380A"/>
    <w:rsid w:val="004D3AFF"/>
    <w:rsid w:val="004D6103"/>
    <w:rsid w:val="004D7071"/>
    <w:rsid w:val="004D7081"/>
    <w:rsid w:val="004D7724"/>
    <w:rsid w:val="004E023F"/>
    <w:rsid w:val="004E10C8"/>
    <w:rsid w:val="004E1F71"/>
    <w:rsid w:val="004E23AB"/>
    <w:rsid w:val="004E2EDF"/>
    <w:rsid w:val="004E3E90"/>
    <w:rsid w:val="004E4343"/>
    <w:rsid w:val="004E4D60"/>
    <w:rsid w:val="004E5F44"/>
    <w:rsid w:val="004E5FAE"/>
    <w:rsid w:val="004E608B"/>
    <w:rsid w:val="004E6265"/>
    <w:rsid w:val="004E6989"/>
    <w:rsid w:val="004E6B21"/>
    <w:rsid w:val="004E6DD8"/>
    <w:rsid w:val="004E746C"/>
    <w:rsid w:val="004E7492"/>
    <w:rsid w:val="004E76A8"/>
    <w:rsid w:val="004E775C"/>
    <w:rsid w:val="004E79C5"/>
    <w:rsid w:val="004F0FEB"/>
    <w:rsid w:val="004F1663"/>
    <w:rsid w:val="004F2599"/>
    <w:rsid w:val="004F2DF6"/>
    <w:rsid w:val="004F37E8"/>
    <w:rsid w:val="004F404B"/>
    <w:rsid w:val="004F4676"/>
    <w:rsid w:val="004F4ED2"/>
    <w:rsid w:val="004F53C7"/>
    <w:rsid w:val="004F55C9"/>
    <w:rsid w:val="004F64C5"/>
    <w:rsid w:val="004F6D42"/>
    <w:rsid w:val="004F6F37"/>
    <w:rsid w:val="004F7461"/>
    <w:rsid w:val="004F75DE"/>
    <w:rsid w:val="005001D3"/>
    <w:rsid w:val="0050343F"/>
    <w:rsid w:val="00503A88"/>
    <w:rsid w:val="005058A9"/>
    <w:rsid w:val="00506BE9"/>
    <w:rsid w:val="005077DB"/>
    <w:rsid w:val="00507AA2"/>
    <w:rsid w:val="00511105"/>
    <w:rsid w:val="005115E4"/>
    <w:rsid w:val="00512467"/>
    <w:rsid w:val="005127C0"/>
    <w:rsid w:val="005130DE"/>
    <w:rsid w:val="005136EC"/>
    <w:rsid w:val="00515606"/>
    <w:rsid w:val="00515E3F"/>
    <w:rsid w:val="00516402"/>
    <w:rsid w:val="005168F4"/>
    <w:rsid w:val="0051761C"/>
    <w:rsid w:val="00520693"/>
    <w:rsid w:val="00521F3F"/>
    <w:rsid w:val="0052321E"/>
    <w:rsid w:val="00523A83"/>
    <w:rsid w:val="00526DAE"/>
    <w:rsid w:val="005278E5"/>
    <w:rsid w:val="00530166"/>
    <w:rsid w:val="005308D9"/>
    <w:rsid w:val="00531666"/>
    <w:rsid w:val="005318C6"/>
    <w:rsid w:val="00531D08"/>
    <w:rsid w:val="005323DB"/>
    <w:rsid w:val="005324CC"/>
    <w:rsid w:val="005328EB"/>
    <w:rsid w:val="00533CE2"/>
    <w:rsid w:val="005343C9"/>
    <w:rsid w:val="00534DEE"/>
    <w:rsid w:val="00534EF7"/>
    <w:rsid w:val="00535261"/>
    <w:rsid w:val="005353DA"/>
    <w:rsid w:val="00535ADA"/>
    <w:rsid w:val="00535CFB"/>
    <w:rsid w:val="00536776"/>
    <w:rsid w:val="00536EC7"/>
    <w:rsid w:val="005401CF"/>
    <w:rsid w:val="00541E12"/>
    <w:rsid w:val="00542459"/>
    <w:rsid w:val="005428B1"/>
    <w:rsid w:val="005437D6"/>
    <w:rsid w:val="00543A3B"/>
    <w:rsid w:val="005461B1"/>
    <w:rsid w:val="005461CA"/>
    <w:rsid w:val="0054734E"/>
    <w:rsid w:val="005474BC"/>
    <w:rsid w:val="005475D7"/>
    <w:rsid w:val="00547905"/>
    <w:rsid w:val="00550A7B"/>
    <w:rsid w:val="00550B32"/>
    <w:rsid w:val="00551A57"/>
    <w:rsid w:val="00551EFC"/>
    <w:rsid w:val="00552280"/>
    <w:rsid w:val="00552532"/>
    <w:rsid w:val="00553243"/>
    <w:rsid w:val="00553D72"/>
    <w:rsid w:val="0055562A"/>
    <w:rsid w:val="00556B1D"/>
    <w:rsid w:val="00557344"/>
    <w:rsid w:val="00557376"/>
    <w:rsid w:val="00560698"/>
    <w:rsid w:val="00560C30"/>
    <w:rsid w:val="00560C66"/>
    <w:rsid w:val="00560C6A"/>
    <w:rsid w:val="005614AB"/>
    <w:rsid w:val="00561809"/>
    <w:rsid w:val="00562085"/>
    <w:rsid w:val="00562895"/>
    <w:rsid w:val="005632AB"/>
    <w:rsid w:val="00564127"/>
    <w:rsid w:val="005645D6"/>
    <w:rsid w:val="0056578C"/>
    <w:rsid w:val="00565BFD"/>
    <w:rsid w:val="00566EFC"/>
    <w:rsid w:val="005701A3"/>
    <w:rsid w:val="005705A3"/>
    <w:rsid w:val="00570E55"/>
    <w:rsid w:val="00570F08"/>
    <w:rsid w:val="00571511"/>
    <w:rsid w:val="00571BE4"/>
    <w:rsid w:val="00571EF0"/>
    <w:rsid w:val="0057224F"/>
    <w:rsid w:val="0057247E"/>
    <w:rsid w:val="0057314B"/>
    <w:rsid w:val="005733B7"/>
    <w:rsid w:val="00573A55"/>
    <w:rsid w:val="005740E0"/>
    <w:rsid w:val="0057413A"/>
    <w:rsid w:val="00574386"/>
    <w:rsid w:val="0057440B"/>
    <w:rsid w:val="00574CDA"/>
    <w:rsid w:val="00575D65"/>
    <w:rsid w:val="00576586"/>
    <w:rsid w:val="005766C0"/>
    <w:rsid w:val="005767C5"/>
    <w:rsid w:val="005770A0"/>
    <w:rsid w:val="0058002F"/>
    <w:rsid w:val="005803A3"/>
    <w:rsid w:val="00580591"/>
    <w:rsid w:val="00580A88"/>
    <w:rsid w:val="00580CF1"/>
    <w:rsid w:val="00581978"/>
    <w:rsid w:val="00581CAD"/>
    <w:rsid w:val="005820E5"/>
    <w:rsid w:val="005827F2"/>
    <w:rsid w:val="0058285D"/>
    <w:rsid w:val="00582D83"/>
    <w:rsid w:val="005837C8"/>
    <w:rsid w:val="00583F8F"/>
    <w:rsid w:val="00584D08"/>
    <w:rsid w:val="00584EBA"/>
    <w:rsid w:val="00585824"/>
    <w:rsid w:val="00586CFE"/>
    <w:rsid w:val="00587C7F"/>
    <w:rsid w:val="00591524"/>
    <w:rsid w:val="00591EB8"/>
    <w:rsid w:val="005926F5"/>
    <w:rsid w:val="00592CDF"/>
    <w:rsid w:val="00593AC1"/>
    <w:rsid w:val="00594A07"/>
    <w:rsid w:val="00594D95"/>
    <w:rsid w:val="005952B4"/>
    <w:rsid w:val="005957B4"/>
    <w:rsid w:val="00595E62"/>
    <w:rsid w:val="00596CB5"/>
    <w:rsid w:val="00596EDD"/>
    <w:rsid w:val="00597DE1"/>
    <w:rsid w:val="00597E90"/>
    <w:rsid w:val="005A07EF"/>
    <w:rsid w:val="005A0891"/>
    <w:rsid w:val="005A11EA"/>
    <w:rsid w:val="005A2BDC"/>
    <w:rsid w:val="005A2F0D"/>
    <w:rsid w:val="005A31A2"/>
    <w:rsid w:val="005A4641"/>
    <w:rsid w:val="005A5333"/>
    <w:rsid w:val="005A598A"/>
    <w:rsid w:val="005A69CD"/>
    <w:rsid w:val="005A74B3"/>
    <w:rsid w:val="005A7521"/>
    <w:rsid w:val="005A7A9E"/>
    <w:rsid w:val="005B0315"/>
    <w:rsid w:val="005B1AD6"/>
    <w:rsid w:val="005B1C86"/>
    <w:rsid w:val="005B1D45"/>
    <w:rsid w:val="005B1D8B"/>
    <w:rsid w:val="005B2740"/>
    <w:rsid w:val="005B352F"/>
    <w:rsid w:val="005B3735"/>
    <w:rsid w:val="005B3F7A"/>
    <w:rsid w:val="005B4831"/>
    <w:rsid w:val="005B6A6E"/>
    <w:rsid w:val="005B6B0E"/>
    <w:rsid w:val="005B76BD"/>
    <w:rsid w:val="005B7B83"/>
    <w:rsid w:val="005B7F10"/>
    <w:rsid w:val="005C0207"/>
    <w:rsid w:val="005C2991"/>
    <w:rsid w:val="005C3374"/>
    <w:rsid w:val="005C35BA"/>
    <w:rsid w:val="005C45D8"/>
    <w:rsid w:val="005C4B43"/>
    <w:rsid w:val="005C5D60"/>
    <w:rsid w:val="005C6002"/>
    <w:rsid w:val="005C6568"/>
    <w:rsid w:val="005C67C1"/>
    <w:rsid w:val="005C691E"/>
    <w:rsid w:val="005C7597"/>
    <w:rsid w:val="005C7FAE"/>
    <w:rsid w:val="005D07C8"/>
    <w:rsid w:val="005D11C9"/>
    <w:rsid w:val="005D1BDE"/>
    <w:rsid w:val="005D1C48"/>
    <w:rsid w:val="005D23A0"/>
    <w:rsid w:val="005D484A"/>
    <w:rsid w:val="005D4BC8"/>
    <w:rsid w:val="005D5176"/>
    <w:rsid w:val="005D54A8"/>
    <w:rsid w:val="005D6207"/>
    <w:rsid w:val="005D7768"/>
    <w:rsid w:val="005D7E7A"/>
    <w:rsid w:val="005E04A4"/>
    <w:rsid w:val="005E0A11"/>
    <w:rsid w:val="005E0ADD"/>
    <w:rsid w:val="005E1A93"/>
    <w:rsid w:val="005E3402"/>
    <w:rsid w:val="005E3CA9"/>
    <w:rsid w:val="005E4CB3"/>
    <w:rsid w:val="005E5AA1"/>
    <w:rsid w:val="005E65B2"/>
    <w:rsid w:val="005E6D8A"/>
    <w:rsid w:val="005E7002"/>
    <w:rsid w:val="005E7976"/>
    <w:rsid w:val="005E7C96"/>
    <w:rsid w:val="005F0C88"/>
    <w:rsid w:val="005F106D"/>
    <w:rsid w:val="005F1884"/>
    <w:rsid w:val="005F1954"/>
    <w:rsid w:val="005F2166"/>
    <w:rsid w:val="005F3908"/>
    <w:rsid w:val="005F3B33"/>
    <w:rsid w:val="005F485A"/>
    <w:rsid w:val="005F6FB2"/>
    <w:rsid w:val="005F7845"/>
    <w:rsid w:val="00600DE6"/>
    <w:rsid w:val="00601051"/>
    <w:rsid w:val="0060189C"/>
    <w:rsid w:val="006032D9"/>
    <w:rsid w:val="006035DF"/>
    <w:rsid w:val="006040F8"/>
    <w:rsid w:val="00605CCA"/>
    <w:rsid w:val="006072DE"/>
    <w:rsid w:val="00607F18"/>
    <w:rsid w:val="00607FDC"/>
    <w:rsid w:val="0061065D"/>
    <w:rsid w:val="00610842"/>
    <w:rsid w:val="00610A0C"/>
    <w:rsid w:val="00611176"/>
    <w:rsid w:val="0061154B"/>
    <w:rsid w:val="00611A4B"/>
    <w:rsid w:val="006121B8"/>
    <w:rsid w:val="006121D2"/>
    <w:rsid w:val="0061289D"/>
    <w:rsid w:val="00612972"/>
    <w:rsid w:val="006132A8"/>
    <w:rsid w:val="0061370B"/>
    <w:rsid w:val="006139A0"/>
    <w:rsid w:val="006145FA"/>
    <w:rsid w:val="00615209"/>
    <w:rsid w:val="006159B1"/>
    <w:rsid w:val="006165EB"/>
    <w:rsid w:val="00617619"/>
    <w:rsid w:val="00617BC0"/>
    <w:rsid w:val="00620CD2"/>
    <w:rsid w:val="00621355"/>
    <w:rsid w:val="0062167D"/>
    <w:rsid w:val="0062247D"/>
    <w:rsid w:val="00622B35"/>
    <w:rsid w:val="00623529"/>
    <w:rsid w:val="00623B9F"/>
    <w:rsid w:val="00623D53"/>
    <w:rsid w:val="006240EC"/>
    <w:rsid w:val="00624373"/>
    <w:rsid w:val="00624CBF"/>
    <w:rsid w:val="006251F3"/>
    <w:rsid w:val="006302D3"/>
    <w:rsid w:val="00630B14"/>
    <w:rsid w:val="00630CE8"/>
    <w:rsid w:val="00632210"/>
    <w:rsid w:val="006332AB"/>
    <w:rsid w:val="0063366B"/>
    <w:rsid w:val="00634A63"/>
    <w:rsid w:val="00634B12"/>
    <w:rsid w:val="006350FC"/>
    <w:rsid w:val="00635427"/>
    <w:rsid w:val="0063616E"/>
    <w:rsid w:val="006365AB"/>
    <w:rsid w:val="00636715"/>
    <w:rsid w:val="0063721D"/>
    <w:rsid w:val="0063773F"/>
    <w:rsid w:val="0064051B"/>
    <w:rsid w:val="00640D6D"/>
    <w:rsid w:val="00641703"/>
    <w:rsid w:val="00642341"/>
    <w:rsid w:val="0064252D"/>
    <w:rsid w:val="0064314F"/>
    <w:rsid w:val="0064353E"/>
    <w:rsid w:val="00646216"/>
    <w:rsid w:val="006464CB"/>
    <w:rsid w:val="006466B1"/>
    <w:rsid w:val="006478CD"/>
    <w:rsid w:val="00650454"/>
    <w:rsid w:val="006505B2"/>
    <w:rsid w:val="00650EF1"/>
    <w:rsid w:val="00651393"/>
    <w:rsid w:val="006516EF"/>
    <w:rsid w:val="00651F31"/>
    <w:rsid w:val="00652175"/>
    <w:rsid w:val="00652F20"/>
    <w:rsid w:val="00653CE1"/>
    <w:rsid w:val="00654149"/>
    <w:rsid w:val="00654977"/>
    <w:rsid w:val="006550A4"/>
    <w:rsid w:val="006557C9"/>
    <w:rsid w:val="00656218"/>
    <w:rsid w:val="00657487"/>
    <w:rsid w:val="006603D8"/>
    <w:rsid w:val="00660995"/>
    <w:rsid w:val="006613B1"/>
    <w:rsid w:val="00662190"/>
    <w:rsid w:val="00662AA2"/>
    <w:rsid w:val="00664ED0"/>
    <w:rsid w:val="00664FE6"/>
    <w:rsid w:val="0066502A"/>
    <w:rsid w:val="00666215"/>
    <w:rsid w:val="00666334"/>
    <w:rsid w:val="00666BB2"/>
    <w:rsid w:val="006675AB"/>
    <w:rsid w:val="00667A0C"/>
    <w:rsid w:val="00670D01"/>
    <w:rsid w:val="006712AB"/>
    <w:rsid w:val="006728E8"/>
    <w:rsid w:val="0067397E"/>
    <w:rsid w:val="00673A5F"/>
    <w:rsid w:val="00674652"/>
    <w:rsid w:val="006747AC"/>
    <w:rsid w:val="00675941"/>
    <w:rsid w:val="00675FD6"/>
    <w:rsid w:val="00676F2E"/>
    <w:rsid w:val="0067719D"/>
    <w:rsid w:val="00677F63"/>
    <w:rsid w:val="0068043B"/>
    <w:rsid w:val="00681D93"/>
    <w:rsid w:val="00684806"/>
    <w:rsid w:val="00684C44"/>
    <w:rsid w:val="00685506"/>
    <w:rsid w:val="00685FF7"/>
    <w:rsid w:val="00686B81"/>
    <w:rsid w:val="006901E8"/>
    <w:rsid w:val="006912D3"/>
    <w:rsid w:val="00691324"/>
    <w:rsid w:val="00691328"/>
    <w:rsid w:val="0069151F"/>
    <w:rsid w:val="006919EC"/>
    <w:rsid w:val="00691DC0"/>
    <w:rsid w:val="00691DD4"/>
    <w:rsid w:val="00692BCB"/>
    <w:rsid w:val="0069344D"/>
    <w:rsid w:val="0069359B"/>
    <w:rsid w:val="0069379D"/>
    <w:rsid w:val="00693B36"/>
    <w:rsid w:val="006940CB"/>
    <w:rsid w:val="006949D3"/>
    <w:rsid w:val="00694B06"/>
    <w:rsid w:val="00694DED"/>
    <w:rsid w:val="00695D69"/>
    <w:rsid w:val="00696BCC"/>
    <w:rsid w:val="006978F0"/>
    <w:rsid w:val="006979E8"/>
    <w:rsid w:val="00697A07"/>
    <w:rsid w:val="00697CD5"/>
    <w:rsid w:val="006A0683"/>
    <w:rsid w:val="006A0AF2"/>
    <w:rsid w:val="006A1A98"/>
    <w:rsid w:val="006A2776"/>
    <w:rsid w:val="006A2D26"/>
    <w:rsid w:val="006A319D"/>
    <w:rsid w:val="006A3DAD"/>
    <w:rsid w:val="006A3E3A"/>
    <w:rsid w:val="006A41D4"/>
    <w:rsid w:val="006A4228"/>
    <w:rsid w:val="006A4845"/>
    <w:rsid w:val="006A5026"/>
    <w:rsid w:val="006A5A8C"/>
    <w:rsid w:val="006A5B83"/>
    <w:rsid w:val="006A6E57"/>
    <w:rsid w:val="006A7B90"/>
    <w:rsid w:val="006B206C"/>
    <w:rsid w:val="006B3E52"/>
    <w:rsid w:val="006B4440"/>
    <w:rsid w:val="006B4500"/>
    <w:rsid w:val="006B462E"/>
    <w:rsid w:val="006B4830"/>
    <w:rsid w:val="006B5FC0"/>
    <w:rsid w:val="006B679B"/>
    <w:rsid w:val="006B751C"/>
    <w:rsid w:val="006B7BF5"/>
    <w:rsid w:val="006B7F84"/>
    <w:rsid w:val="006C0105"/>
    <w:rsid w:val="006C0771"/>
    <w:rsid w:val="006C0DAA"/>
    <w:rsid w:val="006C1731"/>
    <w:rsid w:val="006C1C2B"/>
    <w:rsid w:val="006C1FFF"/>
    <w:rsid w:val="006C45A0"/>
    <w:rsid w:val="006C4634"/>
    <w:rsid w:val="006C46FA"/>
    <w:rsid w:val="006C4D4D"/>
    <w:rsid w:val="006C51A2"/>
    <w:rsid w:val="006C6519"/>
    <w:rsid w:val="006C6B7C"/>
    <w:rsid w:val="006C6EE6"/>
    <w:rsid w:val="006C75F7"/>
    <w:rsid w:val="006D0412"/>
    <w:rsid w:val="006D05B8"/>
    <w:rsid w:val="006D0CBD"/>
    <w:rsid w:val="006D11D6"/>
    <w:rsid w:val="006D27EF"/>
    <w:rsid w:val="006D3038"/>
    <w:rsid w:val="006D3D16"/>
    <w:rsid w:val="006D4BE0"/>
    <w:rsid w:val="006D5272"/>
    <w:rsid w:val="006D6E7A"/>
    <w:rsid w:val="006D7970"/>
    <w:rsid w:val="006D7EC6"/>
    <w:rsid w:val="006E039E"/>
    <w:rsid w:val="006E0FCE"/>
    <w:rsid w:val="006E2567"/>
    <w:rsid w:val="006E398E"/>
    <w:rsid w:val="006E3F82"/>
    <w:rsid w:val="006E410C"/>
    <w:rsid w:val="006E46FC"/>
    <w:rsid w:val="006E5012"/>
    <w:rsid w:val="006E528E"/>
    <w:rsid w:val="006E533E"/>
    <w:rsid w:val="006E5A9D"/>
    <w:rsid w:val="006E7784"/>
    <w:rsid w:val="006F03ED"/>
    <w:rsid w:val="006F1C87"/>
    <w:rsid w:val="006F26F8"/>
    <w:rsid w:val="006F3481"/>
    <w:rsid w:val="006F47C4"/>
    <w:rsid w:val="006F5B7C"/>
    <w:rsid w:val="006F5E86"/>
    <w:rsid w:val="006F6253"/>
    <w:rsid w:val="006F682D"/>
    <w:rsid w:val="006F7241"/>
    <w:rsid w:val="006F7FCF"/>
    <w:rsid w:val="00700189"/>
    <w:rsid w:val="007002D0"/>
    <w:rsid w:val="007010B6"/>
    <w:rsid w:val="007019DE"/>
    <w:rsid w:val="00701B22"/>
    <w:rsid w:val="0070208C"/>
    <w:rsid w:val="00702307"/>
    <w:rsid w:val="00702D19"/>
    <w:rsid w:val="007041BB"/>
    <w:rsid w:val="00704982"/>
    <w:rsid w:val="00705054"/>
    <w:rsid w:val="00710131"/>
    <w:rsid w:val="0071022B"/>
    <w:rsid w:val="0071079B"/>
    <w:rsid w:val="007107F8"/>
    <w:rsid w:val="0071094E"/>
    <w:rsid w:val="007116F8"/>
    <w:rsid w:val="0071278D"/>
    <w:rsid w:val="0071466B"/>
    <w:rsid w:val="00714C2E"/>
    <w:rsid w:val="0071515C"/>
    <w:rsid w:val="00715730"/>
    <w:rsid w:val="00715885"/>
    <w:rsid w:val="007169D1"/>
    <w:rsid w:val="007172FF"/>
    <w:rsid w:val="00717670"/>
    <w:rsid w:val="00720366"/>
    <w:rsid w:val="007203E8"/>
    <w:rsid w:val="00720D1D"/>
    <w:rsid w:val="0072140C"/>
    <w:rsid w:val="00722466"/>
    <w:rsid w:val="00723AE8"/>
    <w:rsid w:val="00723BA6"/>
    <w:rsid w:val="007241A9"/>
    <w:rsid w:val="00724B9D"/>
    <w:rsid w:val="0072529D"/>
    <w:rsid w:val="00725A78"/>
    <w:rsid w:val="00725C55"/>
    <w:rsid w:val="00727368"/>
    <w:rsid w:val="007276D7"/>
    <w:rsid w:val="0072786B"/>
    <w:rsid w:val="00730218"/>
    <w:rsid w:val="0073040D"/>
    <w:rsid w:val="00730C20"/>
    <w:rsid w:val="0073115D"/>
    <w:rsid w:val="00731623"/>
    <w:rsid w:val="00731E11"/>
    <w:rsid w:val="007337B6"/>
    <w:rsid w:val="007339EC"/>
    <w:rsid w:val="00733D15"/>
    <w:rsid w:val="00736596"/>
    <w:rsid w:val="00737C5E"/>
    <w:rsid w:val="00737DEA"/>
    <w:rsid w:val="00741486"/>
    <w:rsid w:val="0074186B"/>
    <w:rsid w:val="00742250"/>
    <w:rsid w:val="00743D5E"/>
    <w:rsid w:val="00744080"/>
    <w:rsid w:val="007442EB"/>
    <w:rsid w:val="0074583B"/>
    <w:rsid w:val="00746948"/>
    <w:rsid w:val="00747F14"/>
    <w:rsid w:val="00750218"/>
    <w:rsid w:val="00750319"/>
    <w:rsid w:val="00751697"/>
    <w:rsid w:val="007523E9"/>
    <w:rsid w:val="00752CCF"/>
    <w:rsid w:val="00753CDA"/>
    <w:rsid w:val="00753E6A"/>
    <w:rsid w:val="00755A50"/>
    <w:rsid w:val="00755D1B"/>
    <w:rsid w:val="00755D6E"/>
    <w:rsid w:val="00756E16"/>
    <w:rsid w:val="00756F7D"/>
    <w:rsid w:val="007572A1"/>
    <w:rsid w:val="0076022D"/>
    <w:rsid w:val="0076116D"/>
    <w:rsid w:val="00761B55"/>
    <w:rsid w:val="00761BBB"/>
    <w:rsid w:val="00762248"/>
    <w:rsid w:val="007624AA"/>
    <w:rsid w:val="00762CE6"/>
    <w:rsid w:val="0076314B"/>
    <w:rsid w:val="00763A9E"/>
    <w:rsid w:val="00763B0B"/>
    <w:rsid w:val="00764273"/>
    <w:rsid w:val="00764960"/>
    <w:rsid w:val="00764BFE"/>
    <w:rsid w:val="007651BB"/>
    <w:rsid w:val="00766966"/>
    <w:rsid w:val="0076729A"/>
    <w:rsid w:val="00770637"/>
    <w:rsid w:val="007707FA"/>
    <w:rsid w:val="007708B3"/>
    <w:rsid w:val="00770903"/>
    <w:rsid w:val="00771689"/>
    <w:rsid w:val="007716C6"/>
    <w:rsid w:val="007716D6"/>
    <w:rsid w:val="0077200E"/>
    <w:rsid w:val="007722C4"/>
    <w:rsid w:val="007725C3"/>
    <w:rsid w:val="00773529"/>
    <w:rsid w:val="00773752"/>
    <w:rsid w:val="0077396E"/>
    <w:rsid w:val="00773E0E"/>
    <w:rsid w:val="00773E6E"/>
    <w:rsid w:val="00774438"/>
    <w:rsid w:val="00774BBA"/>
    <w:rsid w:val="0077601B"/>
    <w:rsid w:val="00776AEE"/>
    <w:rsid w:val="00776C39"/>
    <w:rsid w:val="00776FD8"/>
    <w:rsid w:val="00777C0E"/>
    <w:rsid w:val="00780014"/>
    <w:rsid w:val="007802A6"/>
    <w:rsid w:val="00780866"/>
    <w:rsid w:val="0078163B"/>
    <w:rsid w:val="00782CB9"/>
    <w:rsid w:val="00782E7D"/>
    <w:rsid w:val="00783497"/>
    <w:rsid w:val="0078355F"/>
    <w:rsid w:val="007862DF"/>
    <w:rsid w:val="0078698A"/>
    <w:rsid w:val="00787EBB"/>
    <w:rsid w:val="00790330"/>
    <w:rsid w:val="007905B1"/>
    <w:rsid w:val="00790763"/>
    <w:rsid w:val="00792518"/>
    <w:rsid w:val="00792C49"/>
    <w:rsid w:val="00792CE3"/>
    <w:rsid w:val="00793E8E"/>
    <w:rsid w:val="00794027"/>
    <w:rsid w:val="007954BA"/>
    <w:rsid w:val="007975B9"/>
    <w:rsid w:val="00797D7F"/>
    <w:rsid w:val="007A027D"/>
    <w:rsid w:val="007A0438"/>
    <w:rsid w:val="007A04C9"/>
    <w:rsid w:val="007A1C5F"/>
    <w:rsid w:val="007A1E3E"/>
    <w:rsid w:val="007A29DD"/>
    <w:rsid w:val="007A2C1E"/>
    <w:rsid w:val="007A3BFD"/>
    <w:rsid w:val="007A4D19"/>
    <w:rsid w:val="007A55DC"/>
    <w:rsid w:val="007A5D0C"/>
    <w:rsid w:val="007A5F0D"/>
    <w:rsid w:val="007A65D9"/>
    <w:rsid w:val="007A7DB8"/>
    <w:rsid w:val="007B0B32"/>
    <w:rsid w:val="007B0BAB"/>
    <w:rsid w:val="007B0FB6"/>
    <w:rsid w:val="007B1058"/>
    <w:rsid w:val="007B272F"/>
    <w:rsid w:val="007B2BA3"/>
    <w:rsid w:val="007B33F5"/>
    <w:rsid w:val="007B3D42"/>
    <w:rsid w:val="007B3E7B"/>
    <w:rsid w:val="007B47CB"/>
    <w:rsid w:val="007B4844"/>
    <w:rsid w:val="007B4B4B"/>
    <w:rsid w:val="007B5BF5"/>
    <w:rsid w:val="007B61DC"/>
    <w:rsid w:val="007B642B"/>
    <w:rsid w:val="007B6C9A"/>
    <w:rsid w:val="007C19A2"/>
    <w:rsid w:val="007C1F40"/>
    <w:rsid w:val="007C205E"/>
    <w:rsid w:val="007C2ABA"/>
    <w:rsid w:val="007C2CA4"/>
    <w:rsid w:val="007C2E9E"/>
    <w:rsid w:val="007C3CBB"/>
    <w:rsid w:val="007C3E6A"/>
    <w:rsid w:val="007C3F31"/>
    <w:rsid w:val="007C43FC"/>
    <w:rsid w:val="007C57AB"/>
    <w:rsid w:val="007C6695"/>
    <w:rsid w:val="007C6FEB"/>
    <w:rsid w:val="007C71C8"/>
    <w:rsid w:val="007C777B"/>
    <w:rsid w:val="007C7EE1"/>
    <w:rsid w:val="007D17A5"/>
    <w:rsid w:val="007D1AC6"/>
    <w:rsid w:val="007D1E97"/>
    <w:rsid w:val="007D353B"/>
    <w:rsid w:val="007D6280"/>
    <w:rsid w:val="007D6AB3"/>
    <w:rsid w:val="007E0E3C"/>
    <w:rsid w:val="007E13E4"/>
    <w:rsid w:val="007E2178"/>
    <w:rsid w:val="007E2276"/>
    <w:rsid w:val="007E27FD"/>
    <w:rsid w:val="007E366B"/>
    <w:rsid w:val="007E47B6"/>
    <w:rsid w:val="007E62F1"/>
    <w:rsid w:val="007E6C72"/>
    <w:rsid w:val="007E6E90"/>
    <w:rsid w:val="007E6E95"/>
    <w:rsid w:val="007E70BA"/>
    <w:rsid w:val="007E74B4"/>
    <w:rsid w:val="007E7FCD"/>
    <w:rsid w:val="007F0850"/>
    <w:rsid w:val="007F1CC6"/>
    <w:rsid w:val="007F22C0"/>
    <w:rsid w:val="007F24BB"/>
    <w:rsid w:val="007F2D5E"/>
    <w:rsid w:val="007F57D8"/>
    <w:rsid w:val="007F5A14"/>
    <w:rsid w:val="007F67B8"/>
    <w:rsid w:val="007F7EB6"/>
    <w:rsid w:val="008006E6"/>
    <w:rsid w:val="00800792"/>
    <w:rsid w:val="00800E6D"/>
    <w:rsid w:val="008010C0"/>
    <w:rsid w:val="00801ED0"/>
    <w:rsid w:val="00802400"/>
    <w:rsid w:val="0080248B"/>
    <w:rsid w:val="0080252C"/>
    <w:rsid w:val="0080253E"/>
    <w:rsid w:val="00802EEB"/>
    <w:rsid w:val="0080376B"/>
    <w:rsid w:val="0080386F"/>
    <w:rsid w:val="00803BCD"/>
    <w:rsid w:val="00803BE8"/>
    <w:rsid w:val="00803BF4"/>
    <w:rsid w:val="00804311"/>
    <w:rsid w:val="008050D4"/>
    <w:rsid w:val="0080540F"/>
    <w:rsid w:val="00806DBD"/>
    <w:rsid w:val="00807FC0"/>
    <w:rsid w:val="008106A7"/>
    <w:rsid w:val="00812FB0"/>
    <w:rsid w:val="008139DD"/>
    <w:rsid w:val="00813CC9"/>
    <w:rsid w:val="00814227"/>
    <w:rsid w:val="0081497E"/>
    <w:rsid w:val="008164D9"/>
    <w:rsid w:val="00816BE1"/>
    <w:rsid w:val="008177A3"/>
    <w:rsid w:val="008204F3"/>
    <w:rsid w:val="008205D4"/>
    <w:rsid w:val="00820B56"/>
    <w:rsid w:val="0082245F"/>
    <w:rsid w:val="00822B47"/>
    <w:rsid w:val="00822BB2"/>
    <w:rsid w:val="00822C63"/>
    <w:rsid w:val="00823E2F"/>
    <w:rsid w:val="00826813"/>
    <w:rsid w:val="0082689D"/>
    <w:rsid w:val="0082707E"/>
    <w:rsid w:val="00827953"/>
    <w:rsid w:val="00827DD6"/>
    <w:rsid w:val="008302A6"/>
    <w:rsid w:val="0083116F"/>
    <w:rsid w:val="0083214A"/>
    <w:rsid w:val="00832482"/>
    <w:rsid w:val="008325C5"/>
    <w:rsid w:val="00833186"/>
    <w:rsid w:val="0083382D"/>
    <w:rsid w:val="008339BB"/>
    <w:rsid w:val="00833C9C"/>
    <w:rsid w:val="0083579D"/>
    <w:rsid w:val="0083641C"/>
    <w:rsid w:val="008364C3"/>
    <w:rsid w:val="008370EF"/>
    <w:rsid w:val="0083779F"/>
    <w:rsid w:val="00840B3E"/>
    <w:rsid w:val="00841DB7"/>
    <w:rsid w:val="008424BA"/>
    <w:rsid w:val="00843D95"/>
    <w:rsid w:val="00845049"/>
    <w:rsid w:val="00845A7F"/>
    <w:rsid w:val="00847C0A"/>
    <w:rsid w:val="0085014D"/>
    <w:rsid w:val="00850489"/>
    <w:rsid w:val="0085223F"/>
    <w:rsid w:val="0085397B"/>
    <w:rsid w:val="00854AEA"/>
    <w:rsid w:val="00854B96"/>
    <w:rsid w:val="00856C01"/>
    <w:rsid w:val="00856FBA"/>
    <w:rsid w:val="008571FC"/>
    <w:rsid w:val="008576F8"/>
    <w:rsid w:val="0085780D"/>
    <w:rsid w:val="00857AE3"/>
    <w:rsid w:val="00860A60"/>
    <w:rsid w:val="00860C3F"/>
    <w:rsid w:val="00861C36"/>
    <w:rsid w:val="0086326D"/>
    <w:rsid w:val="008633BF"/>
    <w:rsid w:val="008634A1"/>
    <w:rsid w:val="00863AA1"/>
    <w:rsid w:val="00863AED"/>
    <w:rsid w:val="00863C09"/>
    <w:rsid w:val="00864445"/>
    <w:rsid w:val="00864F22"/>
    <w:rsid w:val="00864FEA"/>
    <w:rsid w:val="008651D8"/>
    <w:rsid w:val="00865334"/>
    <w:rsid w:val="00865D69"/>
    <w:rsid w:val="008661BE"/>
    <w:rsid w:val="00866CAD"/>
    <w:rsid w:val="00867203"/>
    <w:rsid w:val="00867B11"/>
    <w:rsid w:val="008706B7"/>
    <w:rsid w:val="00870EB6"/>
    <w:rsid w:val="00871009"/>
    <w:rsid w:val="00871C8A"/>
    <w:rsid w:val="008723ED"/>
    <w:rsid w:val="00873843"/>
    <w:rsid w:val="0087395A"/>
    <w:rsid w:val="00874703"/>
    <w:rsid w:val="00874B53"/>
    <w:rsid w:val="00874BAD"/>
    <w:rsid w:val="00876434"/>
    <w:rsid w:val="00877054"/>
    <w:rsid w:val="008774DC"/>
    <w:rsid w:val="00880754"/>
    <w:rsid w:val="00881811"/>
    <w:rsid w:val="00881835"/>
    <w:rsid w:val="00881C70"/>
    <w:rsid w:val="008824D9"/>
    <w:rsid w:val="00882C87"/>
    <w:rsid w:val="00883340"/>
    <w:rsid w:val="008841B8"/>
    <w:rsid w:val="008853EF"/>
    <w:rsid w:val="00885A00"/>
    <w:rsid w:val="00886017"/>
    <w:rsid w:val="0088712D"/>
    <w:rsid w:val="00887888"/>
    <w:rsid w:val="0088793A"/>
    <w:rsid w:val="0089088F"/>
    <w:rsid w:val="00890D88"/>
    <w:rsid w:val="008913A8"/>
    <w:rsid w:val="008913FE"/>
    <w:rsid w:val="00891417"/>
    <w:rsid w:val="008918AE"/>
    <w:rsid w:val="00892D03"/>
    <w:rsid w:val="008933DE"/>
    <w:rsid w:val="00893F40"/>
    <w:rsid w:val="008945AA"/>
    <w:rsid w:val="00894AD5"/>
    <w:rsid w:val="00895448"/>
    <w:rsid w:val="00895635"/>
    <w:rsid w:val="00895801"/>
    <w:rsid w:val="008964F6"/>
    <w:rsid w:val="008965F8"/>
    <w:rsid w:val="0089661F"/>
    <w:rsid w:val="00896716"/>
    <w:rsid w:val="00896D73"/>
    <w:rsid w:val="00897463"/>
    <w:rsid w:val="00897625"/>
    <w:rsid w:val="008A087E"/>
    <w:rsid w:val="008A1014"/>
    <w:rsid w:val="008A285C"/>
    <w:rsid w:val="008A3933"/>
    <w:rsid w:val="008A4CD8"/>
    <w:rsid w:val="008A4DD6"/>
    <w:rsid w:val="008A5226"/>
    <w:rsid w:val="008A6026"/>
    <w:rsid w:val="008A6AAC"/>
    <w:rsid w:val="008A6C50"/>
    <w:rsid w:val="008A732C"/>
    <w:rsid w:val="008A7B1D"/>
    <w:rsid w:val="008B01B4"/>
    <w:rsid w:val="008B095C"/>
    <w:rsid w:val="008B09C2"/>
    <w:rsid w:val="008B0E84"/>
    <w:rsid w:val="008B22AC"/>
    <w:rsid w:val="008B3C0B"/>
    <w:rsid w:val="008B3EFF"/>
    <w:rsid w:val="008B3F2D"/>
    <w:rsid w:val="008B413A"/>
    <w:rsid w:val="008B44F9"/>
    <w:rsid w:val="008B4BE5"/>
    <w:rsid w:val="008B53B2"/>
    <w:rsid w:val="008B53E4"/>
    <w:rsid w:val="008B5C58"/>
    <w:rsid w:val="008B7074"/>
    <w:rsid w:val="008C0C0E"/>
    <w:rsid w:val="008C13A7"/>
    <w:rsid w:val="008C1AC3"/>
    <w:rsid w:val="008C1D5A"/>
    <w:rsid w:val="008C203D"/>
    <w:rsid w:val="008C20CA"/>
    <w:rsid w:val="008C2ACB"/>
    <w:rsid w:val="008C395F"/>
    <w:rsid w:val="008C3A46"/>
    <w:rsid w:val="008C4F76"/>
    <w:rsid w:val="008C53FC"/>
    <w:rsid w:val="008C5DBA"/>
    <w:rsid w:val="008C63A9"/>
    <w:rsid w:val="008C69C2"/>
    <w:rsid w:val="008C6DB8"/>
    <w:rsid w:val="008C6E43"/>
    <w:rsid w:val="008C74A5"/>
    <w:rsid w:val="008C76EC"/>
    <w:rsid w:val="008C77D1"/>
    <w:rsid w:val="008C792A"/>
    <w:rsid w:val="008D147D"/>
    <w:rsid w:val="008D2CFF"/>
    <w:rsid w:val="008D58D2"/>
    <w:rsid w:val="008D5C61"/>
    <w:rsid w:val="008D7F98"/>
    <w:rsid w:val="008E0789"/>
    <w:rsid w:val="008E0DAE"/>
    <w:rsid w:val="008E0E37"/>
    <w:rsid w:val="008E0FFE"/>
    <w:rsid w:val="008E118E"/>
    <w:rsid w:val="008E1575"/>
    <w:rsid w:val="008E24DC"/>
    <w:rsid w:val="008E2B4C"/>
    <w:rsid w:val="008E3634"/>
    <w:rsid w:val="008E38BC"/>
    <w:rsid w:val="008E3A49"/>
    <w:rsid w:val="008E4034"/>
    <w:rsid w:val="008E4218"/>
    <w:rsid w:val="008E5306"/>
    <w:rsid w:val="008E5935"/>
    <w:rsid w:val="008E689B"/>
    <w:rsid w:val="008E6C8F"/>
    <w:rsid w:val="008E74B1"/>
    <w:rsid w:val="008E74D2"/>
    <w:rsid w:val="008E751F"/>
    <w:rsid w:val="008E76AA"/>
    <w:rsid w:val="008F0081"/>
    <w:rsid w:val="008F08FB"/>
    <w:rsid w:val="008F1E2A"/>
    <w:rsid w:val="008F3140"/>
    <w:rsid w:val="008F316F"/>
    <w:rsid w:val="008F3BEE"/>
    <w:rsid w:val="008F4247"/>
    <w:rsid w:val="008F4408"/>
    <w:rsid w:val="008F53A2"/>
    <w:rsid w:val="008F5F27"/>
    <w:rsid w:val="008F6AEA"/>
    <w:rsid w:val="008F7330"/>
    <w:rsid w:val="008F7584"/>
    <w:rsid w:val="008F7885"/>
    <w:rsid w:val="008F7956"/>
    <w:rsid w:val="009001C1"/>
    <w:rsid w:val="0090114E"/>
    <w:rsid w:val="009014F0"/>
    <w:rsid w:val="00902FBB"/>
    <w:rsid w:val="00903435"/>
    <w:rsid w:val="009036B0"/>
    <w:rsid w:val="009038C0"/>
    <w:rsid w:val="00905747"/>
    <w:rsid w:val="00905F0C"/>
    <w:rsid w:val="00906EC1"/>
    <w:rsid w:val="0090737D"/>
    <w:rsid w:val="00907A16"/>
    <w:rsid w:val="00907BF0"/>
    <w:rsid w:val="00910808"/>
    <w:rsid w:val="00910BC1"/>
    <w:rsid w:val="00911137"/>
    <w:rsid w:val="0091181B"/>
    <w:rsid w:val="00911C43"/>
    <w:rsid w:val="0091234A"/>
    <w:rsid w:val="009124E8"/>
    <w:rsid w:val="00913726"/>
    <w:rsid w:val="00913810"/>
    <w:rsid w:val="009139A1"/>
    <w:rsid w:val="00913AF2"/>
    <w:rsid w:val="00914018"/>
    <w:rsid w:val="009146E2"/>
    <w:rsid w:val="009164FA"/>
    <w:rsid w:val="00916C3F"/>
    <w:rsid w:val="00917C06"/>
    <w:rsid w:val="00920067"/>
    <w:rsid w:val="009210C5"/>
    <w:rsid w:val="009212F6"/>
    <w:rsid w:val="009214EA"/>
    <w:rsid w:val="00922A67"/>
    <w:rsid w:val="00922BC6"/>
    <w:rsid w:val="00923282"/>
    <w:rsid w:val="00923E13"/>
    <w:rsid w:val="00924090"/>
    <w:rsid w:val="00924452"/>
    <w:rsid w:val="00924AF5"/>
    <w:rsid w:val="00925A37"/>
    <w:rsid w:val="00925ABD"/>
    <w:rsid w:val="00925BB3"/>
    <w:rsid w:val="009267FF"/>
    <w:rsid w:val="00926BAE"/>
    <w:rsid w:val="0092712A"/>
    <w:rsid w:val="00927180"/>
    <w:rsid w:val="009272B8"/>
    <w:rsid w:val="00927BB6"/>
    <w:rsid w:val="00930747"/>
    <w:rsid w:val="00930791"/>
    <w:rsid w:val="00930A4F"/>
    <w:rsid w:val="00932210"/>
    <w:rsid w:val="009332CD"/>
    <w:rsid w:val="0093471B"/>
    <w:rsid w:val="00935B7D"/>
    <w:rsid w:val="00935D38"/>
    <w:rsid w:val="00936BE3"/>
    <w:rsid w:val="00936D98"/>
    <w:rsid w:val="009370CA"/>
    <w:rsid w:val="00937CA4"/>
    <w:rsid w:val="0094116E"/>
    <w:rsid w:val="00941274"/>
    <w:rsid w:val="009415F3"/>
    <w:rsid w:val="0094275D"/>
    <w:rsid w:val="009450A1"/>
    <w:rsid w:val="00945778"/>
    <w:rsid w:val="00945898"/>
    <w:rsid w:val="00945A78"/>
    <w:rsid w:val="00946049"/>
    <w:rsid w:val="009460E4"/>
    <w:rsid w:val="00946643"/>
    <w:rsid w:val="00947AED"/>
    <w:rsid w:val="009507B0"/>
    <w:rsid w:val="009509B6"/>
    <w:rsid w:val="00950A0E"/>
    <w:rsid w:val="0095172E"/>
    <w:rsid w:val="00951CD5"/>
    <w:rsid w:val="00951EC7"/>
    <w:rsid w:val="00951FC6"/>
    <w:rsid w:val="00952146"/>
    <w:rsid w:val="009535E7"/>
    <w:rsid w:val="0095394E"/>
    <w:rsid w:val="00953F08"/>
    <w:rsid w:val="0095537E"/>
    <w:rsid w:val="00955B12"/>
    <w:rsid w:val="00955D23"/>
    <w:rsid w:val="00956115"/>
    <w:rsid w:val="009572DB"/>
    <w:rsid w:val="00957547"/>
    <w:rsid w:val="009603D1"/>
    <w:rsid w:val="00960C22"/>
    <w:rsid w:val="009612BB"/>
    <w:rsid w:val="00961973"/>
    <w:rsid w:val="00961981"/>
    <w:rsid w:val="009626DC"/>
    <w:rsid w:val="009628D2"/>
    <w:rsid w:val="00962A72"/>
    <w:rsid w:val="00963270"/>
    <w:rsid w:val="00963538"/>
    <w:rsid w:val="00963669"/>
    <w:rsid w:val="00964486"/>
    <w:rsid w:val="00964BB0"/>
    <w:rsid w:val="009651FC"/>
    <w:rsid w:val="00965DE3"/>
    <w:rsid w:val="00966436"/>
    <w:rsid w:val="0096709C"/>
    <w:rsid w:val="00967708"/>
    <w:rsid w:val="00967726"/>
    <w:rsid w:val="00967A6A"/>
    <w:rsid w:val="009701CC"/>
    <w:rsid w:val="0097072D"/>
    <w:rsid w:val="00970899"/>
    <w:rsid w:val="009711EE"/>
    <w:rsid w:val="009717A2"/>
    <w:rsid w:val="00973C96"/>
    <w:rsid w:val="00973CC0"/>
    <w:rsid w:val="00974F1B"/>
    <w:rsid w:val="00975AED"/>
    <w:rsid w:val="009775D2"/>
    <w:rsid w:val="009810C4"/>
    <w:rsid w:val="009811B3"/>
    <w:rsid w:val="009824B3"/>
    <w:rsid w:val="00982A8D"/>
    <w:rsid w:val="0098302C"/>
    <w:rsid w:val="00983181"/>
    <w:rsid w:val="009838FA"/>
    <w:rsid w:val="00983C63"/>
    <w:rsid w:val="0098445D"/>
    <w:rsid w:val="00985BA1"/>
    <w:rsid w:val="00985D30"/>
    <w:rsid w:val="00986B20"/>
    <w:rsid w:val="00986F09"/>
    <w:rsid w:val="009871E0"/>
    <w:rsid w:val="00987A66"/>
    <w:rsid w:val="00987CC1"/>
    <w:rsid w:val="009903AC"/>
    <w:rsid w:val="00991E74"/>
    <w:rsid w:val="00992089"/>
    <w:rsid w:val="009931A7"/>
    <w:rsid w:val="00994A51"/>
    <w:rsid w:val="00994C67"/>
    <w:rsid w:val="0099510B"/>
    <w:rsid w:val="009956CE"/>
    <w:rsid w:val="00995E72"/>
    <w:rsid w:val="0099681F"/>
    <w:rsid w:val="00997CE5"/>
    <w:rsid w:val="009A04C2"/>
    <w:rsid w:val="009A1EC3"/>
    <w:rsid w:val="009A2536"/>
    <w:rsid w:val="009A2937"/>
    <w:rsid w:val="009A303B"/>
    <w:rsid w:val="009A3500"/>
    <w:rsid w:val="009A3B51"/>
    <w:rsid w:val="009A5233"/>
    <w:rsid w:val="009A57E1"/>
    <w:rsid w:val="009A5A61"/>
    <w:rsid w:val="009A6037"/>
    <w:rsid w:val="009A766B"/>
    <w:rsid w:val="009A76F0"/>
    <w:rsid w:val="009B008A"/>
    <w:rsid w:val="009B0915"/>
    <w:rsid w:val="009B1031"/>
    <w:rsid w:val="009B1D6B"/>
    <w:rsid w:val="009B22E8"/>
    <w:rsid w:val="009B25FC"/>
    <w:rsid w:val="009B2686"/>
    <w:rsid w:val="009B2952"/>
    <w:rsid w:val="009B29D0"/>
    <w:rsid w:val="009B29F3"/>
    <w:rsid w:val="009B2B96"/>
    <w:rsid w:val="009B3B0E"/>
    <w:rsid w:val="009B4034"/>
    <w:rsid w:val="009B4959"/>
    <w:rsid w:val="009B607F"/>
    <w:rsid w:val="009B72CD"/>
    <w:rsid w:val="009C2EF4"/>
    <w:rsid w:val="009C341B"/>
    <w:rsid w:val="009C3C00"/>
    <w:rsid w:val="009C6585"/>
    <w:rsid w:val="009C7B2F"/>
    <w:rsid w:val="009C7E37"/>
    <w:rsid w:val="009D0F83"/>
    <w:rsid w:val="009D1931"/>
    <w:rsid w:val="009D1F9F"/>
    <w:rsid w:val="009D24E5"/>
    <w:rsid w:val="009D2531"/>
    <w:rsid w:val="009D2A81"/>
    <w:rsid w:val="009D3541"/>
    <w:rsid w:val="009D3C55"/>
    <w:rsid w:val="009D403C"/>
    <w:rsid w:val="009D43C7"/>
    <w:rsid w:val="009D45C5"/>
    <w:rsid w:val="009D6D5F"/>
    <w:rsid w:val="009D7F31"/>
    <w:rsid w:val="009E00A6"/>
    <w:rsid w:val="009E05C6"/>
    <w:rsid w:val="009E2FFA"/>
    <w:rsid w:val="009E3D41"/>
    <w:rsid w:val="009E4195"/>
    <w:rsid w:val="009E4494"/>
    <w:rsid w:val="009E46AA"/>
    <w:rsid w:val="009E4DC2"/>
    <w:rsid w:val="009E54A6"/>
    <w:rsid w:val="009E64D5"/>
    <w:rsid w:val="009E6E63"/>
    <w:rsid w:val="009E7184"/>
    <w:rsid w:val="009E73D3"/>
    <w:rsid w:val="009E75FE"/>
    <w:rsid w:val="009E7895"/>
    <w:rsid w:val="009E7E49"/>
    <w:rsid w:val="009F1AF0"/>
    <w:rsid w:val="009F333B"/>
    <w:rsid w:val="009F3943"/>
    <w:rsid w:val="009F3C66"/>
    <w:rsid w:val="009F3DF1"/>
    <w:rsid w:val="009F4357"/>
    <w:rsid w:val="009F4F16"/>
    <w:rsid w:val="009F50BF"/>
    <w:rsid w:val="009F680E"/>
    <w:rsid w:val="009F685A"/>
    <w:rsid w:val="009F68FC"/>
    <w:rsid w:val="009F744F"/>
    <w:rsid w:val="009F76B3"/>
    <w:rsid w:val="009F7D3A"/>
    <w:rsid w:val="00A007CD"/>
    <w:rsid w:val="00A00A22"/>
    <w:rsid w:val="00A00D35"/>
    <w:rsid w:val="00A00DBE"/>
    <w:rsid w:val="00A00EDC"/>
    <w:rsid w:val="00A01B61"/>
    <w:rsid w:val="00A04DAA"/>
    <w:rsid w:val="00A053D1"/>
    <w:rsid w:val="00A0557E"/>
    <w:rsid w:val="00A058FA"/>
    <w:rsid w:val="00A1056E"/>
    <w:rsid w:val="00A11B8D"/>
    <w:rsid w:val="00A11DA9"/>
    <w:rsid w:val="00A11ECE"/>
    <w:rsid w:val="00A1237C"/>
    <w:rsid w:val="00A12AAE"/>
    <w:rsid w:val="00A12D40"/>
    <w:rsid w:val="00A12E3E"/>
    <w:rsid w:val="00A12F53"/>
    <w:rsid w:val="00A13B68"/>
    <w:rsid w:val="00A14586"/>
    <w:rsid w:val="00A149CB"/>
    <w:rsid w:val="00A1515C"/>
    <w:rsid w:val="00A169C0"/>
    <w:rsid w:val="00A17A08"/>
    <w:rsid w:val="00A201FB"/>
    <w:rsid w:val="00A2158B"/>
    <w:rsid w:val="00A22878"/>
    <w:rsid w:val="00A22A56"/>
    <w:rsid w:val="00A22BA3"/>
    <w:rsid w:val="00A22CFA"/>
    <w:rsid w:val="00A24145"/>
    <w:rsid w:val="00A24907"/>
    <w:rsid w:val="00A25613"/>
    <w:rsid w:val="00A2562A"/>
    <w:rsid w:val="00A267FD"/>
    <w:rsid w:val="00A26BE5"/>
    <w:rsid w:val="00A26DBD"/>
    <w:rsid w:val="00A27C9F"/>
    <w:rsid w:val="00A27DBE"/>
    <w:rsid w:val="00A3056D"/>
    <w:rsid w:val="00A31180"/>
    <w:rsid w:val="00A31507"/>
    <w:rsid w:val="00A31737"/>
    <w:rsid w:val="00A31904"/>
    <w:rsid w:val="00A31D45"/>
    <w:rsid w:val="00A31E6F"/>
    <w:rsid w:val="00A325C7"/>
    <w:rsid w:val="00A32736"/>
    <w:rsid w:val="00A32C54"/>
    <w:rsid w:val="00A33785"/>
    <w:rsid w:val="00A3379D"/>
    <w:rsid w:val="00A36A4E"/>
    <w:rsid w:val="00A36E1D"/>
    <w:rsid w:val="00A373E0"/>
    <w:rsid w:val="00A375B9"/>
    <w:rsid w:val="00A37A72"/>
    <w:rsid w:val="00A37DAF"/>
    <w:rsid w:val="00A37FDE"/>
    <w:rsid w:val="00A40EB7"/>
    <w:rsid w:val="00A41C25"/>
    <w:rsid w:val="00A42C06"/>
    <w:rsid w:val="00A42F7C"/>
    <w:rsid w:val="00A43321"/>
    <w:rsid w:val="00A43B54"/>
    <w:rsid w:val="00A44407"/>
    <w:rsid w:val="00A4497A"/>
    <w:rsid w:val="00A4594D"/>
    <w:rsid w:val="00A45F7E"/>
    <w:rsid w:val="00A50155"/>
    <w:rsid w:val="00A50357"/>
    <w:rsid w:val="00A50DB8"/>
    <w:rsid w:val="00A5167E"/>
    <w:rsid w:val="00A526C7"/>
    <w:rsid w:val="00A52D34"/>
    <w:rsid w:val="00A53E14"/>
    <w:rsid w:val="00A54256"/>
    <w:rsid w:val="00A54318"/>
    <w:rsid w:val="00A54BEA"/>
    <w:rsid w:val="00A54CAD"/>
    <w:rsid w:val="00A550F7"/>
    <w:rsid w:val="00A57400"/>
    <w:rsid w:val="00A5752F"/>
    <w:rsid w:val="00A57F6E"/>
    <w:rsid w:val="00A62179"/>
    <w:rsid w:val="00A634DC"/>
    <w:rsid w:val="00A63AD4"/>
    <w:rsid w:val="00A63EE2"/>
    <w:rsid w:val="00A6462A"/>
    <w:rsid w:val="00A647CF"/>
    <w:rsid w:val="00A648B4"/>
    <w:rsid w:val="00A64C24"/>
    <w:rsid w:val="00A64CC8"/>
    <w:rsid w:val="00A66B89"/>
    <w:rsid w:val="00A66D8F"/>
    <w:rsid w:val="00A67137"/>
    <w:rsid w:val="00A67647"/>
    <w:rsid w:val="00A67834"/>
    <w:rsid w:val="00A6784B"/>
    <w:rsid w:val="00A67BC0"/>
    <w:rsid w:val="00A7136A"/>
    <w:rsid w:val="00A71EEE"/>
    <w:rsid w:val="00A73692"/>
    <w:rsid w:val="00A74617"/>
    <w:rsid w:val="00A74861"/>
    <w:rsid w:val="00A74884"/>
    <w:rsid w:val="00A74F91"/>
    <w:rsid w:val="00A755AB"/>
    <w:rsid w:val="00A755F8"/>
    <w:rsid w:val="00A759E1"/>
    <w:rsid w:val="00A75A49"/>
    <w:rsid w:val="00A75CC6"/>
    <w:rsid w:val="00A76F9D"/>
    <w:rsid w:val="00A76FA6"/>
    <w:rsid w:val="00A77013"/>
    <w:rsid w:val="00A7770A"/>
    <w:rsid w:val="00A77B10"/>
    <w:rsid w:val="00A77C75"/>
    <w:rsid w:val="00A801D5"/>
    <w:rsid w:val="00A806D2"/>
    <w:rsid w:val="00A80D98"/>
    <w:rsid w:val="00A81333"/>
    <w:rsid w:val="00A82577"/>
    <w:rsid w:val="00A84068"/>
    <w:rsid w:val="00A84457"/>
    <w:rsid w:val="00A844E1"/>
    <w:rsid w:val="00A84809"/>
    <w:rsid w:val="00A86E2D"/>
    <w:rsid w:val="00A87A1A"/>
    <w:rsid w:val="00A87D07"/>
    <w:rsid w:val="00A901EA"/>
    <w:rsid w:val="00A90A39"/>
    <w:rsid w:val="00A90D39"/>
    <w:rsid w:val="00A91718"/>
    <w:rsid w:val="00A928A6"/>
    <w:rsid w:val="00A93D9F"/>
    <w:rsid w:val="00A93DE7"/>
    <w:rsid w:val="00A941FE"/>
    <w:rsid w:val="00A95583"/>
    <w:rsid w:val="00A95F6D"/>
    <w:rsid w:val="00A960C3"/>
    <w:rsid w:val="00A967ED"/>
    <w:rsid w:val="00A96A5B"/>
    <w:rsid w:val="00A96C14"/>
    <w:rsid w:val="00A96CCC"/>
    <w:rsid w:val="00A97157"/>
    <w:rsid w:val="00A97740"/>
    <w:rsid w:val="00A977F6"/>
    <w:rsid w:val="00A979F9"/>
    <w:rsid w:val="00AA09F6"/>
    <w:rsid w:val="00AA0BBD"/>
    <w:rsid w:val="00AA1B01"/>
    <w:rsid w:val="00AA2076"/>
    <w:rsid w:val="00AA2524"/>
    <w:rsid w:val="00AA2E9B"/>
    <w:rsid w:val="00AA30C0"/>
    <w:rsid w:val="00AA3D80"/>
    <w:rsid w:val="00AA449C"/>
    <w:rsid w:val="00AA47DF"/>
    <w:rsid w:val="00AA4C8B"/>
    <w:rsid w:val="00AA52D2"/>
    <w:rsid w:val="00AA540F"/>
    <w:rsid w:val="00AA5477"/>
    <w:rsid w:val="00AA65F2"/>
    <w:rsid w:val="00AA6E47"/>
    <w:rsid w:val="00AA72B5"/>
    <w:rsid w:val="00AA74FA"/>
    <w:rsid w:val="00AB283B"/>
    <w:rsid w:val="00AB3BC0"/>
    <w:rsid w:val="00AB3E71"/>
    <w:rsid w:val="00AB505A"/>
    <w:rsid w:val="00AB5238"/>
    <w:rsid w:val="00AB5778"/>
    <w:rsid w:val="00AB5920"/>
    <w:rsid w:val="00AB63C4"/>
    <w:rsid w:val="00AB7117"/>
    <w:rsid w:val="00AB7C09"/>
    <w:rsid w:val="00AB7DD5"/>
    <w:rsid w:val="00AC018F"/>
    <w:rsid w:val="00AC0225"/>
    <w:rsid w:val="00AC2BAA"/>
    <w:rsid w:val="00AC316E"/>
    <w:rsid w:val="00AC37DA"/>
    <w:rsid w:val="00AC3826"/>
    <w:rsid w:val="00AC3E42"/>
    <w:rsid w:val="00AC4994"/>
    <w:rsid w:val="00AC5481"/>
    <w:rsid w:val="00AC6026"/>
    <w:rsid w:val="00AC6340"/>
    <w:rsid w:val="00AC78E7"/>
    <w:rsid w:val="00AC7D12"/>
    <w:rsid w:val="00AD097B"/>
    <w:rsid w:val="00AD0FC2"/>
    <w:rsid w:val="00AD13CD"/>
    <w:rsid w:val="00AD2180"/>
    <w:rsid w:val="00AD2E1F"/>
    <w:rsid w:val="00AD33C2"/>
    <w:rsid w:val="00AD3E5C"/>
    <w:rsid w:val="00AD42EA"/>
    <w:rsid w:val="00AD4A75"/>
    <w:rsid w:val="00AD65FB"/>
    <w:rsid w:val="00AD6CF9"/>
    <w:rsid w:val="00AD6D15"/>
    <w:rsid w:val="00AD6D32"/>
    <w:rsid w:val="00AD710A"/>
    <w:rsid w:val="00AD7A5E"/>
    <w:rsid w:val="00AD7E4C"/>
    <w:rsid w:val="00AE0465"/>
    <w:rsid w:val="00AE0A21"/>
    <w:rsid w:val="00AE112D"/>
    <w:rsid w:val="00AE1E34"/>
    <w:rsid w:val="00AE2027"/>
    <w:rsid w:val="00AE3CE2"/>
    <w:rsid w:val="00AE400E"/>
    <w:rsid w:val="00AE46C7"/>
    <w:rsid w:val="00AE4B77"/>
    <w:rsid w:val="00AE5459"/>
    <w:rsid w:val="00AE59DC"/>
    <w:rsid w:val="00AE5B13"/>
    <w:rsid w:val="00AE5BFF"/>
    <w:rsid w:val="00AE6059"/>
    <w:rsid w:val="00AE6511"/>
    <w:rsid w:val="00AE6F65"/>
    <w:rsid w:val="00AE7D35"/>
    <w:rsid w:val="00AF0B5A"/>
    <w:rsid w:val="00AF1687"/>
    <w:rsid w:val="00AF1925"/>
    <w:rsid w:val="00AF1D25"/>
    <w:rsid w:val="00AF219F"/>
    <w:rsid w:val="00AF2576"/>
    <w:rsid w:val="00AF3353"/>
    <w:rsid w:val="00AF4A5E"/>
    <w:rsid w:val="00AF69FF"/>
    <w:rsid w:val="00AF7ABC"/>
    <w:rsid w:val="00AF7AF1"/>
    <w:rsid w:val="00B004F7"/>
    <w:rsid w:val="00B01417"/>
    <w:rsid w:val="00B01D04"/>
    <w:rsid w:val="00B02989"/>
    <w:rsid w:val="00B02A70"/>
    <w:rsid w:val="00B02A98"/>
    <w:rsid w:val="00B03197"/>
    <w:rsid w:val="00B0445E"/>
    <w:rsid w:val="00B047F2"/>
    <w:rsid w:val="00B050C5"/>
    <w:rsid w:val="00B05ACE"/>
    <w:rsid w:val="00B05F48"/>
    <w:rsid w:val="00B06743"/>
    <w:rsid w:val="00B072C8"/>
    <w:rsid w:val="00B07312"/>
    <w:rsid w:val="00B07495"/>
    <w:rsid w:val="00B07D44"/>
    <w:rsid w:val="00B10059"/>
    <w:rsid w:val="00B11D15"/>
    <w:rsid w:val="00B11ECC"/>
    <w:rsid w:val="00B12031"/>
    <w:rsid w:val="00B12896"/>
    <w:rsid w:val="00B13298"/>
    <w:rsid w:val="00B13BAA"/>
    <w:rsid w:val="00B140CA"/>
    <w:rsid w:val="00B143FB"/>
    <w:rsid w:val="00B15A51"/>
    <w:rsid w:val="00B15E2A"/>
    <w:rsid w:val="00B177F6"/>
    <w:rsid w:val="00B1782F"/>
    <w:rsid w:val="00B17BD6"/>
    <w:rsid w:val="00B17DBD"/>
    <w:rsid w:val="00B2057C"/>
    <w:rsid w:val="00B2084E"/>
    <w:rsid w:val="00B21AE2"/>
    <w:rsid w:val="00B21B4C"/>
    <w:rsid w:val="00B23CD0"/>
    <w:rsid w:val="00B25313"/>
    <w:rsid w:val="00B26E98"/>
    <w:rsid w:val="00B274A2"/>
    <w:rsid w:val="00B3019D"/>
    <w:rsid w:val="00B30271"/>
    <w:rsid w:val="00B30539"/>
    <w:rsid w:val="00B30DC8"/>
    <w:rsid w:val="00B31452"/>
    <w:rsid w:val="00B31EE6"/>
    <w:rsid w:val="00B32E7A"/>
    <w:rsid w:val="00B331C0"/>
    <w:rsid w:val="00B347F5"/>
    <w:rsid w:val="00B3570E"/>
    <w:rsid w:val="00B3571D"/>
    <w:rsid w:val="00B35BA7"/>
    <w:rsid w:val="00B35D3B"/>
    <w:rsid w:val="00B36138"/>
    <w:rsid w:val="00B36E05"/>
    <w:rsid w:val="00B36E79"/>
    <w:rsid w:val="00B3706E"/>
    <w:rsid w:val="00B37C2C"/>
    <w:rsid w:val="00B37D86"/>
    <w:rsid w:val="00B37DBA"/>
    <w:rsid w:val="00B4026B"/>
    <w:rsid w:val="00B40F08"/>
    <w:rsid w:val="00B41EB5"/>
    <w:rsid w:val="00B4252C"/>
    <w:rsid w:val="00B42ED4"/>
    <w:rsid w:val="00B449E2"/>
    <w:rsid w:val="00B44E4B"/>
    <w:rsid w:val="00B45AED"/>
    <w:rsid w:val="00B45B60"/>
    <w:rsid w:val="00B46527"/>
    <w:rsid w:val="00B4795D"/>
    <w:rsid w:val="00B5166D"/>
    <w:rsid w:val="00B54276"/>
    <w:rsid w:val="00B54364"/>
    <w:rsid w:val="00B55293"/>
    <w:rsid w:val="00B55E36"/>
    <w:rsid w:val="00B55E3F"/>
    <w:rsid w:val="00B5660A"/>
    <w:rsid w:val="00B57AAE"/>
    <w:rsid w:val="00B60BBE"/>
    <w:rsid w:val="00B61672"/>
    <w:rsid w:val="00B64114"/>
    <w:rsid w:val="00B64833"/>
    <w:rsid w:val="00B649AD"/>
    <w:rsid w:val="00B64C8B"/>
    <w:rsid w:val="00B6527B"/>
    <w:rsid w:val="00B661F6"/>
    <w:rsid w:val="00B66FD3"/>
    <w:rsid w:val="00B71616"/>
    <w:rsid w:val="00B7228B"/>
    <w:rsid w:val="00B7397F"/>
    <w:rsid w:val="00B7438B"/>
    <w:rsid w:val="00B7447A"/>
    <w:rsid w:val="00B744C4"/>
    <w:rsid w:val="00B7478A"/>
    <w:rsid w:val="00B74A9F"/>
    <w:rsid w:val="00B751E9"/>
    <w:rsid w:val="00B75EAF"/>
    <w:rsid w:val="00B76463"/>
    <w:rsid w:val="00B76C05"/>
    <w:rsid w:val="00B76E27"/>
    <w:rsid w:val="00B76FF7"/>
    <w:rsid w:val="00B80E79"/>
    <w:rsid w:val="00B8182C"/>
    <w:rsid w:val="00B81879"/>
    <w:rsid w:val="00B82907"/>
    <w:rsid w:val="00B8353C"/>
    <w:rsid w:val="00B84100"/>
    <w:rsid w:val="00B8433F"/>
    <w:rsid w:val="00B8596E"/>
    <w:rsid w:val="00B8657B"/>
    <w:rsid w:val="00B86D22"/>
    <w:rsid w:val="00B870C3"/>
    <w:rsid w:val="00B87B6F"/>
    <w:rsid w:val="00B9008D"/>
    <w:rsid w:val="00B916BA"/>
    <w:rsid w:val="00B91E95"/>
    <w:rsid w:val="00B95310"/>
    <w:rsid w:val="00B95342"/>
    <w:rsid w:val="00B95F75"/>
    <w:rsid w:val="00B96539"/>
    <w:rsid w:val="00B96AA3"/>
    <w:rsid w:val="00B9765B"/>
    <w:rsid w:val="00B97EAD"/>
    <w:rsid w:val="00BA00F5"/>
    <w:rsid w:val="00BA080D"/>
    <w:rsid w:val="00BA0E30"/>
    <w:rsid w:val="00BA1712"/>
    <w:rsid w:val="00BA2A9A"/>
    <w:rsid w:val="00BA2C37"/>
    <w:rsid w:val="00BA3593"/>
    <w:rsid w:val="00BA3730"/>
    <w:rsid w:val="00BA3AB0"/>
    <w:rsid w:val="00BA4D19"/>
    <w:rsid w:val="00BA5F30"/>
    <w:rsid w:val="00BA68A1"/>
    <w:rsid w:val="00BA6D7C"/>
    <w:rsid w:val="00BA6E4F"/>
    <w:rsid w:val="00BA706F"/>
    <w:rsid w:val="00BA7CC9"/>
    <w:rsid w:val="00BB0060"/>
    <w:rsid w:val="00BB02E0"/>
    <w:rsid w:val="00BB03A9"/>
    <w:rsid w:val="00BB2468"/>
    <w:rsid w:val="00BB24E9"/>
    <w:rsid w:val="00BB39C1"/>
    <w:rsid w:val="00BB3AF2"/>
    <w:rsid w:val="00BB44CB"/>
    <w:rsid w:val="00BB4C25"/>
    <w:rsid w:val="00BB5C76"/>
    <w:rsid w:val="00BB5CD4"/>
    <w:rsid w:val="00BB5D3D"/>
    <w:rsid w:val="00BB6A32"/>
    <w:rsid w:val="00BB6D73"/>
    <w:rsid w:val="00BB6EB7"/>
    <w:rsid w:val="00BB7804"/>
    <w:rsid w:val="00BC0BE6"/>
    <w:rsid w:val="00BC0EC4"/>
    <w:rsid w:val="00BC1693"/>
    <w:rsid w:val="00BC172A"/>
    <w:rsid w:val="00BC19C3"/>
    <w:rsid w:val="00BC2368"/>
    <w:rsid w:val="00BC2CF1"/>
    <w:rsid w:val="00BC2FB1"/>
    <w:rsid w:val="00BC3CFB"/>
    <w:rsid w:val="00BC3F2A"/>
    <w:rsid w:val="00BC48BB"/>
    <w:rsid w:val="00BC4C7C"/>
    <w:rsid w:val="00BC4F0C"/>
    <w:rsid w:val="00BC67F4"/>
    <w:rsid w:val="00BC6B8B"/>
    <w:rsid w:val="00BC7177"/>
    <w:rsid w:val="00BC75CB"/>
    <w:rsid w:val="00BC7A8B"/>
    <w:rsid w:val="00BD07BA"/>
    <w:rsid w:val="00BD1178"/>
    <w:rsid w:val="00BD2DAD"/>
    <w:rsid w:val="00BD3434"/>
    <w:rsid w:val="00BD3CA4"/>
    <w:rsid w:val="00BD420E"/>
    <w:rsid w:val="00BD42AC"/>
    <w:rsid w:val="00BD4311"/>
    <w:rsid w:val="00BD43FA"/>
    <w:rsid w:val="00BD4F90"/>
    <w:rsid w:val="00BD550C"/>
    <w:rsid w:val="00BD5EFE"/>
    <w:rsid w:val="00BD6B52"/>
    <w:rsid w:val="00BD6C49"/>
    <w:rsid w:val="00BD738A"/>
    <w:rsid w:val="00BE0238"/>
    <w:rsid w:val="00BE14DA"/>
    <w:rsid w:val="00BE2B86"/>
    <w:rsid w:val="00BE2CA6"/>
    <w:rsid w:val="00BE2F0D"/>
    <w:rsid w:val="00BE3275"/>
    <w:rsid w:val="00BE34F1"/>
    <w:rsid w:val="00BE3925"/>
    <w:rsid w:val="00BE4081"/>
    <w:rsid w:val="00BE4500"/>
    <w:rsid w:val="00BE5080"/>
    <w:rsid w:val="00BE7216"/>
    <w:rsid w:val="00BE79E1"/>
    <w:rsid w:val="00BF0A17"/>
    <w:rsid w:val="00BF1445"/>
    <w:rsid w:val="00BF147E"/>
    <w:rsid w:val="00BF1611"/>
    <w:rsid w:val="00BF197E"/>
    <w:rsid w:val="00BF1C77"/>
    <w:rsid w:val="00BF1E15"/>
    <w:rsid w:val="00BF2AF5"/>
    <w:rsid w:val="00BF394C"/>
    <w:rsid w:val="00BF3FB6"/>
    <w:rsid w:val="00BF545D"/>
    <w:rsid w:val="00BF59AA"/>
    <w:rsid w:val="00BF6DDD"/>
    <w:rsid w:val="00BF711D"/>
    <w:rsid w:val="00BF74A6"/>
    <w:rsid w:val="00BF776D"/>
    <w:rsid w:val="00C00995"/>
    <w:rsid w:val="00C01035"/>
    <w:rsid w:val="00C01520"/>
    <w:rsid w:val="00C01C98"/>
    <w:rsid w:val="00C02FF0"/>
    <w:rsid w:val="00C030EF"/>
    <w:rsid w:val="00C03392"/>
    <w:rsid w:val="00C04126"/>
    <w:rsid w:val="00C048E8"/>
    <w:rsid w:val="00C04EA0"/>
    <w:rsid w:val="00C05DC1"/>
    <w:rsid w:val="00C06ADF"/>
    <w:rsid w:val="00C10108"/>
    <w:rsid w:val="00C10932"/>
    <w:rsid w:val="00C10B8D"/>
    <w:rsid w:val="00C113EE"/>
    <w:rsid w:val="00C11D2E"/>
    <w:rsid w:val="00C1244E"/>
    <w:rsid w:val="00C13CC9"/>
    <w:rsid w:val="00C14F08"/>
    <w:rsid w:val="00C14F82"/>
    <w:rsid w:val="00C15FF5"/>
    <w:rsid w:val="00C16B37"/>
    <w:rsid w:val="00C16F8B"/>
    <w:rsid w:val="00C174F9"/>
    <w:rsid w:val="00C1757A"/>
    <w:rsid w:val="00C178F2"/>
    <w:rsid w:val="00C179AF"/>
    <w:rsid w:val="00C2009D"/>
    <w:rsid w:val="00C206BB"/>
    <w:rsid w:val="00C20C34"/>
    <w:rsid w:val="00C212B2"/>
    <w:rsid w:val="00C21739"/>
    <w:rsid w:val="00C21B3C"/>
    <w:rsid w:val="00C220D2"/>
    <w:rsid w:val="00C2222E"/>
    <w:rsid w:val="00C222AC"/>
    <w:rsid w:val="00C228C1"/>
    <w:rsid w:val="00C2362F"/>
    <w:rsid w:val="00C2446A"/>
    <w:rsid w:val="00C24FAA"/>
    <w:rsid w:val="00C2508C"/>
    <w:rsid w:val="00C25F0B"/>
    <w:rsid w:val="00C2609C"/>
    <w:rsid w:val="00C26A57"/>
    <w:rsid w:val="00C26DCF"/>
    <w:rsid w:val="00C276D7"/>
    <w:rsid w:val="00C278DE"/>
    <w:rsid w:val="00C302C8"/>
    <w:rsid w:val="00C30508"/>
    <w:rsid w:val="00C31508"/>
    <w:rsid w:val="00C31943"/>
    <w:rsid w:val="00C31979"/>
    <w:rsid w:val="00C32A5C"/>
    <w:rsid w:val="00C3345C"/>
    <w:rsid w:val="00C3388F"/>
    <w:rsid w:val="00C33979"/>
    <w:rsid w:val="00C349E3"/>
    <w:rsid w:val="00C36610"/>
    <w:rsid w:val="00C369A7"/>
    <w:rsid w:val="00C37321"/>
    <w:rsid w:val="00C37D0D"/>
    <w:rsid w:val="00C37F63"/>
    <w:rsid w:val="00C40630"/>
    <w:rsid w:val="00C40813"/>
    <w:rsid w:val="00C41477"/>
    <w:rsid w:val="00C414A1"/>
    <w:rsid w:val="00C41C4B"/>
    <w:rsid w:val="00C43207"/>
    <w:rsid w:val="00C43CA4"/>
    <w:rsid w:val="00C43E11"/>
    <w:rsid w:val="00C45155"/>
    <w:rsid w:val="00C46174"/>
    <w:rsid w:val="00C4619E"/>
    <w:rsid w:val="00C47078"/>
    <w:rsid w:val="00C4735B"/>
    <w:rsid w:val="00C4795A"/>
    <w:rsid w:val="00C47D5B"/>
    <w:rsid w:val="00C47E23"/>
    <w:rsid w:val="00C501DA"/>
    <w:rsid w:val="00C5102C"/>
    <w:rsid w:val="00C51473"/>
    <w:rsid w:val="00C52056"/>
    <w:rsid w:val="00C522E3"/>
    <w:rsid w:val="00C53664"/>
    <w:rsid w:val="00C54C02"/>
    <w:rsid w:val="00C54D5C"/>
    <w:rsid w:val="00C54DA8"/>
    <w:rsid w:val="00C554E6"/>
    <w:rsid w:val="00C55567"/>
    <w:rsid w:val="00C55617"/>
    <w:rsid w:val="00C55891"/>
    <w:rsid w:val="00C57D9A"/>
    <w:rsid w:val="00C601BB"/>
    <w:rsid w:val="00C60C8F"/>
    <w:rsid w:val="00C616CA"/>
    <w:rsid w:val="00C62585"/>
    <w:rsid w:val="00C62A7D"/>
    <w:rsid w:val="00C62A9D"/>
    <w:rsid w:val="00C62F0B"/>
    <w:rsid w:val="00C63774"/>
    <w:rsid w:val="00C641DF"/>
    <w:rsid w:val="00C64F2B"/>
    <w:rsid w:val="00C6541D"/>
    <w:rsid w:val="00C65E83"/>
    <w:rsid w:val="00C65F19"/>
    <w:rsid w:val="00C666E8"/>
    <w:rsid w:val="00C66DAF"/>
    <w:rsid w:val="00C673CE"/>
    <w:rsid w:val="00C67A1D"/>
    <w:rsid w:val="00C67DCC"/>
    <w:rsid w:val="00C67F0F"/>
    <w:rsid w:val="00C71069"/>
    <w:rsid w:val="00C712F6"/>
    <w:rsid w:val="00C723CA"/>
    <w:rsid w:val="00C7348B"/>
    <w:rsid w:val="00C7354D"/>
    <w:rsid w:val="00C74A59"/>
    <w:rsid w:val="00C76AB8"/>
    <w:rsid w:val="00C77C6A"/>
    <w:rsid w:val="00C77D85"/>
    <w:rsid w:val="00C77E2F"/>
    <w:rsid w:val="00C8036D"/>
    <w:rsid w:val="00C80735"/>
    <w:rsid w:val="00C8102D"/>
    <w:rsid w:val="00C81FB5"/>
    <w:rsid w:val="00C84E92"/>
    <w:rsid w:val="00C85073"/>
    <w:rsid w:val="00C8534F"/>
    <w:rsid w:val="00C87760"/>
    <w:rsid w:val="00C87DAE"/>
    <w:rsid w:val="00C91397"/>
    <w:rsid w:val="00C927F0"/>
    <w:rsid w:val="00C92A10"/>
    <w:rsid w:val="00C9312A"/>
    <w:rsid w:val="00C93570"/>
    <w:rsid w:val="00C93C7E"/>
    <w:rsid w:val="00C94D9D"/>
    <w:rsid w:val="00C95898"/>
    <w:rsid w:val="00C963FE"/>
    <w:rsid w:val="00CA068F"/>
    <w:rsid w:val="00CA0756"/>
    <w:rsid w:val="00CA1CAE"/>
    <w:rsid w:val="00CA2384"/>
    <w:rsid w:val="00CA2794"/>
    <w:rsid w:val="00CA46E7"/>
    <w:rsid w:val="00CA4802"/>
    <w:rsid w:val="00CA51E9"/>
    <w:rsid w:val="00CA5A51"/>
    <w:rsid w:val="00CA5BC8"/>
    <w:rsid w:val="00CA5CDD"/>
    <w:rsid w:val="00CA6212"/>
    <w:rsid w:val="00CA64C4"/>
    <w:rsid w:val="00CA66E2"/>
    <w:rsid w:val="00CA68A9"/>
    <w:rsid w:val="00CA76C4"/>
    <w:rsid w:val="00CB0227"/>
    <w:rsid w:val="00CB0756"/>
    <w:rsid w:val="00CB0A3E"/>
    <w:rsid w:val="00CB1838"/>
    <w:rsid w:val="00CB21C8"/>
    <w:rsid w:val="00CB32C6"/>
    <w:rsid w:val="00CB359E"/>
    <w:rsid w:val="00CB35AA"/>
    <w:rsid w:val="00CB4070"/>
    <w:rsid w:val="00CB40C5"/>
    <w:rsid w:val="00CB49B1"/>
    <w:rsid w:val="00CB4AD8"/>
    <w:rsid w:val="00CB4D9E"/>
    <w:rsid w:val="00CB5C0E"/>
    <w:rsid w:val="00CB6218"/>
    <w:rsid w:val="00CB6585"/>
    <w:rsid w:val="00CB7614"/>
    <w:rsid w:val="00CB7EE3"/>
    <w:rsid w:val="00CC0E39"/>
    <w:rsid w:val="00CC15F4"/>
    <w:rsid w:val="00CC1E5F"/>
    <w:rsid w:val="00CC2579"/>
    <w:rsid w:val="00CC30A1"/>
    <w:rsid w:val="00CC3243"/>
    <w:rsid w:val="00CC49F0"/>
    <w:rsid w:val="00CC516D"/>
    <w:rsid w:val="00CC5547"/>
    <w:rsid w:val="00CC5BBC"/>
    <w:rsid w:val="00CC5FE0"/>
    <w:rsid w:val="00CC6FA9"/>
    <w:rsid w:val="00CC6FC1"/>
    <w:rsid w:val="00CC703D"/>
    <w:rsid w:val="00CC71DD"/>
    <w:rsid w:val="00CC723A"/>
    <w:rsid w:val="00CC72AB"/>
    <w:rsid w:val="00CC75C1"/>
    <w:rsid w:val="00CC7E93"/>
    <w:rsid w:val="00CD03B9"/>
    <w:rsid w:val="00CD04CC"/>
    <w:rsid w:val="00CD12E5"/>
    <w:rsid w:val="00CD2CFC"/>
    <w:rsid w:val="00CD378D"/>
    <w:rsid w:val="00CD3C72"/>
    <w:rsid w:val="00CD3CB0"/>
    <w:rsid w:val="00CD42F3"/>
    <w:rsid w:val="00CD4FE0"/>
    <w:rsid w:val="00CD534F"/>
    <w:rsid w:val="00CD5368"/>
    <w:rsid w:val="00CD5FF0"/>
    <w:rsid w:val="00CD6020"/>
    <w:rsid w:val="00CD6968"/>
    <w:rsid w:val="00CD6F67"/>
    <w:rsid w:val="00CD73D1"/>
    <w:rsid w:val="00CD78FD"/>
    <w:rsid w:val="00CD79A4"/>
    <w:rsid w:val="00CE05C1"/>
    <w:rsid w:val="00CE11A6"/>
    <w:rsid w:val="00CE1BCE"/>
    <w:rsid w:val="00CE22A9"/>
    <w:rsid w:val="00CE2DF2"/>
    <w:rsid w:val="00CE3976"/>
    <w:rsid w:val="00CE39D0"/>
    <w:rsid w:val="00CE39F5"/>
    <w:rsid w:val="00CE4562"/>
    <w:rsid w:val="00CE48F7"/>
    <w:rsid w:val="00CE4EE8"/>
    <w:rsid w:val="00CE5F55"/>
    <w:rsid w:val="00CE5FF8"/>
    <w:rsid w:val="00CE6242"/>
    <w:rsid w:val="00CE6256"/>
    <w:rsid w:val="00CE6E51"/>
    <w:rsid w:val="00CE7172"/>
    <w:rsid w:val="00CE73B3"/>
    <w:rsid w:val="00CE75BF"/>
    <w:rsid w:val="00CE75E9"/>
    <w:rsid w:val="00CE778A"/>
    <w:rsid w:val="00CE7F7D"/>
    <w:rsid w:val="00CF0684"/>
    <w:rsid w:val="00CF0BD1"/>
    <w:rsid w:val="00CF0D26"/>
    <w:rsid w:val="00CF1D47"/>
    <w:rsid w:val="00CF1EC0"/>
    <w:rsid w:val="00CF37A8"/>
    <w:rsid w:val="00CF391B"/>
    <w:rsid w:val="00CF3DF6"/>
    <w:rsid w:val="00CF426B"/>
    <w:rsid w:val="00CF44E2"/>
    <w:rsid w:val="00CF5F1E"/>
    <w:rsid w:val="00CF686A"/>
    <w:rsid w:val="00D00031"/>
    <w:rsid w:val="00D0039A"/>
    <w:rsid w:val="00D003E5"/>
    <w:rsid w:val="00D01EEB"/>
    <w:rsid w:val="00D04994"/>
    <w:rsid w:val="00D05DDB"/>
    <w:rsid w:val="00D0607D"/>
    <w:rsid w:val="00D067F8"/>
    <w:rsid w:val="00D06CC9"/>
    <w:rsid w:val="00D06E6D"/>
    <w:rsid w:val="00D07669"/>
    <w:rsid w:val="00D078BD"/>
    <w:rsid w:val="00D10592"/>
    <w:rsid w:val="00D106B4"/>
    <w:rsid w:val="00D108FD"/>
    <w:rsid w:val="00D1092F"/>
    <w:rsid w:val="00D110A8"/>
    <w:rsid w:val="00D11167"/>
    <w:rsid w:val="00D1140E"/>
    <w:rsid w:val="00D1194A"/>
    <w:rsid w:val="00D11B53"/>
    <w:rsid w:val="00D1311D"/>
    <w:rsid w:val="00D13182"/>
    <w:rsid w:val="00D136BA"/>
    <w:rsid w:val="00D145C5"/>
    <w:rsid w:val="00D14A3C"/>
    <w:rsid w:val="00D14A81"/>
    <w:rsid w:val="00D14CE6"/>
    <w:rsid w:val="00D15A73"/>
    <w:rsid w:val="00D16B01"/>
    <w:rsid w:val="00D17470"/>
    <w:rsid w:val="00D1759D"/>
    <w:rsid w:val="00D177C1"/>
    <w:rsid w:val="00D17917"/>
    <w:rsid w:val="00D17B45"/>
    <w:rsid w:val="00D17CAB"/>
    <w:rsid w:val="00D203B9"/>
    <w:rsid w:val="00D22A11"/>
    <w:rsid w:val="00D22FC4"/>
    <w:rsid w:val="00D23362"/>
    <w:rsid w:val="00D239E1"/>
    <w:rsid w:val="00D2493F"/>
    <w:rsid w:val="00D24BA7"/>
    <w:rsid w:val="00D25FD5"/>
    <w:rsid w:val="00D26BE5"/>
    <w:rsid w:val="00D26F89"/>
    <w:rsid w:val="00D27A43"/>
    <w:rsid w:val="00D27C65"/>
    <w:rsid w:val="00D27CEE"/>
    <w:rsid w:val="00D301E1"/>
    <w:rsid w:val="00D3051C"/>
    <w:rsid w:val="00D3089B"/>
    <w:rsid w:val="00D310C5"/>
    <w:rsid w:val="00D31803"/>
    <w:rsid w:val="00D319FC"/>
    <w:rsid w:val="00D31E1F"/>
    <w:rsid w:val="00D32ABD"/>
    <w:rsid w:val="00D33476"/>
    <w:rsid w:val="00D33678"/>
    <w:rsid w:val="00D344CF"/>
    <w:rsid w:val="00D3487C"/>
    <w:rsid w:val="00D35376"/>
    <w:rsid w:val="00D35933"/>
    <w:rsid w:val="00D37317"/>
    <w:rsid w:val="00D377F9"/>
    <w:rsid w:val="00D37A8D"/>
    <w:rsid w:val="00D37E6D"/>
    <w:rsid w:val="00D4081F"/>
    <w:rsid w:val="00D40E92"/>
    <w:rsid w:val="00D41D79"/>
    <w:rsid w:val="00D41FDF"/>
    <w:rsid w:val="00D42787"/>
    <w:rsid w:val="00D43B61"/>
    <w:rsid w:val="00D43E81"/>
    <w:rsid w:val="00D44749"/>
    <w:rsid w:val="00D45046"/>
    <w:rsid w:val="00D4552F"/>
    <w:rsid w:val="00D47C7A"/>
    <w:rsid w:val="00D47C88"/>
    <w:rsid w:val="00D500AF"/>
    <w:rsid w:val="00D508D5"/>
    <w:rsid w:val="00D5177F"/>
    <w:rsid w:val="00D51819"/>
    <w:rsid w:val="00D523E3"/>
    <w:rsid w:val="00D52727"/>
    <w:rsid w:val="00D52CE6"/>
    <w:rsid w:val="00D5353B"/>
    <w:rsid w:val="00D536E0"/>
    <w:rsid w:val="00D546CE"/>
    <w:rsid w:val="00D54E3B"/>
    <w:rsid w:val="00D54FA2"/>
    <w:rsid w:val="00D550D5"/>
    <w:rsid w:val="00D55A33"/>
    <w:rsid w:val="00D568A0"/>
    <w:rsid w:val="00D569E8"/>
    <w:rsid w:val="00D57196"/>
    <w:rsid w:val="00D60124"/>
    <w:rsid w:val="00D602A8"/>
    <w:rsid w:val="00D60A75"/>
    <w:rsid w:val="00D60D4F"/>
    <w:rsid w:val="00D60D62"/>
    <w:rsid w:val="00D61FCF"/>
    <w:rsid w:val="00D63A2D"/>
    <w:rsid w:val="00D644C2"/>
    <w:rsid w:val="00D651A4"/>
    <w:rsid w:val="00D66B95"/>
    <w:rsid w:val="00D6732D"/>
    <w:rsid w:val="00D676BF"/>
    <w:rsid w:val="00D6798D"/>
    <w:rsid w:val="00D70CBA"/>
    <w:rsid w:val="00D70DF9"/>
    <w:rsid w:val="00D70F48"/>
    <w:rsid w:val="00D7128F"/>
    <w:rsid w:val="00D71297"/>
    <w:rsid w:val="00D71523"/>
    <w:rsid w:val="00D71936"/>
    <w:rsid w:val="00D71C50"/>
    <w:rsid w:val="00D72CC4"/>
    <w:rsid w:val="00D72ED9"/>
    <w:rsid w:val="00D731AE"/>
    <w:rsid w:val="00D7501C"/>
    <w:rsid w:val="00D75622"/>
    <w:rsid w:val="00D7600E"/>
    <w:rsid w:val="00D76739"/>
    <w:rsid w:val="00D7781A"/>
    <w:rsid w:val="00D80802"/>
    <w:rsid w:val="00D8159D"/>
    <w:rsid w:val="00D815CF"/>
    <w:rsid w:val="00D81BE8"/>
    <w:rsid w:val="00D81F53"/>
    <w:rsid w:val="00D83041"/>
    <w:rsid w:val="00D8347F"/>
    <w:rsid w:val="00D836CD"/>
    <w:rsid w:val="00D840E6"/>
    <w:rsid w:val="00D84288"/>
    <w:rsid w:val="00D84386"/>
    <w:rsid w:val="00D84599"/>
    <w:rsid w:val="00D8497F"/>
    <w:rsid w:val="00D855AC"/>
    <w:rsid w:val="00D8564F"/>
    <w:rsid w:val="00D86337"/>
    <w:rsid w:val="00D86512"/>
    <w:rsid w:val="00D87A1A"/>
    <w:rsid w:val="00D87C36"/>
    <w:rsid w:val="00D87CF5"/>
    <w:rsid w:val="00D904D0"/>
    <w:rsid w:val="00D90DA3"/>
    <w:rsid w:val="00D9108E"/>
    <w:rsid w:val="00D91DB8"/>
    <w:rsid w:val="00D91EBD"/>
    <w:rsid w:val="00D92034"/>
    <w:rsid w:val="00D922CF"/>
    <w:rsid w:val="00D92A57"/>
    <w:rsid w:val="00D92B22"/>
    <w:rsid w:val="00D93331"/>
    <w:rsid w:val="00D93E83"/>
    <w:rsid w:val="00D94901"/>
    <w:rsid w:val="00D957AE"/>
    <w:rsid w:val="00D95BA6"/>
    <w:rsid w:val="00D95C40"/>
    <w:rsid w:val="00DA0111"/>
    <w:rsid w:val="00DA021F"/>
    <w:rsid w:val="00DA05A6"/>
    <w:rsid w:val="00DA1123"/>
    <w:rsid w:val="00DA1F81"/>
    <w:rsid w:val="00DA2808"/>
    <w:rsid w:val="00DA2E5B"/>
    <w:rsid w:val="00DA3116"/>
    <w:rsid w:val="00DA7F07"/>
    <w:rsid w:val="00DB02F0"/>
    <w:rsid w:val="00DB08C7"/>
    <w:rsid w:val="00DB0911"/>
    <w:rsid w:val="00DB0B68"/>
    <w:rsid w:val="00DB0D02"/>
    <w:rsid w:val="00DB1889"/>
    <w:rsid w:val="00DB1E63"/>
    <w:rsid w:val="00DB2278"/>
    <w:rsid w:val="00DB52C2"/>
    <w:rsid w:val="00DB5FC4"/>
    <w:rsid w:val="00DB600F"/>
    <w:rsid w:val="00DB60F2"/>
    <w:rsid w:val="00DB6185"/>
    <w:rsid w:val="00DB7AB4"/>
    <w:rsid w:val="00DB7B1A"/>
    <w:rsid w:val="00DC0703"/>
    <w:rsid w:val="00DC135A"/>
    <w:rsid w:val="00DC21BC"/>
    <w:rsid w:val="00DC2351"/>
    <w:rsid w:val="00DC2DEC"/>
    <w:rsid w:val="00DC3A2F"/>
    <w:rsid w:val="00DC422E"/>
    <w:rsid w:val="00DC4C38"/>
    <w:rsid w:val="00DC6F5E"/>
    <w:rsid w:val="00DC7229"/>
    <w:rsid w:val="00DC7729"/>
    <w:rsid w:val="00DC781F"/>
    <w:rsid w:val="00DC79FE"/>
    <w:rsid w:val="00DC7A4B"/>
    <w:rsid w:val="00DC7B0B"/>
    <w:rsid w:val="00DD0BB1"/>
    <w:rsid w:val="00DD11D2"/>
    <w:rsid w:val="00DD1282"/>
    <w:rsid w:val="00DD1E82"/>
    <w:rsid w:val="00DD1F88"/>
    <w:rsid w:val="00DD2290"/>
    <w:rsid w:val="00DD2678"/>
    <w:rsid w:val="00DD2EAF"/>
    <w:rsid w:val="00DD366B"/>
    <w:rsid w:val="00DD3A60"/>
    <w:rsid w:val="00DD4085"/>
    <w:rsid w:val="00DD533A"/>
    <w:rsid w:val="00DD5A07"/>
    <w:rsid w:val="00DD5B03"/>
    <w:rsid w:val="00DD67CF"/>
    <w:rsid w:val="00DD690C"/>
    <w:rsid w:val="00DE055B"/>
    <w:rsid w:val="00DE0915"/>
    <w:rsid w:val="00DE0D53"/>
    <w:rsid w:val="00DE11F8"/>
    <w:rsid w:val="00DE1CB6"/>
    <w:rsid w:val="00DE2525"/>
    <w:rsid w:val="00DE2AE6"/>
    <w:rsid w:val="00DE3C12"/>
    <w:rsid w:val="00DE5CE2"/>
    <w:rsid w:val="00DE61B9"/>
    <w:rsid w:val="00DE6F99"/>
    <w:rsid w:val="00DE7EEE"/>
    <w:rsid w:val="00DF0AFA"/>
    <w:rsid w:val="00DF0E89"/>
    <w:rsid w:val="00DF1366"/>
    <w:rsid w:val="00DF1620"/>
    <w:rsid w:val="00DF1A25"/>
    <w:rsid w:val="00DF22F7"/>
    <w:rsid w:val="00DF2843"/>
    <w:rsid w:val="00DF41FA"/>
    <w:rsid w:val="00DF44F4"/>
    <w:rsid w:val="00DF4684"/>
    <w:rsid w:val="00DF4CFB"/>
    <w:rsid w:val="00DF6B50"/>
    <w:rsid w:val="00DF6C71"/>
    <w:rsid w:val="00DF795A"/>
    <w:rsid w:val="00DF7DF7"/>
    <w:rsid w:val="00E00024"/>
    <w:rsid w:val="00E0041A"/>
    <w:rsid w:val="00E0116A"/>
    <w:rsid w:val="00E015A1"/>
    <w:rsid w:val="00E0201F"/>
    <w:rsid w:val="00E02085"/>
    <w:rsid w:val="00E03352"/>
    <w:rsid w:val="00E04A9D"/>
    <w:rsid w:val="00E04CBD"/>
    <w:rsid w:val="00E0510A"/>
    <w:rsid w:val="00E057CC"/>
    <w:rsid w:val="00E06A3C"/>
    <w:rsid w:val="00E06FE6"/>
    <w:rsid w:val="00E07065"/>
    <w:rsid w:val="00E116D3"/>
    <w:rsid w:val="00E11FF6"/>
    <w:rsid w:val="00E12067"/>
    <w:rsid w:val="00E1226D"/>
    <w:rsid w:val="00E137A5"/>
    <w:rsid w:val="00E1492C"/>
    <w:rsid w:val="00E15402"/>
    <w:rsid w:val="00E15453"/>
    <w:rsid w:val="00E16012"/>
    <w:rsid w:val="00E16582"/>
    <w:rsid w:val="00E16A2B"/>
    <w:rsid w:val="00E171C1"/>
    <w:rsid w:val="00E172D2"/>
    <w:rsid w:val="00E173A7"/>
    <w:rsid w:val="00E20344"/>
    <w:rsid w:val="00E20981"/>
    <w:rsid w:val="00E209E9"/>
    <w:rsid w:val="00E20CB8"/>
    <w:rsid w:val="00E240E1"/>
    <w:rsid w:val="00E247EF"/>
    <w:rsid w:val="00E24890"/>
    <w:rsid w:val="00E252A8"/>
    <w:rsid w:val="00E258B9"/>
    <w:rsid w:val="00E25EC8"/>
    <w:rsid w:val="00E26E17"/>
    <w:rsid w:val="00E2719F"/>
    <w:rsid w:val="00E2726D"/>
    <w:rsid w:val="00E30074"/>
    <w:rsid w:val="00E300D1"/>
    <w:rsid w:val="00E30182"/>
    <w:rsid w:val="00E30E62"/>
    <w:rsid w:val="00E30FBC"/>
    <w:rsid w:val="00E31994"/>
    <w:rsid w:val="00E3229F"/>
    <w:rsid w:val="00E32A12"/>
    <w:rsid w:val="00E32E29"/>
    <w:rsid w:val="00E32F36"/>
    <w:rsid w:val="00E33386"/>
    <w:rsid w:val="00E335C5"/>
    <w:rsid w:val="00E3424C"/>
    <w:rsid w:val="00E357B5"/>
    <w:rsid w:val="00E35FE2"/>
    <w:rsid w:val="00E36E3B"/>
    <w:rsid w:val="00E37158"/>
    <w:rsid w:val="00E37230"/>
    <w:rsid w:val="00E37743"/>
    <w:rsid w:val="00E37CE4"/>
    <w:rsid w:val="00E4018F"/>
    <w:rsid w:val="00E40BD5"/>
    <w:rsid w:val="00E40E14"/>
    <w:rsid w:val="00E414F8"/>
    <w:rsid w:val="00E41EB4"/>
    <w:rsid w:val="00E45E4D"/>
    <w:rsid w:val="00E47FB1"/>
    <w:rsid w:val="00E503A7"/>
    <w:rsid w:val="00E50F57"/>
    <w:rsid w:val="00E51937"/>
    <w:rsid w:val="00E5200D"/>
    <w:rsid w:val="00E52604"/>
    <w:rsid w:val="00E52AB0"/>
    <w:rsid w:val="00E550F1"/>
    <w:rsid w:val="00E553B3"/>
    <w:rsid w:val="00E56733"/>
    <w:rsid w:val="00E56933"/>
    <w:rsid w:val="00E57112"/>
    <w:rsid w:val="00E602FC"/>
    <w:rsid w:val="00E60BA1"/>
    <w:rsid w:val="00E6142A"/>
    <w:rsid w:val="00E61AF2"/>
    <w:rsid w:val="00E632FC"/>
    <w:rsid w:val="00E637C1"/>
    <w:rsid w:val="00E642B1"/>
    <w:rsid w:val="00E6455C"/>
    <w:rsid w:val="00E65950"/>
    <w:rsid w:val="00E6622F"/>
    <w:rsid w:val="00E66E9C"/>
    <w:rsid w:val="00E677D4"/>
    <w:rsid w:val="00E7044A"/>
    <w:rsid w:val="00E70BBF"/>
    <w:rsid w:val="00E71296"/>
    <w:rsid w:val="00E7147D"/>
    <w:rsid w:val="00E71E80"/>
    <w:rsid w:val="00E7209F"/>
    <w:rsid w:val="00E72B0A"/>
    <w:rsid w:val="00E73B1C"/>
    <w:rsid w:val="00E74CBC"/>
    <w:rsid w:val="00E75C5C"/>
    <w:rsid w:val="00E75D2B"/>
    <w:rsid w:val="00E75E7C"/>
    <w:rsid w:val="00E75F41"/>
    <w:rsid w:val="00E76721"/>
    <w:rsid w:val="00E77589"/>
    <w:rsid w:val="00E775A1"/>
    <w:rsid w:val="00E802CD"/>
    <w:rsid w:val="00E80F43"/>
    <w:rsid w:val="00E81145"/>
    <w:rsid w:val="00E82EFA"/>
    <w:rsid w:val="00E832EF"/>
    <w:rsid w:val="00E834A3"/>
    <w:rsid w:val="00E84C15"/>
    <w:rsid w:val="00E856F1"/>
    <w:rsid w:val="00E8612D"/>
    <w:rsid w:val="00E870D2"/>
    <w:rsid w:val="00E90578"/>
    <w:rsid w:val="00E907B8"/>
    <w:rsid w:val="00E91021"/>
    <w:rsid w:val="00E91047"/>
    <w:rsid w:val="00E91DB7"/>
    <w:rsid w:val="00E9292D"/>
    <w:rsid w:val="00E92C5E"/>
    <w:rsid w:val="00E934CA"/>
    <w:rsid w:val="00E93918"/>
    <w:rsid w:val="00E93A32"/>
    <w:rsid w:val="00E949E7"/>
    <w:rsid w:val="00E94BA4"/>
    <w:rsid w:val="00E95795"/>
    <w:rsid w:val="00E9664B"/>
    <w:rsid w:val="00E96D3F"/>
    <w:rsid w:val="00E96FCE"/>
    <w:rsid w:val="00E971DB"/>
    <w:rsid w:val="00E97ABA"/>
    <w:rsid w:val="00E97FB1"/>
    <w:rsid w:val="00EA03C7"/>
    <w:rsid w:val="00EA1297"/>
    <w:rsid w:val="00EA1717"/>
    <w:rsid w:val="00EA32B8"/>
    <w:rsid w:val="00EA409D"/>
    <w:rsid w:val="00EA40C1"/>
    <w:rsid w:val="00EA4B18"/>
    <w:rsid w:val="00EA503D"/>
    <w:rsid w:val="00EA52EB"/>
    <w:rsid w:val="00EA5EAE"/>
    <w:rsid w:val="00EA6336"/>
    <w:rsid w:val="00EA687C"/>
    <w:rsid w:val="00EA6A6B"/>
    <w:rsid w:val="00EA7925"/>
    <w:rsid w:val="00EA7F43"/>
    <w:rsid w:val="00EB048A"/>
    <w:rsid w:val="00EB0CBD"/>
    <w:rsid w:val="00EB0F4E"/>
    <w:rsid w:val="00EB182D"/>
    <w:rsid w:val="00EB19CA"/>
    <w:rsid w:val="00EB1D72"/>
    <w:rsid w:val="00EB1EE3"/>
    <w:rsid w:val="00EB2420"/>
    <w:rsid w:val="00EB4655"/>
    <w:rsid w:val="00EB4D05"/>
    <w:rsid w:val="00EB5DC7"/>
    <w:rsid w:val="00EB5E7E"/>
    <w:rsid w:val="00EB5F39"/>
    <w:rsid w:val="00EB63C5"/>
    <w:rsid w:val="00EB668C"/>
    <w:rsid w:val="00EB6703"/>
    <w:rsid w:val="00EB6DF5"/>
    <w:rsid w:val="00EB778E"/>
    <w:rsid w:val="00EC024A"/>
    <w:rsid w:val="00EC14BC"/>
    <w:rsid w:val="00EC1958"/>
    <w:rsid w:val="00EC19A9"/>
    <w:rsid w:val="00EC1D9E"/>
    <w:rsid w:val="00EC1EB9"/>
    <w:rsid w:val="00EC22C5"/>
    <w:rsid w:val="00EC2504"/>
    <w:rsid w:val="00EC2BD7"/>
    <w:rsid w:val="00EC392B"/>
    <w:rsid w:val="00EC3DE1"/>
    <w:rsid w:val="00EC539A"/>
    <w:rsid w:val="00EC57F4"/>
    <w:rsid w:val="00EC5DFD"/>
    <w:rsid w:val="00EC63B2"/>
    <w:rsid w:val="00EC71D3"/>
    <w:rsid w:val="00EC7D50"/>
    <w:rsid w:val="00ED0DD5"/>
    <w:rsid w:val="00ED1DE7"/>
    <w:rsid w:val="00ED28A0"/>
    <w:rsid w:val="00ED291A"/>
    <w:rsid w:val="00ED31CF"/>
    <w:rsid w:val="00ED3307"/>
    <w:rsid w:val="00ED3598"/>
    <w:rsid w:val="00ED37B9"/>
    <w:rsid w:val="00ED3A9B"/>
    <w:rsid w:val="00ED4204"/>
    <w:rsid w:val="00ED4AEB"/>
    <w:rsid w:val="00ED5091"/>
    <w:rsid w:val="00ED524E"/>
    <w:rsid w:val="00ED6163"/>
    <w:rsid w:val="00ED6F15"/>
    <w:rsid w:val="00ED7690"/>
    <w:rsid w:val="00EE08A1"/>
    <w:rsid w:val="00EE0AFE"/>
    <w:rsid w:val="00EE11B1"/>
    <w:rsid w:val="00EE19EB"/>
    <w:rsid w:val="00EE1B34"/>
    <w:rsid w:val="00EE21C1"/>
    <w:rsid w:val="00EE2907"/>
    <w:rsid w:val="00EE32C3"/>
    <w:rsid w:val="00EE35DC"/>
    <w:rsid w:val="00EE55D0"/>
    <w:rsid w:val="00EE5E60"/>
    <w:rsid w:val="00EE5F04"/>
    <w:rsid w:val="00EE6384"/>
    <w:rsid w:val="00EE6BCB"/>
    <w:rsid w:val="00EE7B2B"/>
    <w:rsid w:val="00EE7CAD"/>
    <w:rsid w:val="00EF00E5"/>
    <w:rsid w:val="00EF148C"/>
    <w:rsid w:val="00EF1544"/>
    <w:rsid w:val="00EF1690"/>
    <w:rsid w:val="00EF17C9"/>
    <w:rsid w:val="00EF2ADF"/>
    <w:rsid w:val="00EF3402"/>
    <w:rsid w:val="00EF38FD"/>
    <w:rsid w:val="00EF404A"/>
    <w:rsid w:val="00EF5C4E"/>
    <w:rsid w:val="00EF5D9F"/>
    <w:rsid w:val="00EF64BB"/>
    <w:rsid w:val="00EF6533"/>
    <w:rsid w:val="00EF6B77"/>
    <w:rsid w:val="00F0113A"/>
    <w:rsid w:val="00F012AA"/>
    <w:rsid w:val="00F01686"/>
    <w:rsid w:val="00F0254F"/>
    <w:rsid w:val="00F02A84"/>
    <w:rsid w:val="00F02F9E"/>
    <w:rsid w:val="00F03BE3"/>
    <w:rsid w:val="00F04AFC"/>
    <w:rsid w:val="00F06119"/>
    <w:rsid w:val="00F061A7"/>
    <w:rsid w:val="00F063FB"/>
    <w:rsid w:val="00F0656D"/>
    <w:rsid w:val="00F07A12"/>
    <w:rsid w:val="00F07EE4"/>
    <w:rsid w:val="00F07EEA"/>
    <w:rsid w:val="00F1071B"/>
    <w:rsid w:val="00F1072A"/>
    <w:rsid w:val="00F109E6"/>
    <w:rsid w:val="00F10C0E"/>
    <w:rsid w:val="00F11367"/>
    <w:rsid w:val="00F1330A"/>
    <w:rsid w:val="00F13A1E"/>
    <w:rsid w:val="00F13E09"/>
    <w:rsid w:val="00F141F9"/>
    <w:rsid w:val="00F15B51"/>
    <w:rsid w:val="00F16418"/>
    <w:rsid w:val="00F176A6"/>
    <w:rsid w:val="00F20225"/>
    <w:rsid w:val="00F20953"/>
    <w:rsid w:val="00F20990"/>
    <w:rsid w:val="00F210CC"/>
    <w:rsid w:val="00F2119F"/>
    <w:rsid w:val="00F214C9"/>
    <w:rsid w:val="00F216C6"/>
    <w:rsid w:val="00F2178F"/>
    <w:rsid w:val="00F21F8B"/>
    <w:rsid w:val="00F24CE9"/>
    <w:rsid w:val="00F260AC"/>
    <w:rsid w:val="00F274A8"/>
    <w:rsid w:val="00F27C2F"/>
    <w:rsid w:val="00F30DE4"/>
    <w:rsid w:val="00F326F6"/>
    <w:rsid w:val="00F32A1D"/>
    <w:rsid w:val="00F32C14"/>
    <w:rsid w:val="00F33292"/>
    <w:rsid w:val="00F33448"/>
    <w:rsid w:val="00F33476"/>
    <w:rsid w:val="00F33483"/>
    <w:rsid w:val="00F33856"/>
    <w:rsid w:val="00F33B5D"/>
    <w:rsid w:val="00F346C5"/>
    <w:rsid w:val="00F34872"/>
    <w:rsid w:val="00F34C18"/>
    <w:rsid w:val="00F34DD6"/>
    <w:rsid w:val="00F36D42"/>
    <w:rsid w:val="00F41E81"/>
    <w:rsid w:val="00F41EB3"/>
    <w:rsid w:val="00F44D39"/>
    <w:rsid w:val="00F44DF4"/>
    <w:rsid w:val="00F45128"/>
    <w:rsid w:val="00F45412"/>
    <w:rsid w:val="00F45F8E"/>
    <w:rsid w:val="00F45FA6"/>
    <w:rsid w:val="00F465CC"/>
    <w:rsid w:val="00F46D73"/>
    <w:rsid w:val="00F4788A"/>
    <w:rsid w:val="00F47EDF"/>
    <w:rsid w:val="00F50D31"/>
    <w:rsid w:val="00F512C1"/>
    <w:rsid w:val="00F5324F"/>
    <w:rsid w:val="00F535BA"/>
    <w:rsid w:val="00F53985"/>
    <w:rsid w:val="00F541B5"/>
    <w:rsid w:val="00F54A03"/>
    <w:rsid w:val="00F55DDD"/>
    <w:rsid w:val="00F55DED"/>
    <w:rsid w:val="00F563E4"/>
    <w:rsid w:val="00F60079"/>
    <w:rsid w:val="00F6056D"/>
    <w:rsid w:val="00F60D99"/>
    <w:rsid w:val="00F618F3"/>
    <w:rsid w:val="00F61AF1"/>
    <w:rsid w:val="00F61BD0"/>
    <w:rsid w:val="00F63115"/>
    <w:rsid w:val="00F64D99"/>
    <w:rsid w:val="00F65CAE"/>
    <w:rsid w:val="00F669B1"/>
    <w:rsid w:val="00F66EB7"/>
    <w:rsid w:val="00F70290"/>
    <w:rsid w:val="00F7037B"/>
    <w:rsid w:val="00F70D9E"/>
    <w:rsid w:val="00F70FA1"/>
    <w:rsid w:val="00F7284A"/>
    <w:rsid w:val="00F72D8F"/>
    <w:rsid w:val="00F7330B"/>
    <w:rsid w:val="00F738AD"/>
    <w:rsid w:val="00F73D9F"/>
    <w:rsid w:val="00F73FA9"/>
    <w:rsid w:val="00F74CAD"/>
    <w:rsid w:val="00F75015"/>
    <w:rsid w:val="00F76119"/>
    <w:rsid w:val="00F76D3E"/>
    <w:rsid w:val="00F7768A"/>
    <w:rsid w:val="00F77827"/>
    <w:rsid w:val="00F81A4D"/>
    <w:rsid w:val="00F835AB"/>
    <w:rsid w:val="00F83AEA"/>
    <w:rsid w:val="00F83E64"/>
    <w:rsid w:val="00F85433"/>
    <w:rsid w:val="00F85A14"/>
    <w:rsid w:val="00F86B74"/>
    <w:rsid w:val="00F86E8B"/>
    <w:rsid w:val="00F86FCB"/>
    <w:rsid w:val="00F87208"/>
    <w:rsid w:val="00F9025F"/>
    <w:rsid w:val="00F906F8"/>
    <w:rsid w:val="00F90FBC"/>
    <w:rsid w:val="00F91845"/>
    <w:rsid w:val="00F925E6"/>
    <w:rsid w:val="00F934AF"/>
    <w:rsid w:val="00F93A0C"/>
    <w:rsid w:val="00F943B8"/>
    <w:rsid w:val="00F94FC4"/>
    <w:rsid w:val="00F95D83"/>
    <w:rsid w:val="00F95EA6"/>
    <w:rsid w:val="00F95EE0"/>
    <w:rsid w:val="00F960CE"/>
    <w:rsid w:val="00F9693A"/>
    <w:rsid w:val="00F97C33"/>
    <w:rsid w:val="00F97E30"/>
    <w:rsid w:val="00FA1679"/>
    <w:rsid w:val="00FA237F"/>
    <w:rsid w:val="00FA3072"/>
    <w:rsid w:val="00FA4727"/>
    <w:rsid w:val="00FA4C44"/>
    <w:rsid w:val="00FA5199"/>
    <w:rsid w:val="00FA5E06"/>
    <w:rsid w:val="00FA5FE2"/>
    <w:rsid w:val="00FA5FF2"/>
    <w:rsid w:val="00FA6923"/>
    <w:rsid w:val="00FA6E57"/>
    <w:rsid w:val="00FA725D"/>
    <w:rsid w:val="00FA7E86"/>
    <w:rsid w:val="00FB02AE"/>
    <w:rsid w:val="00FB184E"/>
    <w:rsid w:val="00FB1FC0"/>
    <w:rsid w:val="00FB23DB"/>
    <w:rsid w:val="00FB2DD3"/>
    <w:rsid w:val="00FB3666"/>
    <w:rsid w:val="00FB3C70"/>
    <w:rsid w:val="00FB3CAC"/>
    <w:rsid w:val="00FB44A8"/>
    <w:rsid w:val="00FB4BF0"/>
    <w:rsid w:val="00FB4CFA"/>
    <w:rsid w:val="00FB5C1A"/>
    <w:rsid w:val="00FB7BFE"/>
    <w:rsid w:val="00FB7CA3"/>
    <w:rsid w:val="00FC0129"/>
    <w:rsid w:val="00FC0AE0"/>
    <w:rsid w:val="00FC17D1"/>
    <w:rsid w:val="00FC1B15"/>
    <w:rsid w:val="00FC2EB1"/>
    <w:rsid w:val="00FC325E"/>
    <w:rsid w:val="00FC3261"/>
    <w:rsid w:val="00FC3631"/>
    <w:rsid w:val="00FC3844"/>
    <w:rsid w:val="00FC3EE5"/>
    <w:rsid w:val="00FC434C"/>
    <w:rsid w:val="00FC4668"/>
    <w:rsid w:val="00FC469D"/>
    <w:rsid w:val="00FC4DDC"/>
    <w:rsid w:val="00FC5474"/>
    <w:rsid w:val="00FC67CA"/>
    <w:rsid w:val="00FC69E9"/>
    <w:rsid w:val="00FC6C95"/>
    <w:rsid w:val="00FC7C45"/>
    <w:rsid w:val="00FD0130"/>
    <w:rsid w:val="00FD048F"/>
    <w:rsid w:val="00FD0616"/>
    <w:rsid w:val="00FD06C7"/>
    <w:rsid w:val="00FD0886"/>
    <w:rsid w:val="00FD09A0"/>
    <w:rsid w:val="00FD2697"/>
    <w:rsid w:val="00FD2D85"/>
    <w:rsid w:val="00FD2D8F"/>
    <w:rsid w:val="00FD2FC6"/>
    <w:rsid w:val="00FD31D1"/>
    <w:rsid w:val="00FD3485"/>
    <w:rsid w:val="00FD44AD"/>
    <w:rsid w:val="00FD4844"/>
    <w:rsid w:val="00FD487E"/>
    <w:rsid w:val="00FD4AB0"/>
    <w:rsid w:val="00FD4C3C"/>
    <w:rsid w:val="00FD4DC2"/>
    <w:rsid w:val="00FD649E"/>
    <w:rsid w:val="00FD6A2E"/>
    <w:rsid w:val="00FD7DC2"/>
    <w:rsid w:val="00FD7F3F"/>
    <w:rsid w:val="00FE0526"/>
    <w:rsid w:val="00FE05BB"/>
    <w:rsid w:val="00FE0694"/>
    <w:rsid w:val="00FE0D16"/>
    <w:rsid w:val="00FE0F98"/>
    <w:rsid w:val="00FE1AC0"/>
    <w:rsid w:val="00FE1C9C"/>
    <w:rsid w:val="00FE25EA"/>
    <w:rsid w:val="00FE4D4A"/>
    <w:rsid w:val="00FE51DE"/>
    <w:rsid w:val="00FE57F1"/>
    <w:rsid w:val="00FE58AB"/>
    <w:rsid w:val="00FE5BCD"/>
    <w:rsid w:val="00FE662D"/>
    <w:rsid w:val="00FE6C20"/>
    <w:rsid w:val="00FE728D"/>
    <w:rsid w:val="00FE7404"/>
    <w:rsid w:val="00FE7763"/>
    <w:rsid w:val="00FF062F"/>
    <w:rsid w:val="00FF184D"/>
    <w:rsid w:val="00FF332C"/>
    <w:rsid w:val="00FF3627"/>
    <w:rsid w:val="00FF405D"/>
    <w:rsid w:val="00FF433E"/>
    <w:rsid w:val="00FF4B45"/>
    <w:rsid w:val="00FF4EFA"/>
    <w:rsid w:val="00FF4F2E"/>
    <w:rsid w:val="00FF502D"/>
    <w:rsid w:val="00FF5874"/>
    <w:rsid w:val="00FF7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351"/>
    <w:pPr>
      <w:spacing w:after="200" w:line="276" w:lineRule="auto"/>
    </w:pPr>
    <w:rPr>
      <w:sz w:val="22"/>
      <w:szCs w:val="22"/>
    </w:rPr>
  </w:style>
  <w:style w:type="paragraph" w:styleId="Heading1">
    <w:name w:val="heading 1"/>
    <w:basedOn w:val="Normal"/>
    <w:next w:val="Normal"/>
    <w:link w:val="Heading1Char"/>
    <w:uiPriority w:val="99"/>
    <w:qFormat/>
    <w:rsid w:val="00623D53"/>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unhideWhenUsed/>
    <w:qFormat/>
    <w:rsid w:val="00623D53"/>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unhideWhenUsed/>
    <w:qFormat/>
    <w:rsid w:val="002802E3"/>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2802E3"/>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iPriority w:val="9"/>
    <w:unhideWhenUsed/>
    <w:qFormat/>
    <w:rsid w:val="002802E3"/>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iPriority w:val="9"/>
    <w:unhideWhenUsed/>
    <w:qFormat/>
    <w:rsid w:val="002802E3"/>
    <w:pPr>
      <w:spacing w:before="240" w:after="60"/>
      <w:outlineLvl w:val="5"/>
    </w:pPr>
    <w:rPr>
      <w:rFonts w:eastAsia="Times New Roman"/>
      <w:b/>
      <w:bCs/>
      <w:lang w:val="x-none" w:eastAsia="x-none"/>
    </w:rPr>
  </w:style>
  <w:style w:type="paragraph" w:styleId="Heading7">
    <w:name w:val="heading 7"/>
    <w:basedOn w:val="Normal"/>
    <w:next w:val="Normal"/>
    <w:link w:val="Heading7Char"/>
    <w:uiPriority w:val="9"/>
    <w:unhideWhenUsed/>
    <w:qFormat/>
    <w:rsid w:val="006C1FFF"/>
    <w:pPr>
      <w:spacing w:before="240" w:after="60"/>
      <w:outlineLvl w:val="6"/>
    </w:pPr>
    <w:rPr>
      <w:rFonts w:eastAsia="Times New Roman"/>
      <w:sz w:val="24"/>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23D53"/>
    <w:rPr>
      <w:rFonts w:ascii="Cambria" w:eastAsia="Times New Roman" w:hAnsi="Cambria" w:cs="Times New Roman"/>
      <w:b/>
      <w:bCs/>
      <w:kern w:val="32"/>
      <w:sz w:val="32"/>
      <w:szCs w:val="32"/>
    </w:rPr>
  </w:style>
  <w:style w:type="character" w:customStyle="1" w:styleId="Heading2Char">
    <w:name w:val="Heading 2 Char"/>
    <w:link w:val="Heading2"/>
    <w:uiPriority w:val="9"/>
    <w:rsid w:val="00623D53"/>
    <w:rPr>
      <w:rFonts w:ascii="Cambria" w:eastAsia="Times New Roman" w:hAnsi="Cambria" w:cs="Times New Roman"/>
      <w:b/>
      <w:bCs/>
      <w:i/>
      <w:iCs/>
      <w:sz w:val="28"/>
      <w:szCs w:val="28"/>
    </w:rPr>
  </w:style>
  <w:style w:type="paragraph" w:styleId="ListParagraph">
    <w:name w:val="List Paragraph"/>
    <w:basedOn w:val="Normal"/>
    <w:uiPriority w:val="34"/>
    <w:qFormat/>
    <w:rsid w:val="00FD649E"/>
    <w:pPr>
      <w:ind w:left="720"/>
      <w:contextualSpacing/>
    </w:pPr>
  </w:style>
  <w:style w:type="paragraph" w:styleId="Header">
    <w:name w:val="header"/>
    <w:basedOn w:val="Normal"/>
    <w:link w:val="HeaderChar"/>
    <w:uiPriority w:val="99"/>
    <w:unhideWhenUsed/>
    <w:rsid w:val="003608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08C0"/>
  </w:style>
  <w:style w:type="paragraph" w:styleId="Footer">
    <w:name w:val="footer"/>
    <w:basedOn w:val="Normal"/>
    <w:link w:val="FooterChar"/>
    <w:uiPriority w:val="99"/>
    <w:unhideWhenUsed/>
    <w:rsid w:val="00360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8C0"/>
  </w:style>
  <w:style w:type="paragraph" w:styleId="BalloonText">
    <w:name w:val="Balloon Text"/>
    <w:basedOn w:val="Normal"/>
    <w:link w:val="BalloonTextChar"/>
    <w:uiPriority w:val="99"/>
    <w:semiHidden/>
    <w:unhideWhenUsed/>
    <w:rsid w:val="008965F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965F8"/>
    <w:rPr>
      <w:rFonts w:ascii="Tahoma" w:hAnsi="Tahoma" w:cs="Tahoma"/>
      <w:sz w:val="16"/>
      <w:szCs w:val="16"/>
    </w:rPr>
  </w:style>
  <w:style w:type="paragraph" w:styleId="FootnoteText">
    <w:name w:val="footnote text"/>
    <w:basedOn w:val="Normal"/>
    <w:link w:val="FootnoteTextChar"/>
    <w:uiPriority w:val="99"/>
    <w:rsid w:val="000B3C94"/>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0B3C94"/>
    <w:rPr>
      <w:rFonts w:ascii="Times New Roman" w:eastAsia="Times New Roman" w:hAnsi="Times New Roman" w:cs="Times New Roman"/>
      <w:sz w:val="20"/>
      <w:szCs w:val="20"/>
    </w:rPr>
  </w:style>
  <w:style w:type="character" w:styleId="FootnoteReference">
    <w:name w:val="footnote reference"/>
    <w:semiHidden/>
    <w:rsid w:val="000B3C94"/>
    <w:rPr>
      <w:rFonts w:cs="Times New Roman"/>
      <w:vertAlign w:val="superscript"/>
    </w:rPr>
  </w:style>
  <w:style w:type="character" w:styleId="Hyperlink">
    <w:name w:val="Hyperlink"/>
    <w:uiPriority w:val="99"/>
    <w:unhideWhenUsed/>
    <w:rsid w:val="0022755F"/>
    <w:rPr>
      <w:color w:val="0000FF"/>
      <w:u w:val="single"/>
      <w:shd w:val="clear" w:color="auto" w:fill="auto"/>
    </w:rPr>
  </w:style>
  <w:style w:type="paragraph" w:styleId="NoSpacing">
    <w:name w:val="No Spacing"/>
    <w:link w:val="NoSpacingChar"/>
    <w:uiPriority w:val="1"/>
    <w:qFormat/>
    <w:rsid w:val="00623D53"/>
    <w:rPr>
      <w:sz w:val="22"/>
      <w:szCs w:val="22"/>
    </w:rPr>
  </w:style>
  <w:style w:type="character" w:styleId="Strong">
    <w:name w:val="Strong"/>
    <w:uiPriority w:val="99"/>
    <w:qFormat/>
    <w:rsid w:val="00623D53"/>
    <w:rPr>
      <w:b/>
      <w:bCs/>
    </w:rPr>
  </w:style>
  <w:style w:type="paragraph" w:styleId="Quote">
    <w:name w:val="Quote"/>
    <w:basedOn w:val="Normal"/>
    <w:next w:val="Normal"/>
    <w:link w:val="QuoteChar"/>
    <w:uiPriority w:val="29"/>
    <w:qFormat/>
    <w:rsid w:val="00623D53"/>
    <w:rPr>
      <w:i/>
      <w:iCs/>
      <w:color w:val="000000"/>
      <w:lang w:val="x-none" w:eastAsia="x-none"/>
    </w:rPr>
  </w:style>
  <w:style w:type="character" w:customStyle="1" w:styleId="QuoteChar">
    <w:name w:val="Quote Char"/>
    <w:link w:val="Quote"/>
    <w:uiPriority w:val="29"/>
    <w:rsid w:val="00623D53"/>
    <w:rPr>
      <w:i/>
      <w:iCs/>
      <w:color w:val="000000"/>
      <w:sz w:val="22"/>
      <w:szCs w:val="22"/>
    </w:rPr>
  </w:style>
  <w:style w:type="paragraph" w:styleId="NormalWeb">
    <w:name w:val="Normal (Web)"/>
    <w:basedOn w:val="Normal"/>
    <w:uiPriority w:val="99"/>
    <w:rsid w:val="00C5102C"/>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rsid w:val="00C5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C5102C"/>
    <w:rPr>
      <w:rFonts w:ascii="Courier New" w:eastAsia="Times New Roman" w:hAnsi="Courier New" w:cs="Courier New"/>
    </w:rPr>
  </w:style>
  <w:style w:type="character" w:styleId="CommentReference">
    <w:name w:val="annotation reference"/>
    <w:uiPriority w:val="99"/>
    <w:semiHidden/>
    <w:rsid w:val="00C5102C"/>
    <w:rPr>
      <w:rFonts w:cs="Times New Roman"/>
      <w:sz w:val="16"/>
      <w:szCs w:val="16"/>
    </w:rPr>
  </w:style>
  <w:style w:type="paragraph" w:styleId="CommentText">
    <w:name w:val="annotation text"/>
    <w:basedOn w:val="Normal"/>
    <w:link w:val="CommentTextChar"/>
    <w:uiPriority w:val="99"/>
    <w:semiHidden/>
    <w:rsid w:val="00C5102C"/>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uiPriority w:val="99"/>
    <w:semiHidden/>
    <w:rsid w:val="00C5102C"/>
    <w:rPr>
      <w:rFonts w:ascii="Times New Roman" w:eastAsia="Times New Roman" w:hAnsi="Times New Roman"/>
    </w:rPr>
  </w:style>
  <w:style w:type="character" w:customStyle="1" w:styleId="CommentSubjectChar">
    <w:name w:val="Comment Subject Char"/>
    <w:link w:val="CommentSubject"/>
    <w:uiPriority w:val="99"/>
    <w:semiHidden/>
    <w:rsid w:val="00C5102C"/>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rsid w:val="00C5102C"/>
    <w:rPr>
      <w:b/>
      <w:bCs/>
    </w:rPr>
  </w:style>
  <w:style w:type="character" w:customStyle="1" w:styleId="b1">
    <w:name w:val="b1"/>
    <w:uiPriority w:val="99"/>
    <w:rsid w:val="00C5102C"/>
    <w:rPr>
      <w:rFonts w:cs="Times New Roman"/>
      <w:b/>
      <w:bCs/>
    </w:rPr>
  </w:style>
  <w:style w:type="character" w:customStyle="1" w:styleId="EndnoteTextChar">
    <w:name w:val="Endnote Text Char"/>
    <w:link w:val="EndnoteText"/>
    <w:uiPriority w:val="99"/>
    <w:semiHidden/>
    <w:rsid w:val="00C5102C"/>
    <w:rPr>
      <w:rFonts w:ascii="Times New Roman" w:eastAsia="Times New Roman" w:hAnsi="Times New Roman"/>
    </w:rPr>
  </w:style>
  <w:style w:type="paragraph" w:styleId="EndnoteText">
    <w:name w:val="endnote text"/>
    <w:basedOn w:val="Normal"/>
    <w:link w:val="EndnoteTextChar"/>
    <w:uiPriority w:val="99"/>
    <w:semiHidden/>
    <w:rsid w:val="00C5102C"/>
    <w:pPr>
      <w:spacing w:after="0" w:line="240" w:lineRule="auto"/>
    </w:pPr>
    <w:rPr>
      <w:rFonts w:ascii="Times New Roman" w:eastAsia="Times New Roman" w:hAnsi="Times New Roman"/>
      <w:sz w:val="20"/>
      <w:szCs w:val="20"/>
      <w:lang w:val="x-none" w:eastAsia="x-none"/>
    </w:rPr>
  </w:style>
  <w:style w:type="paragraph" w:customStyle="1" w:styleId="Default">
    <w:name w:val="Default"/>
    <w:rsid w:val="00C5102C"/>
    <w:pPr>
      <w:autoSpaceDE w:val="0"/>
      <w:autoSpaceDN w:val="0"/>
      <w:adjustRightInd w:val="0"/>
    </w:pPr>
    <w:rPr>
      <w:rFonts w:ascii="Arial" w:eastAsia="Times New Roman" w:hAnsi="Arial" w:cs="Arial"/>
      <w:color w:val="000000"/>
      <w:sz w:val="24"/>
      <w:szCs w:val="24"/>
    </w:rPr>
  </w:style>
  <w:style w:type="character" w:styleId="HTMLTypewriter">
    <w:name w:val="HTML Typewriter"/>
    <w:uiPriority w:val="99"/>
    <w:rsid w:val="00C5102C"/>
    <w:rPr>
      <w:rFonts w:ascii="Courier New" w:hAnsi="Courier New" w:cs="Courier New"/>
      <w:sz w:val="20"/>
      <w:szCs w:val="20"/>
    </w:rPr>
  </w:style>
  <w:style w:type="character" w:customStyle="1" w:styleId="highlightedsearchterm">
    <w:name w:val="highlightedsearchterm"/>
    <w:uiPriority w:val="99"/>
    <w:rsid w:val="00C5102C"/>
    <w:rPr>
      <w:rFonts w:cs="Times New Roman"/>
    </w:rPr>
  </w:style>
  <w:style w:type="character" w:styleId="PageNumber">
    <w:name w:val="page number"/>
    <w:uiPriority w:val="99"/>
    <w:rsid w:val="00C5102C"/>
    <w:rPr>
      <w:rFonts w:cs="Times New Roman"/>
    </w:rPr>
  </w:style>
  <w:style w:type="character" w:customStyle="1" w:styleId="ft1">
    <w:name w:val="ft1"/>
    <w:uiPriority w:val="99"/>
    <w:rsid w:val="00C5102C"/>
    <w:rPr>
      <w:rFonts w:cs="Times New Roman"/>
    </w:rPr>
  </w:style>
  <w:style w:type="character" w:customStyle="1" w:styleId="ft6">
    <w:name w:val="ft6"/>
    <w:uiPriority w:val="99"/>
    <w:rsid w:val="00C5102C"/>
    <w:rPr>
      <w:rFonts w:cs="Times New Roman"/>
    </w:rPr>
  </w:style>
  <w:style w:type="character" w:customStyle="1" w:styleId="addmd1">
    <w:name w:val="addmd1"/>
    <w:uiPriority w:val="99"/>
    <w:rsid w:val="00C5102C"/>
    <w:rPr>
      <w:rFonts w:ascii="Arial" w:hAnsi="Arial" w:cs="Arial"/>
      <w:sz w:val="20"/>
      <w:szCs w:val="20"/>
    </w:rPr>
  </w:style>
  <w:style w:type="character" w:styleId="FollowedHyperlink">
    <w:name w:val="FollowedHyperlink"/>
    <w:uiPriority w:val="99"/>
    <w:rsid w:val="00C5102C"/>
    <w:rPr>
      <w:rFonts w:cs="Times New Roman"/>
      <w:color w:val="800080"/>
      <w:u w:val="single"/>
    </w:rPr>
  </w:style>
  <w:style w:type="paragraph" w:customStyle="1" w:styleId="DefaultParagraphFontParaCharCharCharCharChar">
    <w:name w:val="Default Paragraph Font Para Char Char Char Char Char"/>
    <w:basedOn w:val="Normal"/>
    <w:next w:val="Normal"/>
    <w:autoRedefine/>
    <w:uiPriority w:val="99"/>
    <w:rsid w:val="00C5102C"/>
    <w:pPr>
      <w:spacing w:after="240" w:line="240" w:lineRule="auto"/>
      <w:ind w:left="187" w:right="-540"/>
    </w:pPr>
    <w:rPr>
      <w:rFonts w:ascii="Arial" w:eastAsia="MS Mincho" w:hAnsi="Arial"/>
      <w:sz w:val="24"/>
      <w:szCs w:val="24"/>
      <w:lang w:eastAsia="ja-JP"/>
    </w:rPr>
  </w:style>
  <w:style w:type="paragraph" w:styleId="BodyText2">
    <w:name w:val="Body Text 2"/>
    <w:basedOn w:val="Normal"/>
    <w:link w:val="BodyText2Char"/>
    <w:uiPriority w:val="99"/>
    <w:rsid w:val="00C5102C"/>
    <w:pPr>
      <w:spacing w:after="0" w:line="240" w:lineRule="auto"/>
    </w:pPr>
    <w:rPr>
      <w:rFonts w:ascii="Times New Roman" w:eastAsia="Times New Roman" w:hAnsi="Times New Roman"/>
      <w:szCs w:val="20"/>
      <w:lang w:val="en-GB" w:eastAsia="x-none"/>
    </w:rPr>
  </w:style>
  <w:style w:type="character" w:customStyle="1" w:styleId="BodyText2Char">
    <w:name w:val="Body Text 2 Char"/>
    <w:link w:val="BodyText2"/>
    <w:uiPriority w:val="99"/>
    <w:rsid w:val="00C5102C"/>
    <w:rPr>
      <w:rFonts w:ascii="Times New Roman" w:eastAsia="Times New Roman" w:hAnsi="Times New Roman"/>
      <w:sz w:val="22"/>
      <w:lang w:val="en-GB"/>
    </w:rPr>
  </w:style>
  <w:style w:type="character" w:customStyle="1" w:styleId="A11">
    <w:name w:val="A1+1"/>
    <w:uiPriority w:val="99"/>
    <w:rsid w:val="00C5102C"/>
    <w:rPr>
      <w:color w:val="000000"/>
      <w:sz w:val="20"/>
    </w:rPr>
  </w:style>
  <w:style w:type="character" w:customStyle="1" w:styleId="DocumentMapChar">
    <w:name w:val="Document Map Char"/>
    <w:link w:val="DocumentMap"/>
    <w:uiPriority w:val="99"/>
    <w:semiHidden/>
    <w:rsid w:val="00C5102C"/>
    <w:rPr>
      <w:rFonts w:ascii="Tahoma" w:eastAsia="Times New Roman" w:hAnsi="Tahoma" w:cs="Tahoma"/>
      <w:shd w:val="clear" w:color="auto" w:fill="000080"/>
    </w:rPr>
  </w:style>
  <w:style w:type="paragraph" w:styleId="DocumentMap">
    <w:name w:val="Document Map"/>
    <w:basedOn w:val="Normal"/>
    <w:link w:val="DocumentMapChar"/>
    <w:uiPriority w:val="99"/>
    <w:semiHidden/>
    <w:rsid w:val="00C5102C"/>
    <w:pPr>
      <w:shd w:val="clear" w:color="auto" w:fill="000080"/>
      <w:spacing w:after="0" w:line="240" w:lineRule="auto"/>
    </w:pPr>
    <w:rPr>
      <w:rFonts w:ascii="Tahoma" w:eastAsia="Times New Roman" w:hAnsi="Tahoma"/>
      <w:sz w:val="20"/>
      <w:szCs w:val="20"/>
      <w:lang w:val="x-none" w:eastAsia="x-none"/>
    </w:rPr>
  </w:style>
  <w:style w:type="character" w:styleId="Emphasis">
    <w:name w:val="Emphasis"/>
    <w:uiPriority w:val="20"/>
    <w:qFormat/>
    <w:rsid w:val="00F60079"/>
    <w:rPr>
      <w:i/>
      <w:iCs/>
    </w:rPr>
  </w:style>
  <w:style w:type="paragraph" w:styleId="TOCHeading">
    <w:name w:val="TOC Heading"/>
    <w:basedOn w:val="Heading1"/>
    <w:next w:val="Normal"/>
    <w:uiPriority w:val="39"/>
    <w:unhideWhenUsed/>
    <w:qFormat/>
    <w:rsid w:val="0019416B"/>
    <w:pPr>
      <w:keepLines/>
      <w:spacing w:before="480" w:after="0"/>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qFormat/>
    <w:rsid w:val="009C3C00"/>
    <w:pPr>
      <w:tabs>
        <w:tab w:val="right" w:leader="dot" w:pos="10080"/>
      </w:tabs>
      <w:ind w:firstLine="450"/>
    </w:pPr>
    <w:rPr>
      <w:bCs/>
    </w:rPr>
  </w:style>
  <w:style w:type="character" w:customStyle="1" w:styleId="Heading3Char">
    <w:name w:val="Heading 3 Char"/>
    <w:link w:val="Heading3"/>
    <w:uiPriority w:val="9"/>
    <w:rsid w:val="002802E3"/>
    <w:rPr>
      <w:rFonts w:ascii="Cambria" w:eastAsia="Times New Roman" w:hAnsi="Cambria" w:cs="Times New Roman"/>
      <w:b/>
      <w:bCs/>
      <w:sz w:val="26"/>
      <w:szCs w:val="26"/>
    </w:rPr>
  </w:style>
  <w:style w:type="character" w:customStyle="1" w:styleId="Heading4Char">
    <w:name w:val="Heading 4 Char"/>
    <w:link w:val="Heading4"/>
    <w:uiPriority w:val="9"/>
    <w:rsid w:val="002802E3"/>
    <w:rPr>
      <w:rFonts w:ascii="Calibri" w:eastAsia="Times New Roman" w:hAnsi="Calibri" w:cs="Times New Roman"/>
      <w:b/>
      <w:bCs/>
      <w:sz w:val="28"/>
      <w:szCs w:val="28"/>
    </w:rPr>
  </w:style>
  <w:style w:type="character" w:customStyle="1" w:styleId="Heading5Char">
    <w:name w:val="Heading 5 Char"/>
    <w:link w:val="Heading5"/>
    <w:uiPriority w:val="9"/>
    <w:rsid w:val="002802E3"/>
    <w:rPr>
      <w:rFonts w:ascii="Calibri" w:eastAsia="Times New Roman" w:hAnsi="Calibri" w:cs="Times New Roman"/>
      <w:b/>
      <w:bCs/>
      <w:i/>
      <w:iCs/>
      <w:sz w:val="26"/>
      <w:szCs w:val="26"/>
    </w:rPr>
  </w:style>
  <w:style w:type="character" w:customStyle="1" w:styleId="Heading6Char">
    <w:name w:val="Heading 6 Char"/>
    <w:link w:val="Heading6"/>
    <w:uiPriority w:val="9"/>
    <w:rsid w:val="002802E3"/>
    <w:rPr>
      <w:rFonts w:ascii="Calibri" w:eastAsia="Times New Roman" w:hAnsi="Calibri" w:cs="Times New Roman"/>
      <w:b/>
      <w:bCs/>
      <w:sz w:val="22"/>
      <w:szCs w:val="22"/>
    </w:rPr>
  </w:style>
  <w:style w:type="paragraph" w:styleId="Caption">
    <w:name w:val="caption"/>
    <w:basedOn w:val="Normal"/>
    <w:next w:val="Normal"/>
    <w:uiPriority w:val="35"/>
    <w:unhideWhenUsed/>
    <w:qFormat/>
    <w:rsid w:val="00803BF4"/>
    <w:rPr>
      <w:b/>
      <w:bCs/>
      <w:sz w:val="20"/>
      <w:szCs w:val="20"/>
    </w:rPr>
  </w:style>
  <w:style w:type="paragraph" w:styleId="Title">
    <w:name w:val="Title"/>
    <w:basedOn w:val="Normal"/>
    <w:next w:val="Normal"/>
    <w:link w:val="TitleChar"/>
    <w:uiPriority w:val="10"/>
    <w:qFormat/>
    <w:rsid w:val="00533CE2"/>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uiPriority w:val="10"/>
    <w:rsid w:val="00533CE2"/>
    <w:rPr>
      <w:rFonts w:ascii="Cambria" w:eastAsia="Times New Roman" w:hAnsi="Cambria" w:cs="Times New Roman"/>
      <w:b/>
      <w:bCs/>
      <w:kern w:val="28"/>
      <w:sz w:val="32"/>
      <w:szCs w:val="32"/>
    </w:rPr>
  </w:style>
  <w:style w:type="character" w:customStyle="1" w:styleId="Heading7Char">
    <w:name w:val="Heading 7 Char"/>
    <w:link w:val="Heading7"/>
    <w:uiPriority w:val="9"/>
    <w:rsid w:val="006C1FFF"/>
    <w:rPr>
      <w:rFonts w:ascii="Calibri" w:eastAsia="Times New Roman" w:hAnsi="Calibri" w:cs="Times New Roman"/>
      <w:sz w:val="24"/>
      <w:szCs w:val="24"/>
    </w:rPr>
  </w:style>
  <w:style w:type="paragraph" w:styleId="Subtitle">
    <w:name w:val="Subtitle"/>
    <w:basedOn w:val="Normal"/>
    <w:next w:val="Normal"/>
    <w:link w:val="SubtitleChar"/>
    <w:uiPriority w:val="11"/>
    <w:qFormat/>
    <w:rsid w:val="006C1FFF"/>
    <w:pPr>
      <w:spacing w:after="60"/>
      <w:jc w:val="center"/>
      <w:outlineLvl w:val="1"/>
    </w:pPr>
    <w:rPr>
      <w:rFonts w:ascii="Cambria" w:eastAsia="Times New Roman" w:hAnsi="Cambria"/>
      <w:sz w:val="24"/>
      <w:szCs w:val="24"/>
      <w:lang w:val="x-none" w:eastAsia="x-none"/>
    </w:rPr>
  </w:style>
  <w:style w:type="character" w:customStyle="1" w:styleId="SubtitleChar">
    <w:name w:val="Subtitle Char"/>
    <w:link w:val="Subtitle"/>
    <w:uiPriority w:val="11"/>
    <w:rsid w:val="006C1FFF"/>
    <w:rPr>
      <w:rFonts w:ascii="Cambria" w:eastAsia="Times New Roman" w:hAnsi="Cambria" w:cs="Times New Roman"/>
      <w:sz w:val="24"/>
      <w:szCs w:val="24"/>
    </w:rPr>
  </w:style>
  <w:style w:type="paragraph" w:styleId="TOC2">
    <w:name w:val="toc 2"/>
    <w:basedOn w:val="Normal"/>
    <w:next w:val="Normal"/>
    <w:autoRedefine/>
    <w:uiPriority w:val="39"/>
    <w:unhideWhenUsed/>
    <w:qFormat/>
    <w:rsid w:val="00591524"/>
    <w:pPr>
      <w:ind w:left="220"/>
    </w:pPr>
  </w:style>
  <w:style w:type="character" w:styleId="EndnoteReference">
    <w:name w:val="endnote reference"/>
    <w:semiHidden/>
    <w:rsid w:val="00CB49B1"/>
    <w:rPr>
      <w:vertAlign w:val="superscript"/>
    </w:rPr>
  </w:style>
  <w:style w:type="paragraph" w:styleId="TOC3">
    <w:name w:val="toc 3"/>
    <w:basedOn w:val="Normal"/>
    <w:next w:val="Normal"/>
    <w:autoRedefine/>
    <w:uiPriority w:val="39"/>
    <w:unhideWhenUsed/>
    <w:qFormat/>
    <w:rsid w:val="00022655"/>
    <w:pPr>
      <w:tabs>
        <w:tab w:val="right" w:leader="dot" w:pos="10080"/>
      </w:tabs>
      <w:spacing w:after="100"/>
      <w:ind w:left="446" w:firstLine="4"/>
    </w:pPr>
    <w:rPr>
      <w:rFonts w:eastAsia="MS Mincho" w:cs="Arial"/>
      <w:lang w:eastAsia="ja-JP"/>
    </w:rPr>
  </w:style>
  <w:style w:type="table" w:styleId="LightShading-Accent6">
    <w:name w:val="Light Shading Accent 6"/>
    <w:basedOn w:val="TableNormal"/>
    <w:uiPriority w:val="60"/>
    <w:rsid w:val="001E5189"/>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1">
    <w:name w:val="Light List Accent 1"/>
    <w:basedOn w:val="TableNormal"/>
    <w:uiPriority w:val="61"/>
    <w:rsid w:val="001E518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style-span">
    <w:name w:val="apple-style-span"/>
    <w:rsid w:val="00364320"/>
  </w:style>
  <w:style w:type="character" w:customStyle="1" w:styleId="apple-converted-space">
    <w:name w:val="apple-converted-space"/>
    <w:rsid w:val="00364320"/>
  </w:style>
  <w:style w:type="character" w:styleId="PlaceholderText">
    <w:name w:val="Placeholder Text"/>
    <w:basedOn w:val="DefaultParagraphFont"/>
    <w:uiPriority w:val="99"/>
    <w:semiHidden/>
    <w:rsid w:val="00440F22"/>
    <w:rPr>
      <w:color w:val="808080"/>
    </w:rPr>
  </w:style>
  <w:style w:type="table" w:styleId="LightShading-Accent1">
    <w:name w:val="Light Shading Accent 1"/>
    <w:basedOn w:val="TableNormal"/>
    <w:uiPriority w:val="60"/>
    <w:rsid w:val="00EC539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SpacingChar">
    <w:name w:val="No Spacing Char"/>
    <w:basedOn w:val="DefaultParagraphFont"/>
    <w:link w:val="NoSpacing"/>
    <w:uiPriority w:val="1"/>
    <w:rsid w:val="00D1092F"/>
    <w:rPr>
      <w:sz w:val="22"/>
      <w:szCs w:val="22"/>
    </w:rPr>
  </w:style>
  <w:style w:type="paragraph" w:customStyle="1" w:styleId="DecimalAligned">
    <w:name w:val="Decimal Aligned"/>
    <w:basedOn w:val="Normal"/>
    <w:uiPriority w:val="40"/>
    <w:qFormat/>
    <w:rsid w:val="00FD2FC6"/>
    <w:pPr>
      <w:tabs>
        <w:tab w:val="decimal" w:pos="360"/>
      </w:tabs>
    </w:pPr>
    <w:rPr>
      <w:rFonts w:asciiTheme="minorHAnsi" w:eastAsiaTheme="minorHAnsi" w:hAnsiTheme="minorHAnsi" w:cstheme="minorBidi"/>
      <w:lang w:eastAsia="ja-JP"/>
    </w:rPr>
  </w:style>
  <w:style w:type="character" w:styleId="SubtleEmphasis">
    <w:name w:val="Subtle Emphasis"/>
    <w:basedOn w:val="DefaultParagraphFont"/>
    <w:uiPriority w:val="19"/>
    <w:qFormat/>
    <w:rsid w:val="00FD2FC6"/>
    <w:rPr>
      <w:i/>
      <w:iCs/>
      <w:color w:val="7F7F7F" w:themeColor="text1" w:themeTint="80"/>
    </w:rPr>
  </w:style>
  <w:style w:type="table" w:styleId="TableGrid">
    <w:name w:val="Table Grid"/>
    <w:basedOn w:val="TableNormal"/>
    <w:uiPriority w:val="99"/>
    <w:rsid w:val="00FD2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351"/>
    <w:pPr>
      <w:spacing w:after="200" w:line="276" w:lineRule="auto"/>
    </w:pPr>
    <w:rPr>
      <w:sz w:val="22"/>
      <w:szCs w:val="22"/>
    </w:rPr>
  </w:style>
  <w:style w:type="paragraph" w:styleId="Heading1">
    <w:name w:val="heading 1"/>
    <w:basedOn w:val="Normal"/>
    <w:next w:val="Normal"/>
    <w:link w:val="Heading1Char"/>
    <w:uiPriority w:val="99"/>
    <w:qFormat/>
    <w:rsid w:val="00623D53"/>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unhideWhenUsed/>
    <w:qFormat/>
    <w:rsid w:val="00623D53"/>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unhideWhenUsed/>
    <w:qFormat/>
    <w:rsid w:val="002802E3"/>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2802E3"/>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iPriority w:val="9"/>
    <w:unhideWhenUsed/>
    <w:qFormat/>
    <w:rsid w:val="002802E3"/>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iPriority w:val="9"/>
    <w:unhideWhenUsed/>
    <w:qFormat/>
    <w:rsid w:val="002802E3"/>
    <w:pPr>
      <w:spacing w:before="240" w:after="60"/>
      <w:outlineLvl w:val="5"/>
    </w:pPr>
    <w:rPr>
      <w:rFonts w:eastAsia="Times New Roman"/>
      <w:b/>
      <w:bCs/>
      <w:lang w:val="x-none" w:eastAsia="x-none"/>
    </w:rPr>
  </w:style>
  <w:style w:type="paragraph" w:styleId="Heading7">
    <w:name w:val="heading 7"/>
    <w:basedOn w:val="Normal"/>
    <w:next w:val="Normal"/>
    <w:link w:val="Heading7Char"/>
    <w:uiPriority w:val="9"/>
    <w:unhideWhenUsed/>
    <w:qFormat/>
    <w:rsid w:val="006C1FFF"/>
    <w:pPr>
      <w:spacing w:before="240" w:after="60"/>
      <w:outlineLvl w:val="6"/>
    </w:pPr>
    <w:rPr>
      <w:rFonts w:eastAsia="Times New Roman"/>
      <w:sz w:val="24"/>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23D53"/>
    <w:rPr>
      <w:rFonts w:ascii="Cambria" w:eastAsia="Times New Roman" w:hAnsi="Cambria" w:cs="Times New Roman"/>
      <w:b/>
      <w:bCs/>
      <w:kern w:val="32"/>
      <w:sz w:val="32"/>
      <w:szCs w:val="32"/>
    </w:rPr>
  </w:style>
  <w:style w:type="character" w:customStyle="1" w:styleId="Heading2Char">
    <w:name w:val="Heading 2 Char"/>
    <w:link w:val="Heading2"/>
    <w:uiPriority w:val="9"/>
    <w:rsid w:val="00623D53"/>
    <w:rPr>
      <w:rFonts w:ascii="Cambria" w:eastAsia="Times New Roman" w:hAnsi="Cambria" w:cs="Times New Roman"/>
      <w:b/>
      <w:bCs/>
      <w:i/>
      <w:iCs/>
      <w:sz w:val="28"/>
      <w:szCs w:val="28"/>
    </w:rPr>
  </w:style>
  <w:style w:type="paragraph" w:styleId="ListParagraph">
    <w:name w:val="List Paragraph"/>
    <w:basedOn w:val="Normal"/>
    <w:uiPriority w:val="34"/>
    <w:qFormat/>
    <w:rsid w:val="00FD649E"/>
    <w:pPr>
      <w:ind w:left="720"/>
      <w:contextualSpacing/>
    </w:pPr>
  </w:style>
  <w:style w:type="paragraph" w:styleId="Header">
    <w:name w:val="header"/>
    <w:basedOn w:val="Normal"/>
    <w:link w:val="HeaderChar"/>
    <w:uiPriority w:val="99"/>
    <w:unhideWhenUsed/>
    <w:rsid w:val="003608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08C0"/>
  </w:style>
  <w:style w:type="paragraph" w:styleId="Footer">
    <w:name w:val="footer"/>
    <w:basedOn w:val="Normal"/>
    <w:link w:val="FooterChar"/>
    <w:uiPriority w:val="99"/>
    <w:unhideWhenUsed/>
    <w:rsid w:val="00360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8C0"/>
  </w:style>
  <w:style w:type="paragraph" w:styleId="BalloonText">
    <w:name w:val="Balloon Text"/>
    <w:basedOn w:val="Normal"/>
    <w:link w:val="BalloonTextChar"/>
    <w:uiPriority w:val="99"/>
    <w:semiHidden/>
    <w:unhideWhenUsed/>
    <w:rsid w:val="008965F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965F8"/>
    <w:rPr>
      <w:rFonts w:ascii="Tahoma" w:hAnsi="Tahoma" w:cs="Tahoma"/>
      <w:sz w:val="16"/>
      <w:szCs w:val="16"/>
    </w:rPr>
  </w:style>
  <w:style w:type="paragraph" w:styleId="FootnoteText">
    <w:name w:val="footnote text"/>
    <w:basedOn w:val="Normal"/>
    <w:link w:val="FootnoteTextChar"/>
    <w:uiPriority w:val="99"/>
    <w:rsid w:val="000B3C94"/>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0B3C94"/>
    <w:rPr>
      <w:rFonts w:ascii="Times New Roman" w:eastAsia="Times New Roman" w:hAnsi="Times New Roman" w:cs="Times New Roman"/>
      <w:sz w:val="20"/>
      <w:szCs w:val="20"/>
    </w:rPr>
  </w:style>
  <w:style w:type="character" w:styleId="FootnoteReference">
    <w:name w:val="footnote reference"/>
    <w:semiHidden/>
    <w:rsid w:val="000B3C94"/>
    <w:rPr>
      <w:rFonts w:cs="Times New Roman"/>
      <w:vertAlign w:val="superscript"/>
    </w:rPr>
  </w:style>
  <w:style w:type="character" w:styleId="Hyperlink">
    <w:name w:val="Hyperlink"/>
    <w:uiPriority w:val="99"/>
    <w:unhideWhenUsed/>
    <w:rsid w:val="0022755F"/>
    <w:rPr>
      <w:color w:val="0000FF"/>
      <w:u w:val="single"/>
      <w:shd w:val="clear" w:color="auto" w:fill="auto"/>
    </w:rPr>
  </w:style>
  <w:style w:type="paragraph" w:styleId="NoSpacing">
    <w:name w:val="No Spacing"/>
    <w:link w:val="NoSpacingChar"/>
    <w:uiPriority w:val="1"/>
    <w:qFormat/>
    <w:rsid w:val="00623D53"/>
    <w:rPr>
      <w:sz w:val="22"/>
      <w:szCs w:val="22"/>
    </w:rPr>
  </w:style>
  <w:style w:type="character" w:styleId="Strong">
    <w:name w:val="Strong"/>
    <w:uiPriority w:val="99"/>
    <w:qFormat/>
    <w:rsid w:val="00623D53"/>
    <w:rPr>
      <w:b/>
      <w:bCs/>
    </w:rPr>
  </w:style>
  <w:style w:type="paragraph" w:styleId="Quote">
    <w:name w:val="Quote"/>
    <w:basedOn w:val="Normal"/>
    <w:next w:val="Normal"/>
    <w:link w:val="QuoteChar"/>
    <w:uiPriority w:val="29"/>
    <w:qFormat/>
    <w:rsid w:val="00623D53"/>
    <w:rPr>
      <w:i/>
      <w:iCs/>
      <w:color w:val="000000"/>
      <w:lang w:val="x-none" w:eastAsia="x-none"/>
    </w:rPr>
  </w:style>
  <w:style w:type="character" w:customStyle="1" w:styleId="QuoteChar">
    <w:name w:val="Quote Char"/>
    <w:link w:val="Quote"/>
    <w:uiPriority w:val="29"/>
    <w:rsid w:val="00623D53"/>
    <w:rPr>
      <w:i/>
      <w:iCs/>
      <w:color w:val="000000"/>
      <w:sz w:val="22"/>
      <w:szCs w:val="22"/>
    </w:rPr>
  </w:style>
  <w:style w:type="paragraph" w:styleId="NormalWeb">
    <w:name w:val="Normal (Web)"/>
    <w:basedOn w:val="Normal"/>
    <w:uiPriority w:val="99"/>
    <w:rsid w:val="00C5102C"/>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rsid w:val="00C5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C5102C"/>
    <w:rPr>
      <w:rFonts w:ascii="Courier New" w:eastAsia="Times New Roman" w:hAnsi="Courier New" w:cs="Courier New"/>
    </w:rPr>
  </w:style>
  <w:style w:type="character" w:styleId="CommentReference">
    <w:name w:val="annotation reference"/>
    <w:uiPriority w:val="99"/>
    <w:semiHidden/>
    <w:rsid w:val="00C5102C"/>
    <w:rPr>
      <w:rFonts w:cs="Times New Roman"/>
      <w:sz w:val="16"/>
      <w:szCs w:val="16"/>
    </w:rPr>
  </w:style>
  <w:style w:type="paragraph" w:styleId="CommentText">
    <w:name w:val="annotation text"/>
    <w:basedOn w:val="Normal"/>
    <w:link w:val="CommentTextChar"/>
    <w:uiPriority w:val="99"/>
    <w:semiHidden/>
    <w:rsid w:val="00C5102C"/>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uiPriority w:val="99"/>
    <w:semiHidden/>
    <w:rsid w:val="00C5102C"/>
    <w:rPr>
      <w:rFonts w:ascii="Times New Roman" w:eastAsia="Times New Roman" w:hAnsi="Times New Roman"/>
    </w:rPr>
  </w:style>
  <w:style w:type="character" w:customStyle="1" w:styleId="CommentSubjectChar">
    <w:name w:val="Comment Subject Char"/>
    <w:link w:val="CommentSubject"/>
    <w:uiPriority w:val="99"/>
    <w:semiHidden/>
    <w:rsid w:val="00C5102C"/>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rsid w:val="00C5102C"/>
    <w:rPr>
      <w:b/>
      <w:bCs/>
    </w:rPr>
  </w:style>
  <w:style w:type="character" w:customStyle="1" w:styleId="b1">
    <w:name w:val="b1"/>
    <w:uiPriority w:val="99"/>
    <w:rsid w:val="00C5102C"/>
    <w:rPr>
      <w:rFonts w:cs="Times New Roman"/>
      <w:b/>
      <w:bCs/>
    </w:rPr>
  </w:style>
  <w:style w:type="character" w:customStyle="1" w:styleId="EndnoteTextChar">
    <w:name w:val="Endnote Text Char"/>
    <w:link w:val="EndnoteText"/>
    <w:uiPriority w:val="99"/>
    <w:semiHidden/>
    <w:rsid w:val="00C5102C"/>
    <w:rPr>
      <w:rFonts w:ascii="Times New Roman" w:eastAsia="Times New Roman" w:hAnsi="Times New Roman"/>
    </w:rPr>
  </w:style>
  <w:style w:type="paragraph" w:styleId="EndnoteText">
    <w:name w:val="endnote text"/>
    <w:basedOn w:val="Normal"/>
    <w:link w:val="EndnoteTextChar"/>
    <w:uiPriority w:val="99"/>
    <w:semiHidden/>
    <w:rsid w:val="00C5102C"/>
    <w:pPr>
      <w:spacing w:after="0" w:line="240" w:lineRule="auto"/>
    </w:pPr>
    <w:rPr>
      <w:rFonts w:ascii="Times New Roman" w:eastAsia="Times New Roman" w:hAnsi="Times New Roman"/>
      <w:sz w:val="20"/>
      <w:szCs w:val="20"/>
      <w:lang w:val="x-none" w:eastAsia="x-none"/>
    </w:rPr>
  </w:style>
  <w:style w:type="paragraph" w:customStyle="1" w:styleId="Default">
    <w:name w:val="Default"/>
    <w:rsid w:val="00C5102C"/>
    <w:pPr>
      <w:autoSpaceDE w:val="0"/>
      <w:autoSpaceDN w:val="0"/>
      <w:adjustRightInd w:val="0"/>
    </w:pPr>
    <w:rPr>
      <w:rFonts w:ascii="Arial" w:eastAsia="Times New Roman" w:hAnsi="Arial" w:cs="Arial"/>
      <w:color w:val="000000"/>
      <w:sz w:val="24"/>
      <w:szCs w:val="24"/>
    </w:rPr>
  </w:style>
  <w:style w:type="character" w:styleId="HTMLTypewriter">
    <w:name w:val="HTML Typewriter"/>
    <w:uiPriority w:val="99"/>
    <w:rsid w:val="00C5102C"/>
    <w:rPr>
      <w:rFonts w:ascii="Courier New" w:hAnsi="Courier New" w:cs="Courier New"/>
      <w:sz w:val="20"/>
      <w:szCs w:val="20"/>
    </w:rPr>
  </w:style>
  <w:style w:type="character" w:customStyle="1" w:styleId="highlightedsearchterm">
    <w:name w:val="highlightedsearchterm"/>
    <w:uiPriority w:val="99"/>
    <w:rsid w:val="00C5102C"/>
    <w:rPr>
      <w:rFonts w:cs="Times New Roman"/>
    </w:rPr>
  </w:style>
  <w:style w:type="character" w:styleId="PageNumber">
    <w:name w:val="page number"/>
    <w:uiPriority w:val="99"/>
    <w:rsid w:val="00C5102C"/>
    <w:rPr>
      <w:rFonts w:cs="Times New Roman"/>
    </w:rPr>
  </w:style>
  <w:style w:type="character" w:customStyle="1" w:styleId="ft1">
    <w:name w:val="ft1"/>
    <w:uiPriority w:val="99"/>
    <w:rsid w:val="00C5102C"/>
    <w:rPr>
      <w:rFonts w:cs="Times New Roman"/>
    </w:rPr>
  </w:style>
  <w:style w:type="character" w:customStyle="1" w:styleId="ft6">
    <w:name w:val="ft6"/>
    <w:uiPriority w:val="99"/>
    <w:rsid w:val="00C5102C"/>
    <w:rPr>
      <w:rFonts w:cs="Times New Roman"/>
    </w:rPr>
  </w:style>
  <w:style w:type="character" w:customStyle="1" w:styleId="addmd1">
    <w:name w:val="addmd1"/>
    <w:uiPriority w:val="99"/>
    <w:rsid w:val="00C5102C"/>
    <w:rPr>
      <w:rFonts w:ascii="Arial" w:hAnsi="Arial" w:cs="Arial"/>
      <w:sz w:val="20"/>
      <w:szCs w:val="20"/>
    </w:rPr>
  </w:style>
  <w:style w:type="character" w:styleId="FollowedHyperlink">
    <w:name w:val="FollowedHyperlink"/>
    <w:uiPriority w:val="99"/>
    <w:rsid w:val="00C5102C"/>
    <w:rPr>
      <w:rFonts w:cs="Times New Roman"/>
      <w:color w:val="800080"/>
      <w:u w:val="single"/>
    </w:rPr>
  </w:style>
  <w:style w:type="paragraph" w:customStyle="1" w:styleId="DefaultParagraphFontParaCharCharCharCharChar">
    <w:name w:val="Default Paragraph Font Para Char Char Char Char Char"/>
    <w:basedOn w:val="Normal"/>
    <w:next w:val="Normal"/>
    <w:autoRedefine/>
    <w:uiPriority w:val="99"/>
    <w:rsid w:val="00C5102C"/>
    <w:pPr>
      <w:spacing w:after="240" w:line="240" w:lineRule="auto"/>
      <w:ind w:left="187" w:right="-540"/>
    </w:pPr>
    <w:rPr>
      <w:rFonts w:ascii="Arial" w:eastAsia="MS Mincho" w:hAnsi="Arial"/>
      <w:sz w:val="24"/>
      <w:szCs w:val="24"/>
      <w:lang w:eastAsia="ja-JP"/>
    </w:rPr>
  </w:style>
  <w:style w:type="paragraph" w:styleId="BodyText2">
    <w:name w:val="Body Text 2"/>
    <w:basedOn w:val="Normal"/>
    <w:link w:val="BodyText2Char"/>
    <w:uiPriority w:val="99"/>
    <w:rsid w:val="00C5102C"/>
    <w:pPr>
      <w:spacing w:after="0" w:line="240" w:lineRule="auto"/>
    </w:pPr>
    <w:rPr>
      <w:rFonts w:ascii="Times New Roman" w:eastAsia="Times New Roman" w:hAnsi="Times New Roman"/>
      <w:szCs w:val="20"/>
      <w:lang w:val="en-GB" w:eastAsia="x-none"/>
    </w:rPr>
  </w:style>
  <w:style w:type="character" w:customStyle="1" w:styleId="BodyText2Char">
    <w:name w:val="Body Text 2 Char"/>
    <w:link w:val="BodyText2"/>
    <w:uiPriority w:val="99"/>
    <w:rsid w:val="00C5102C"/>
    <w:rPr>
      <w:rFonts w:ascii="Times New Roman" w:eastAsia="Times New Roman" w:hAnsi="Times New Roman"/>
      <w:sz w:val="22"/>
      <w:lang w:val="en-GB"/>
    </w:rPr>
  </w:style>
  <w:style w:type="character" w:customStyle="1" w:styleId="A11">
    <w:name w:val="A1+1"/>
    <w:uiPriority w:val="99"/>
    <w:rsid w:val="00C5102C"/>
    <w:rPr>
      <w:color w:val="000000"/>
      <w:sz w:val="20"/>
    </w:rPr>
  </w:style>
  <w:style w:type="character" w:customStyle="1" w:styleId="DocumentMapChar">
    <w:name w:val="Document Map Char"/>
    <w:link w:val="DocumentMap"/>
    <w:uiPriority w:val="99"/>
    <w:semiHidden/>
    <w:rsid w:val="00C5102C"/>
    <w:rPr>
      <w:rFonts w:ascii="Tahoma" w:eastAsia="Times New Roman" w:hAnsi="Tahoma" w:cs="Tahoma"/>
      <w:shd w:val="clear" w:color="auto" w:fill="000080"/>
    </w:rPr>
  </w:style>
  <w:style w:type="paragraph" w:styleId="DocumentMap">
    <w:name w:val="Document Map"/>
    <w:basedOn w:val="Normal"/>
    <w:link w:val="DocumentMapChar"/>
    <w:uiPriority w:val="99"/>
    <w:semiHidden/>
    <w:rsid w:val="00C5102C"/>
    <w:pPr>
      <w:shd w:val="clear" w:color="auto" w:fill="000080"/>
      <w:spacing w:after="0" w:line="240" w:lineRule="auto"/>
    </w:pPr>
    <w:rPr>
      <w:rFonts w:ascii="Tahoma" w:eastAsia="Times New Roman" w:hAnsi="Tahoma"/>
      <w:sz w:val="20"/>
      <w:szCs w:val="20"/>
      <w:lang w:val="x-none" w:eastAsia="x-none"/>
    </w:rPr>
  </w:style>
  <w:style w:type="character" w:styleId="Emphasis">
    <w:name w:val="Emphasis"/>
    <w:uiPriority w:val="20"/>
    <w:qFormat/>
    <w:rsid w:val="00F60079"/>
    <w:rPr>
      <w:i/>
      <w:iCs/>
    </w:rPr>
  </w:style>
  <w:style w:type="paragraph" w:styleId="TOCHeading">
    <w:name w:val="TOC Heading"/>
    <w:basedOn w:val="Heading1"/>
    <w:next w:val="Normal"/>
    <w:uiPriority w:val="39"/>
    <w:unhideWhenUsed/>
    <w:qFormat/>
    <w:rsid w:val="0019416B"/>
    <w:pPr>
      <w:keepLines/>
      <w:spacing w:before="480" w:after="0"/>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qFormat/>
    <w:rsid w:val="009C3C00"/>
    <w:pPr>
      <w:tabs>
        <w:tab w:val="right" w:leader="dot" w:pos="10080"/>
      </w:tabs>
      <w:ind w:firstLine="450"/>
    </w:pPr>
    <w:rPr>
      <w:bCs/>
    </w:rPr>
  </w:style>
  <w:style w:type="character" w:customStyle="1" w:styleId="Heading3Char">
    <w:name w:val="Heading 3 Char"/>
    <w:link w:val="Heading3"/>
    <w:uiPriority w:val="9"/>
    <w:rsid w:val="002802E3"/>
    <w:rPr>
      <w:rFonts w:ascii="Cambria" w:eastAsia="Times New Roman" w:hAnsi="Cambria" w:cs="Times New Roman"/>
      <w:b/>
      <w:bCs/>
      <w:sz w:val="26"/>
      <w:szCs w:val="26"/>
    </w:rPr>
  </w:style>
  <w:style w:type="character" w:customStyle="1" w:styleId="Heading4Char">
    <w:name w:val="Heading 4 Char"/>
    <w:link w:val="Heading4"/>
    <w:uiPriority w:val="9"/>
    <w:rsid w:val="002802E3"/>
    <w:rPr>
      <w:rFonts w:ascii="Calibri" w:eastAsia="Times New Roman" w:hAnsi="Calibri" w:cs="Times New Roman"/>
      <w:b/>
      <w:bCs/>
      <w:sz w:val="28"/>
      <w:szCs w:val="28"/>
    </w:rPr>
  </w:style>
  <w:style w:type="character" w:customStyle="1" w:styleId="Heading5Char">
    <w:name w:val="Heading 5 Char"/>
    <w:link w:val="Heading5"/>
    <w:uiPriority w:val="9"/>
    <w:rsid w:val="002802E3"/>
    <w:rPr>
      <w:rFonts w:ascii="Calibri" w:eastAsia="Times New Roman" w:hAnsi="Calibri" w:cs="Times New Roman"/>
      <w:b/>
      <w:bCs/>
      <w:i/>
      <w:iCs/>
      <w:sz w:val="26"/>
      <w:szCs w:val="26"/>
    </w:rPr>
  </w:style>
  <w:style w:type="character" w:customStyle="1" w:styleId="Heading6Char">
    <w:name w:val="Heading 6 Char"/>
    <w:link w:val="Heading6"/>
    <w:uiPriority w:val="9"/>
    <w:rsid w:val="002802E3"/>
    <w:rPr>
      <w:rFonts w:ascii="Calibri" w:eastAsia="Times New Roman" w:hAnsi="Calibri" w:cs="Times New Roman"/>
      <w:b/>
      <w:bCs/>
      <w:sz w:val="22"/>
      <w:szCs w:val="22"/>
    </w:rPr>
  </w:style>
  <w:style w:type="paragraph" w:styleId="Caption">
    <w:name w:val="caption"/>
    <w:basedOn w:val="Normal"/>
    <w:next w:val="Normal"/>
    <w:uiPriority w:val="35"/>
    <w:unhideWhenUsed/>
    <w:qFormat/>
    <w:rsid w:val="00803BF4"/>
    <w:rPr>
      <w:b/>
      <w:bCs/>
      <w:sz w:val="20"/>
      <w:szCs w:val="20"/>
    </w:rPr>
  </w:style>
  <w:style w:type="paragraph" w:styleId="Title">
    <w:name w:val="Title"/>
    <w:basedOn w:val="Normal"/>
    <w:next w:val="Normal"/>
    <w:link w:val="TitleChar"/>
    <w:uiPriority w:val="10"/>
    <w:qFormat/>
    <w:rsid w:val="00533CE2"/>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uiPriority w:val="10"/>
    <w:rsid w:val="00533CE2"/>
    <w:rPr>
      <w:rFonts w:ascii="Cambria" w:eastAsia="Times New Roman" w:hAnsi="Cambria" w:cs="Times New Roman"/>
      <w:b/>
      <w:bCs/>
      <w:kern w:val="28"/>
      <w:sz w:val="32"/>
      <w:szCs w:val="32"/>
    </w:rPr>
  </w:style>
  <w:style w:type="character" w:customStyle="1" w:styleId="Heading7Char">
    <w:name w:val="Heading 7 Char"/>
    <w:link w:val="Heading7"/>
    <w:uiPriority w:val="9"/>
    <w:rsid w:val="006C1FFF"/>
    <w:rPr>
      <w:rFonts w:ascii="Calibri" w:eastAsia="Times New Roman" w:hAnsi="Calibri" w:cs="Times New Roman"/>
      <w:sz w:val="24"/>
      <w:szCs w:val="24"/>
    </w:rPr>
  </w:style>
  <w:style w:type="paragraph" w:styleId="Subtitle">
    <w:name w:val="Subtitle"/>
    <w:basedOn w:val="Normal"/>
    <w:next w:val="Normal"/>
    <w:link w:val="SubtitleChar"/>
    <w:uiPriority w:val="11"/>
    <w:qFormat/>
    <w:rsid w:val="006C1FFF"/>
    <w:pPr>
      <w:spacing w:after="60"/>
      <w:jc w:val="center"/>
      <w:outlineLvl w:val="1"/>
    </w:pPr>
    <w:rPr>
      <w:rFonts w:ascii="Cambria" w:eastAsia="Times New Roman" w:hAnsi="Cambria"/>
      <w:sz w:val="24"/>
      <w:szCs w:val="24"/>
      <w:lang w:val="x-none" w:eastAsia="x-none"/>
    </w:rPr>
  </w:style>
  <w:style w:type="character" w:customStyle="1" w:styleId="SubtitleChar">
    <w:name w:val="Subtitle Char"/>
    <w:link w:val="Subtitle"/>
    <w:uiPriority w:val="11"/>
    <w:rsid w:val="006C1FFF"/>
    <w:rPr>
      <w:rFonts w:ascii="Cambria" w:eastAsia="Times New Roman" w:hAnsi="Cambria" w:cs="Times New Roman"/>
      <w:sz w:val="24"/>
      <w:szCs w:val="24"/>
    </w:rPr>
  </w:style>
  <w:style w:type="paragraph" w:styleId="TOC2">
    <w:name w:val="toc 2"/>
    <w:basedOn w:val="Normal"/>
    <w:next w:val="Normal"/>
    <w:autoRedefine/>
    <w:uiPriority w:val="39"/>
    <w:unhideWhenUsed/>
    <w:qFormat/>
    <w:rsid w:val="00591524"/>
    <w:pPr>
      <w:ind w:left="220"/>
    </w:pPr>
  </w:style>
  <w:style w:type="character" w:styleId="EndnoteReference">
    <w:name w:val="endnote reference"/>
    <w:semiHidden/>
    <w:rsid w:val="00CB49B1"/>
    <w:rPr>
      <w:vertAlign w:val="superscript"/>
    </w:rPr>
  </w:style>
  <w:style w:type="paragraph" w:styleId="TOC3">
    <w:name w:val="toc 3"/>
    <w:basedOn w:val="Normal"/>
    <w:next w:val="Normal"/>
    <w:autoRedefine/>
    <w:uiPriority w:val="39"/>
    <w:unhideWhenUsed/>
    <w:qFormat/>
    <w:rsid w:val="00022655"/>
    <w:pPr>
      <w:tabs>
        <w:tab w:val="right" w:leader="dot" w:pos="10080"/>
      </w:tabs>
      <w:spacing w:after="100"/>
      <w:ind w:left="446" w:firstLine="4"/>
    </w:pPr>
    <w:rPr>
      <w:rFonts w:eastAsia="MS Mincho" w:cs="Arial"/>
      <w:lang w:eastAsia="ja-JP"/>
    </w:rPr>
  </w:style>
  <w:style w:type="table" w:styleId="LightShading-Accent6">
    <w:name w:val="Light Shading Accent 6"/>
    <w:basedOn w:val="TableNormal"/>
    <w:uiPriority w:val="60"/>
    <w:rsid w:val="001E5189"/>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1">
    <w:name w:val="Light List Accent 1"/>
    <w:basedOn w:val="TableNormal"/>
    <w:uiPriority w:val="61"/>
    <w:rsid w:val="001E518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style-span">
    <w:name w:val="apple-style-span"/>
    <w:rsid w:val="00364320"/>
  </w:style>
  <w:style w:type="character" w:customStyle="1" w:styleId="apple-converted-space">
    <w:name w:val="apple-converted-space"/>
    <w:rsid w:val="00364320"/>
  </w:style>
  <w:style w:type="character" w:styleId="PlaceholderText">
    <w:name w:val="Placeholder Text"/>
    <w:basedOn w:val="DefaultParagraphFont"/>
    <w:uiPriority w:val="99"/>
    <w:semiHidden/>
    <w:rsid w:val="00440F22"/>
    <w:rPr>
      <w:color w:val="808080"/>
    </w:rPr>
  </w:style>
  <w:style w:type="table" w:styleId="LightShading-Accent1">
    <w:name w:val="Light Shading Accent 1"/>
    <w:basedOn w:val="TableNormal"/>
    <w:uiPriority w:val="60"/>
    <w:rsid w:val="00EC539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SpacingChar">
    <w:name w:val="No Spacing Char"/>
    <w:basedOn w:val="DefaultParagraphFont"/>
    <w:link w:val="NoSpacing"/>
    <w:uiPriority w:val="1"/>
    <w:rsid w:val="00D1092F"/>
    <w:rPr>
      <w:sz w:val="22"/>
      <w:szCs w:val="22"/>
    </w:rPr>
  </w:style>
  <w:style w:type="paragraph" w:customStyle="1" w:styleId="DecimalAligned">
    <w:name w:val="Decimal Aligned"/>
    <w:basedOn w:val="Normal"/>
    <w:uiPriority w:val="40"/>
    <w:qFormat/>
    <w:rsid w:val="00FD2FC6"/>
    <w:pPr>
      <w:tabs>
        <w:tab w:val="decimal" w:pos="360"/>
      </w:tabs>
    </w:pPr>
    <w:rPr>
      <w:rFonts w:asciiTheme="minorHAnsi" w:eastAsiaTheme="minorHAnsi" w:hAnsiTheme="minorHAnsi" w:cstheme="minorBidi"/>
      <w:lang w:eastAsia="ja-JP"/>
    </w:rPr>
  </w:style>
  <w:style w:type="character" w:styleId="SubtleEmphasis">
    <w:name w:val="Subtle Emphasis"/>
    <w:basedOn w:val="DefaultParagraphFont"/>
    <w:uiPriority w:val="19"/>
    <w:qFormat/>
    <w:rsid w:val="00FD2FC6"/>
    <w:rPr>
      <w:i/>
      <w:iCs/>
      <w:color w:val="7F7F7F" w:themeColor="text1" w:themeTint="80"/>
    </w:rPr>
  </w:style>
  <w:style w:type="table" w:styleId="TableGrid">
    <w:name w:val="Table Grid"/>
    <w:basedOn w:val="TableNormal"/>
    <w:uiPriority w:val="99"/>
    <w:rsid w:val="00FD2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3348">
      <w:bodyDiv w:val="1"/>
      <w:marLeft w:val="0"/>
      <w:marRight w:val="0"/>
      <w:marTop w:val="0"/>
      <w:marBottom w:val="0"/>
      <w:divBdr>
        <w:top w:val="none" w:sz="0" w:space="0" w:color="auto"/>
        <w:left w:val="none" w:sz="0" w:space="0" w:color="auto"/>
        <w:bottom w:val="none" w:sz="0" w:space="0" w:color="auto"/>
        <w:right w:val="none" w:sz="0" w:space="0" w:color="auto"/>
      </w:divBdr>
    </w:div>
    <w:div w:id="50354116">
      <w:bodyDiv w:val="1"/>
      <w:marLeft w:val="0"/>
      <w:marRight w:val="0"/>
      <w:marTop w:val="0"/>
      <w:marBottom w:val="0"/>
      <w:divBdr>
        <w:top w:val="none" w:sz="0" w:space="0" w:color="auto"/>
        <w:left w:val="none" w:sz="0" w:space="0" w:color="auto"/>
        <w:bottom w:val="none" w:sz="0" w:space="0" w:color="auto"/>
        <w:right w:val="none" w:sz="0" w:space="0" w:color="auto"/>
      </w:divBdr>
    </w:div>
    <w:div w:id="55008736">
      <w:bodyDiv w:val="1"/>
      <w:marLeft w:val="0"/>
      <w:marRight w:val="0"/>
      <w:marTop w:val="0"/>
      <w:marBottom w:val="0"/>
      <w:divBdr>
        <w:top w:val="none" w:sz="0" w:space="0" w:color="auto"/>
        <w:left w:val="none" w:sz="0" w:space="0" w:color="auto"/>
        <w:bottom w:val="none" w:sz="0" w:space="0" w:color="auto"/>
        <w:right w:val="none" w:sz="0" w:space="0" w:color="auto"/>
      </w:divBdr>
    </w:div>
    <w:div w:id="100076298">
      <w:bodyDiv w:val="1"/>
      <w:marLeft w:val="0"/>
      <w:marRight w:val="0"/>
      <w:marTop w:val="0"/>
      <w:marBottom w:val="0"/>
      <w:divBdr>
        <w:top w:val="none" w:sz="0" w:space="0" w:color="auto"/>
        <w:left w:val="none" w:sz="0" w:space="0" w:color="auto"/>
        <w:bottom w:val="none" w:sz="0" w:space="0" w:color="auto"/>
        <w:right w:val="none" w:sz="0" w:space="0" w:color="auto"/>
      </w:divBdr>
    </w:div>
    <w:div w:id="224874085">
      <w:bodyDiv w:val="1"/>
      <w:marLeft w:val="0"/>
      <w:marRight w:val="0"/>
      <w:marTop w:val="0"/>
      <w:marBottom w:val="0"/>
      <w:divBdr>
        <w:top w:val="none" w:sz="0" w:space="0" w:color="auto"/>
        <w:left w:val="none" w:sz="0" w:space="0" w:color="auto"/>
        <w:bottom w:val="none" w:sz="0" w:space="0" w:color="auto"/>
        <w:right w:val="none" w:sz="0" w:space="0" w:color="auto"/>
      </w:divBdr>
    </w:div>
    <w:div w:id="340931738">
      <w:bodyDiv w:val="1"/>
      <w:marLeft w:val="0"/>
      <w:marRight w:val="0"/>
      <w:marTop w:val="0"/>
      <w:marBottom w:val="0"/>
      <w:divBdr>
        <w:top w:val="none" w:sz="0" w:space="0" w:color="auto"/>
        <w:left w:val="none" w:sz="0" w:space="0" w:color="auto"/>
        <w:bottom w:val="none" w:sz="0" w:space="0" w:color="auto"/>
        <w:right w:val="none" w:sz="0" w:space="0" w:color="auto"/>
      </w:divBdr>
    </w:div>
    <w:div w:id="489906579">
      <w:bodyDiv w:val="1"/>
      <w:marLeft w:val="0"/>
      <w:marRight w:val="0"/>
      <w:marTop w:val="0"/>
      <w:marBottom w:val="0"/>
      <w:divBdr>
        <w:top w:val="none" w:sz="0" w:space="0" w:color="auto"/>
        <w:left w:val="none" w:sz="0" w:space="0" w:color="auto"/>
        <w:bottom w:val="none" w:sz="0" w:space="0" w:color="auto"/>
        <w:right w:val="none" w:sz="0" w:space="0" w:color="auto"/>
      </w:divBdr>
      <w:divsChild>
        <w:div w:id="1579364893">
          <w:marLeft w:val="0"/>
          <w:marRight w:val="0"/>
          <w:marTop w:val="0"/>
          <w:marBottom w:val="360"/>
          <w:divBdr>
            <w:top w:val="single" w:sz="18" w:space="0" w:color="FF3300"/>
            <w:left w:val="none" w:sz="0" w:space="0" w:color="auto"/>
            <w:bottom w:val="none" w:sz="0" w:space="0" w:color="auto"/>
            <w:right w:val="none" w:sz="0" w:space="0" w:color="auto"/>
          </w:divBdr>
          <w:divsChild>
            <w:div w:id="1479685750">
              <w:marLeft w:val="0"/>
              <w:marRight w:val="0"/>
              <w:marTop w:val="0"/>
              <w:marBottom w:val="0"/>
              <w:divBdr>
                <w:top w:val="none" w:sz="0" w:space="0" w:color="auto"/>
                <w:left w:val="none" w:sz="0" w:space="0" w:color="auto"/>
                <w:bottom w:val="none" w:sz="0" w:space="0" w:color="auto"/>
                <w:right w:val="none" w:sz="0" w:space="0" w:color="auto"/>
              </w:divBdr>
              <w:divsChild>
                <w:div w:id="725639040">
                  <w:marLeft w:val="0"/>
                  <w:marRight w:val="-5040"/>
                  <w:marTop w:val="0"/>
                  <w:marBottom w:val="0"/>
                  <w:divBdr>
                    <w:top w:val="none" w:sz="0" w:space="0" w:color="auto"/>
                    <w:left w:val="none" w:sz="0" w:space="0" w:color="auto"/>
                    <w:bottom w:val="none" w:sz="0" w:space="0" w:color="auto"/>
                    <w:right w:val="none" w:sz="0" w:space="0" w:color="auto"/>
                  </w:divBdr>
                  <w:divsChild>
                    <w:div w:id="35326473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645209222">
      <w:bodyDiv w:val="1"/>
      <w:marLeft w:val="0"/>
      <w:marRight w:val="0"/>
      <w:marTop w:val="0"/>
      <w:marBottom w:val="0"/>
      <w:divBdr>
        <w:top w:val="none" w:sz="0" w:space="0" w:color="auto"/>
        <w:left w:val="none" w:sz="0" w:space="0" w:color="auto"/>
        <w:bottom w:val="none" w:sz="0" w:space="0" w:color="auto"/>
        <w:right w:val="none" w:sz="0" w:space="0" w:color="auto"/>
      </w:divBdr>
    </w:div>
    <w:div w:id="672683685">
      <w:bodyDiv w:val="1"/>
      <w:marLeft w:val="0"/>
      <w:marRight w:val="0"/>
      <w:marTop w:val="0"/>
      <w:marBottom w:val="0"/>
      <w:divBdr>
        <w:top w:val="none" w:sz="0" w:space="0" w:color="auto"/>
        <w:left w:val="none" w:sz="0" w:space="0" w:color="auto"/>
        <w:bottom w:val="none" w:sz="0" w:space="0" w:color="auto"/>
        <w:right w:val="none" w:sz="0" w:space="0" w:color="auto"/>
      </w:divBdr>
    </w:div>
    <w:div w:id="856775228">
      <w:bodyDiv w:val="1"/>
      <w:marLeft w:val="0"/>
      <w:marRight w:val="0"/>
      <w:marTop w:val="0"/>
      <w:marBottom w:val="0"/>
      <w:divBdr>
        <w:top w:val="none" w:sz="0" w:space="0" w:color="auto"/>
        <w:left w:val="none" w:sz="0" w:space="0" w:color="auto"/>
        <w:bottom w:val="none" w:sz="0" w:space="0" w:color="auto"/>
        <w:right w:val="none" w:sz="0" w:space="0" w:color="auto"/>
      </w:divBdr>
    </w:div>
    <w:div w:id="1098411097">
      <w:bodyDiv w:val="1"/>
      <w:marLeft w:val="0"/>
      <w:marRight w:val="0"/>
      <w:marTop w:val="0"/>
      <w:marBottom w:val="0"/>
      <w:divBdr>
        <w:top w:val="none" w:sz="0" w:space="0" w:color="auto"/>
        <w:left w:val="none" w:sz="0" w:space="0" w:color="auto"/>
        <w:bottom w:val="none" w:sz="0" w:space="0" w:color="auto"/>
        <w:right w:val="none" w:sz="0" w:space="0" w:color="auto"/>
      </w:divBdr>
    </w:div>
    <w:div w:id="1107581178">
      <w:bodyDiv w:val="1"/>
      <w:marLeft w:val="0"/>
      <w:marRight w:val="0"/>
      <w:marTop w:val="0"/>
      <w:marBottom w:val="0"/>
      <w:divBdr>
        <w:top w:val="none" w:sz="0" w:space="0" w:color="auto"/>
        <w:left w:val="none" w:sz="0" w:space="0" w:color="auto"/>
        <w:bottom w:val="none" w:sz="0" w:space="0" w:color="auto"/>
        <w:right w:val="none" w:sz="0" w:space="0" w:color="auto"/>
      </w:divBdr>
      <w:divsChild>
        <w:div w:id="1374577529">
          <w:marLeft w:val="0"/>
          <w:marRight w:val="0"/>
          <w:marTop w:val="0"/>
          <w:marBottom w:val="0"/>
          <w:divBdr>
            <w:top w:val="none" w:sz="0" w:space="0" w:color="auto"/>
            <w:left w:val="none" w:sz="0" w:space="0" w:color="auto"/>
            <w:bottom w:val="none" w:sz="0" w:space="0" w:color="auto"/>
            <w:right w:val="none" w:sz="0" w:space="0" w:color="auto"/>
          </w:divBdr>
          <w:divsChild>
            <w:div w:id="7910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9059">
      <w:bodyDiv w:val="1"/>
      <w:marLeft w:val="0"/>
      <w:marRight w:val="0"/>
      <w:marTop w:val="0"/>
      <w:marBottom w:val="0"/>
      <w:divBdr>
        <w:top w:val="none" w:sz="0" w:space="0" w:color="auto"/>
        <w:left w:val="none" w:sz="0" w:space="0" w:color="auto"/>
        <w:bottom w:val="none" w:sz="0" w:space="0" w:color="auto"/>
        <w:right w:val="none" w:sz="0" w:space="0" w:color="auto"/>
      </w:divBdr>
    </w:div>
    <w:div w:id="1321348681">
      <w:bodyDiv w:val="1"/>
      <w:marLeft w:val="0"/>
      <w:marRight w:val="0"/>
      <w:marTop w:val="0"/>
      <w:marBottom w:val="0"/>
      <w:divBdr>
        <w:top w:val="none" w:sz="0" w:space="0" w:color="auto"/>
        <w:left w:val="none" w:sz="0" w:space="0" w:color="auto"/>
        <w:bottom w:val="none" w:sz="0" w:space="0" w:color="auto"/>
        <w:right w:val="none" w:sz="0" w:space="0" w:color="auto"/>
      </w:divBdr>
    </w:div>
    <w:div w:id="1399595838">
      <w:bodyDiv w:val="1"/>
      <w:marLeft w:val="0"/>
      <w:marRight w:val="0"/>
      <w:marTop w:val="0"/>
      <w:marBottom w:val="0"/>
      <w:divBdr>
        <w:top w:val="none" w:sz="0" w:space="0" w:color="auto"/>
        <w:left w:val="none" w:sz="0" w:space="0" w:color="auto"/>
        <w:bottom w:val="none" w:sz="0" w:space="0" w:color="auto"/>
        <w:right w:val="none" w:sz="0" w:space="0" w:color="auto"/>
      </w:divBdr>
    </w:div>
    <w:div w:id="1423379166">
      <w:bodyDiv w:val="1"/>
      <w:marLeft w:val="0"/>
      <w:marRight w:val="0"/>
      <w:marTop w:val="0"/>
      <w:marBottom w:val="0"/>
      <w:divBdr>
        <w:top w:val="none" w:sz="0" w:space="0" w:color="auto"/>
        <w:left w:val="none" w:sz="0" w:space="0" w:color="auto"/>
        <w:bottom w:val="none" w:sz="0" w:space="0" w:color="auto"/>
        <w:right w:val="none" w:sz="0" w:space="0" w:color="auto"/>
      </w:divBdr>
    </w:div>
    <w:div w:id="1474180237">
      <w:bodyDiv w:val="1"/>
      <w:marLeft w:val="0"/>
      <w:marRight w:val="0"/>
      <w:marTop w:val="0"/>
      <w:marBottom w:val="0"/>
      <w:divBdr>
        <w:top w:val="none" w:sz="0" w:space="0" w:color="auto"/>
        <w:left w:val="none" w:sz="0" w:space="0" w:color="auto"/>
        <w:bottom w:val="none" w:sz="0" w:space="0" w:color="auto"/>
        <w:right w:val="none" w:sz="0" w:space="0" w:color="auto"/>
      </w:divBdr>
    </w:div>
    <w:div w:id="1658075411">
      <w:bodyDiv w:val="1"/>
      <w:marLeft w:val="0"/>
      <w:marRight w:val="0"/>
      <w:marTop w:val="0"/>
      <w:marBottom w:val="0"/>
      <w:divBdr>
        <w:top w:val="none" w:sz="0" w:space="0" w:color="auto"/>
        <w:left w:val="none" w:sz="0" w:space="0" w:color="auto"/>
        <w:bottom w:val="none" w:sz="0" w:space="0" w:color="auto"/>
        <w:right w:val="none" w:sz="0" w:space="0" w:color="auto"/>
      </w:divBdr>
    </w:div>
    <w:div w:id="1663654189">
      <w:bodyDiv w:val="1"/>
      <w:marLeft w:val="0"/>
      <w:marRight w:val="0"/>
      <w:marTop w:val="0"/>
      <w:marBottom w:val="0"/>
      <w:divBdr>
        <w:top w:val="none" w:sz="0" w:space="0" w:color="auto"/>
        <w:left w:val="none" w:sz="0" w:space="0" w:color="auto"/>
        <w:bottom w:val="none" w:sz="0" w:space="0" w:color="auto"/>
        <w:right w:val="none" w:sz="0" w:space="0" w:color="auto"/>
      </w:divBdr>
    </w:div>
    <w:div w:id="1725057711">
      <w:bodyDiv w:val="1"/>
      <w:marLeft w:val="0"/>
      <w:marRight w:val="0"/>
      <w:marTop w:val="0"/>
      <w:marBottom w:val="0"/>
      <w:divBdr>
        <w:top w:val="none" w:sz="0" w:space="0" w:color="auto"/>
        <w:left w:val="none" w:sz="0" w:space="0" w:color="auto"/>
        <w:bottom w:val="none" w:sz="0" w:space="0" w:color="auto"/>
        <w:right w:val="none" w:sz="0" w:space="0" w:color="auto"/>
      </w:divBdr>
    </w:div>
    <w:div w:id="1850369882">
      <w:bodyDiv w:val="1"/>
      <w:marLeft w:val="0"/>
      <w:marRight w:val="0"/>
      <w:marTop w:val="0"/>
      <w:marBottom w:val="0"/>
      <w:divBdr>
        <w:top w:val="none" w:sz="0" w:space="0" w:color="auto"/>
        <w:left w:val="none" w:sz="0" w:space="0" w:color="auto"/>
        <w:bottom w:val="none" w:sz="0" w:space="0" w:color="auto"/>
        <w:right w:val="none" w:sz="0" w:space="0" w:color="auto"/>
      </w:divBdr>
      <w:divsChild>
        <w:div w:id="1336113113">
          <w:marLeft w:val="0"/>
          <w:marRight w:val="0"/>
          <w:marTop w:val="0"/>
          <w:marBottom w:val="0"/>
          <w:divBdr>
            <w:top w:val="none" w:sz="0" w:space="0" w:color="auto"/>
            <w:left w:val="none" w:sz="0" w:space="0" w:color="auto"/>
            <w:bottom w:val="none" w:sz="0" w:space="0" w:color="auto"/>
            <w:right w:val="none" w:sz="0" w:space="0" w:color="auto"/>
          </w:divBdr>
        </w:div>
      </w:divsChild>
    </w:div>
    <w:div w:id="194465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www.dfr.state.nc.us/Managing_your_forest/fdp_rates.htm"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www.landscope.org/explore/natural_geographies/ecoregions/Cumberlands%20and%20Southern%20Ridge%20and%20Valley/"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www.srs.fs.usda.gov/compass/issue9/03distro.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finitecarbon.com/news/7_13_2009.html" TargetMode="External"/><Relationship Id="rId32" Type="http://schemas.openxmlformats.org/officeDocument/2006/relationships/hyperlink" Target="http://www.ecologyandsociety.org/vol9/iss5/art4/"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carbonpositive.net/viewarticle.aspx?articleID=2197" TargetMode="External"/><Relationship Id="rId28" Type="http://schemas.openxmlformats.org/officeDocument/2006/relationships/hyperlink" Target="http://www.forestencyclopedia.net/p/p2276" TargetMode="Externa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hyperlink" Target="http://www.ncasi2.org/COL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biomass.forestencyclopedia.net/p/p3121" TargetMode="External"/><Relationship Id="rId27" Type="http://schemas.openxmlformats.org/officeDocument/2006/relationships/hyperlink" Target="http://www.forestencyclopedia.net/p/p1585" TargetMode="External"/><Relationship Id="rId30" Type="http://schemas.openxmlformats.org/officeDocument/2006/relationships/hyperlink" Target="http://199.128.173.17/fiadb4-downloads/datamart.htm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reesearch.fs.fed.us/pubs/333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P\Grinnell_MasterDraf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Documents\MP\CARaccounting.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ublic\Documents\MP\CARaccount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ublic\Documents\MP\CARaccounting.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Public\Documents\MP\CARaccounting.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Public\Documents\MP\CARaccoun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7236591254792"/>
          <c:y val="3.7277313770313819E-2"/>
          <c:w val="0.80509635961800674"/>
          <c:h val="0.85028363390060124"/>
        </c:manualLayout>
      </c:layout>
      <c:lineChart>
        <c:grouping val="standard"/>
        <c:varyColors val="0"/>
        <c:ser>
          <c:idx val="1"/>
          <c:order val="0"/>
          <c:tx>
            <c:v>Project AGL Carbon Stocks</c:v>
          </c:tx>
          <c:spPr>
            <a:ln w="15875">
              <a:solidFill>
                <a:schemeClr val="accent1">
                  <a:shade val="95000"/>
                  <a:satMod val="105000"/>
                </a:schemeClr>
              </a:solidFill>
            </a:ln>
          </c:spPr>
          <c:marker>
            <c:symbol val="none"/>
          </c:marker>
          <c:cat>
            <c:numRef>
              <c:f>'Project_Carbon-AvgBAU-WP'!$K$2:$K$101</c:f>
              <c:numCache>
                <c:formatCode>General</c:formatCode>
                <c:ptCount val="10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numCache>
            </c:numRef>
          </c:cat>
          <c:val>
            <c:numRef>
              <c:f>'Project_Carbon-AvgBAU-WP'!$M$2:$M$102</c:f>
              <c:numCache>
                <c:formatCode>General</c:formatCode>
                <c:ptCount val="101"/>
                <c:pt idx="0">
                  <c:v>88.036826960245776</c:v>
                </c:pt>
                <c:pt idx="1">
                  <c:v>90.57389050801595</c:v>
                </c:pt>
                <c:pt idx="2">
                  <c:v>85.468509241739895</c:v>
                </c:pt>
                <c:pt idx="3">
                  <c:v>88.123066724141438</c:v>
                </c:pt>
                <c:pt idx="4">
                  <c:v>90.777624206542967</c:v>
                </c:pt>
                <c:pt idx="5">
                  <c:v>93.432181688944482</c:v>
                </c:pt>
                <c:pt idx="6">
                  <c:v>96.12675829569497</c:v>
                </c:pt>
                <c:pt idx="7">
                  <c:v>93.693773676554358</c:v>
                </c:pt>
                <c:pt idx="8">
                  <c:v>96.327973594665522</c:v>
                </c:pt>
                <c:pt idx="9">
                  <c:v>98.962173512776701</c:v>
                </c:pt>
                <c:pt idx="10">
                  <c:v>87.741497820615763</c:v>
                </c:pt>
                <c:pt idx="11">
                  <c:v>90.213542132377626</c:v>
                </c:pt>
                <c:pt idx="12">
                  <c:v>92.867006237904235</c:v>
                </c:pt>
                <c:pt idx="13">
                  <c:v>95.543204896450021</c:v>
                </c:pt>
                <c:pt idx="14">
                  <c:v>98.21940355499585</c:v>
                </c:pt>
                <c:pt idx="15">
                  <c:v>94.287541796366369</c:v>
                </c:pt>
                <c:pt idx="16">
                  <c:v>96.558725874821349</c:v>
                </c:pt>
                <c:pt idx="17">
                  <c:v>96.604570000171648</c:v>
                </c:pt>
                <c:pt idx="18">
                  <c:v>98.82494884689649</c:v>
                </c:pt>
                <c:pt idx="19">
                  <c:v>101.04532769362132</c:v>
                </c:pt>
                <c:pt idx="20">
                  <c:v>79.981853507359816</c:v>
                </c:pt>
                <c:pt idx="21">
                  <c:v>82.219740349451698</c:v>
                </c:pt>
                <c:pt idx="22">
                  <c:v>84.530195047855386</c:v>
                </c:pt>
                <c:pt idx="23">
                  <c:v>86.840649746259047</c:v>
                </c:pt>
                <c:pt idx="24">
                  <c:v>89.151104444662721</c:v>
                </c:pt>
                <c:pt idx="25">
                  <c:v>75.188216466903683</c:v>
                </c:pt>
                <c:pt idx="26">
                  <c:v>77.693336448669427</c:v>
                </c:pt>
                <c:pt idx="27">
                  <c:v>72.140599769353869</c:v>
                </c:pt>
                <c:pt idx="28">
                  <c:v>74.458672543366745</c:v>
                </c:pt>
                <c:pt idx="29">
                  <c:v>77.036025732755661</c:v>
                </c:pt>
                <c:pt idx="30">
                  <c:v>79.47561036745708</c:v>
                </c:pt>
                <c:pt idx="31">
                  <c:v>81.793152042229963</c:v>
                </c:pt>
                <c:pt idx="32">
                  <c:v>84.11069371700286</c:v>
                </c:pt>
                <c:pt idx="33">
                  <c:v>86.607032432556139</c:v>
                </c:pt>
                <c:pt idx="34">
                  <c:v>89.103371148109446</c:v>
                </c:pt>
                <c:pt idx="35">
                  <c:v>83.224137293497719</c:v>
                </c:pt>
                <c:pt idx="36">
                  <c:v>85.13725700060526</c:v>
                </c:pt>
                <c:pt idx="37">
                  <c:v>87.050376707712815</c:v>
                </c:pt>
                <c:pt idx="38">
                  <c:v>88.963496414820369</c:v>
                </c:pt>
                <c:pt idx="39">
                  <c:v>90.876616121927896</c:v>
                </c:pt>
                <c:pt idx="40">
                  <c:v>75.914056634902948</c:v>
                </c:pt>
                <c:pt idx="41">
                  <c:v>77.260345481236769</c:v>
                </c:pt>
                <c:pt idx="42">
                  <c:v>78.655879669189446</c:v>
                </c:pt>
                <c:pt idx="43">
                  <c:v>80.051413857142137</c:v>
                </c:pt>
                <c:pt idx="44">
                  <c:v>81.4469480450948</c:v>
                </c:pt>
                <c:pt idx="45">
                  <c:v>71.360114129384357</c:v>
                </c:pt>
                <c:pt idx="46">
                  <c:v>73.818789011637364</c:v>
                </c:pt>
                <c:pt idx="47">
                  <c:v>76.585572700500478</c:v>
                </c:pt>
                <c:pt idx="48">
                  <c:v>79.352356389363607</c:v>
                </c:pt>
                <c:pt idx="49">
                  <c:v>82.119140078226721</c:v>
                </c:pt>
                <c:pt idx="50">
                  <c:v>77.654691219329834</c:v>
                </c:pt>
                <c:pt idx="51">
                  <c:v>80.630845457712809</c:v>
                </c:pt>
                <c:pt idx="52">
                  <c:v>83.606999696095784</c:v>
                </c:pt>
                <c:pt idx="53">
                  <c:v>86.583153934478744</c:v>
                </c:pt>
                <c:pt idx="54">
                  <c:v>89.559308172861719</c:v>
                </c:pt>
                <c:pt idx="55">
                  <c:v>92.535462411244708</c:v>
                </c:pt>
                <c:pt idx="56">
                  <c:v>95.596623999277739</c:v>
                </c:pt>
                <c:pt idx="57">
                  <c:v>98.657785587310769</c:v>
                </c:pt>
                <c:pt idx="58">
                  <c:v>101.71894717534384</c:v>
                </c:pt>
                <c:pt idx="59">
                  <c:v>104.78010876337686</c:v>
                </c:pt>
                <c:pt idx="60">
                  <c:v>83.448465744654328</c:v>
                </c:pt>
                <c:pt idx="61">
                  <c:v>86.195389324824006</c:v>
                </c:pt>
                <c:pt idx="62">
                  <c:v>89.04952514648437</c:v>
                </c:pt>
                <c:pt idx="63">
                  <c:v>91.90366096814472</c:v>
                </c:pt>
                <c:pt idx="64">
                  <c:v>94.75779678980507</c:v>
                </c:pt>
                <c:pt idx="65">
                  <c:v>82.414307800928739</c:v>
                </c:pt>
                <c:pt idx="66">
                  <c:v>85.20585891087849</c:v>
                </c:pt>
                <c:pt idx="67">
                  <c:v>87.997410020828241</c:v>
                </c:pt>
                <c:pt idx="68">
                  <c:v>90.788961130777977</c:v>
                </c:pt>
                <c:pt idx="69">
                  <c:v>93.580512240727728</c:v>
                </c:pt>
                <c:pt idx="70">
                  <c:v>90.836347675323481</c:v>
                </c:pt>
                <c:pt idx="71">
                  <c:v>93.989746538798002</c:v>
                </c:pt>
                <c:pt idx="72">
                  <c:v>97.143145402272538</c:v>
                </c:pt>
                <c:pt idx="73">
                  <c:v>100.29654426574709</c:v>
                </c:pt>
                <c:pt idx="74">
                  <c:v>103.44994312922159</c:v>
                </c:pt>
                <c:pt idx="75">
                  <c:v>102.09972464243572</c:v>
                </c:pt>
                <c:pt idx="76">
                  <c:v>105.90974433263142</c:v>
                </c:pt>
                <c:pt idx="77">
                  <c:v>109.71976402282714</c:v>
                </c:pt>
                <c:pt idx="78">
                  <c:v>113.52978371302288</c:v>
                </c:pt>
                <c:pt idx="79">
                  <c:v>117.33980340321858</c:v>
                </c:pt>
                <c:pt idx="80">
                  <c:v>98.46015629768371</c:v>
                </c:pt>
                <c:pt idx="81">
                  <c:v>102.25392087618511</c:v>
                </c:pt>
                <c:pt idx="82">
                  <c:v>106.04768545468647</c:v>
                </c:pt>
                <c:pt idx="83">
                  <c:v>109.84145003318788</c:v>
                </c:pt>
                <c:pt idx="84">
                  <c:v>113.63521461168925</c:v>
                </c:pt>
                <c:pt idx="85">
                  <c:v>81.527068678538001</c:v>
                </c:pt>
                <c:pt idx="86">
                  <c:v>84.786256513595589</c:v>
                </c:pt>
                <c:pt idx="87">
                  <c:v>88.045444348653163</c:v>
                </c:pt>
                <c:pt idx="88">
                  <c:v>91.304632183710737</c:v>
                </c:pt>
                <c:pt idx="89">
                  <c:v>94.563820018768325</c:v>
                </c:pt>
                <c:pt idx="90">
                  <c:v>97.823007853825885</c:v>
                </c:pt>
                <c:pt idx="91">
                  <c:v>101.55177209218343</c:v>
                </c:pt>
                <c:pt idx="92">
                  <c:v>105.28053633054095</c:v>
                </c:pt>
                <c:pt idx="93">
                  <c:v>109.00930056889852</c:v>
                </c:pt>
                <c:pt idx="94">
                  <c:v>112.73806480725607</c:v>
                </c:pt>
                <c:pt idx="95">
                  <c:v>94.879624001185107</c:v>
                </c:pt>
                <c:pt idx="96">
                  <c:v>97.294913209279386</c:v>
                </c:pt>
                <c:pt idx="97">
                  <c:v>99.710202417373637</c:v>
                </c:pt>
                <c:pt idx="98">
                  <c:v>102.12549162546793</c:v>
                </c:pt>
                <c:pt idx="99">
                  <c:v>104.5407808335622</c:v>
                </c:pt>
                <c:pt idx="100">
                  <c:v>96.301757272084558</c:v>
                </c:pt>
              </c:numCache>
            </c:numRef>
          </c:val>
          <c:smooth val="0"/>
        </c:ser>
        <c:ser>
          <c:idx val="2"/>
          <c:order val="1"/>
          <c:tx>
            <c:strRef>
              <c:f>'Project_Carbon-AvgBAU-WP'!$L$1</c:f>
              <c:strCache>
                <c:ptCount val="1"/>
                <c:pt idx="0">
                  <c:v>AGL Baseline</c:v>
                </c:pt>
              </c:strCache>
            </c:strRef>
          </c:tx>
          <c:spPr>
            <a:ln w="15875">
              <a:solidFill>
                <a:srgbClr val="C00000"/>
              </a:solidFill>
            </a:ln>
          </c:spPr>
          <c:marker>
            <c:symbol val="none"/>
          </c:marker>
          <c:cat>
            <c:numRef>
              <c:f>'Project_Carbon-AvgBAU-WP'!$K$2:$K$101</c:f>
              <c:numCache>
                <c:formatCode>General</c:formatCode>
                <c:ptCount val="10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numCache>
            </c:numRef>
          </c:cat>
          <c:val>
            <c:numRef>
              <c:f>'Project_Carbon-AvgBAU-WP'!$L$2:$L$102</c:f>
              <c:numCache>
                <c:formatCode>General</c:formatCode>
                <c:ptCount val="101"/>
                <c:pt idx="0">
                  <c:v>88.688401194856993</c:v>
                </c:pt>
                <c:pt idx="1">
                  <c:v>88.688401194856993</c:v>
                </c:pt>
                <c:pt idx="2">
                  <c:v>88.688401194856993</c:v>
                </c:pt>
                <c:pt idx="3">
                  <c:v>88.688401194856993</c:v>
                </c:pt>
                <c:pt idx="4">
                  <c:v>88.688401194856993</c:v>
                </c:pt>
                <c:pt idx="5">
                  <c:v>88.688401194856993</c:v>
                </c:pt>
                <c:pt idx="6">
                  <c:v>88.688401194856993</c:v>
                </c:pt>
                <c:pt idx="7">
                  <c:v>88.688401194856993</c:v>
                </c:pt>
                <c:pt idx="8">
                  <c:v>88.688401194856993</c:v>
                </c:pt>
                <c:pt idx="9">
                  <c:v>88.688401194856993</c:v>
                </c:pt>
                <c:pt idx="10">
                  <c:v>88.688401194856993</c:v>
                </c:pt>
                <c:pt idx="11">
                  <c:v>88.688401194856993</c:v>
                </c:pt>
                <c:pt idx="12">
                  <c:v>88.688401194856993</c:v>
                </c:pt>
                <c:pt idx="13">
                  <c:v>88.688401194856993</c:v>
                </c:pt>
                <c:pt idx="14">
                  <c:v>88.688401194856993</c:v>
                </c:pt>
                <c:pt idx="15">
                  <c:v>88.688401194856993</c:v>
                </c:pt>
                <c:pt idx="16">
                  <c:v>88.688401194856993</c:v>
                </c:pt>
                <c:pt idx="17">
                  <c:v>88.688401194856993</c:v>
                </c:pt>
                <c:pt idx="18">
                  <c:v>88.688401194856993</c:v>
                </c:pt>
                <c:pt idx="19">
                  <c:v>88.688401194856993</c:v>
                </c:pt>
                <c:pt idx="20">
                  <c:v>88.688401194856993</c:v>
                </c:pt>
                <c:pt idx="21">
                  <c:v>88.688401194856993</c:v>
                </c:pt>
                <c:pt idx="22">
                  <c:v>88.688401194856993</c:v>
                </c:pt>
                <c:pt idx="23">
                  <c:v>88.688401194856993</c:v>
                </c:pt>
                <c:pt idx="24">
                  <c:v>88.688401194856993</c:v>
                </c:pt>
                <c:pt idx="25">
                  <c:v>88.688401194856993</c:v>
                </c:pt>
                <c:pt idx="26">
                  <c:v>88.688401194856993</c:v>
                </c:pt>
                <c:pt idx="27">
                  <c:v>88.688401194856993</c:v>
                </c:pt>
                <c:pt idx="28">
                  <c:v>88.688401194856993</c:v>
                </c:pt>
                <c:pt idx="29">
                  <c:v>88.688401194856993</c:v>
                </c:pt>
                <c:pt idx="30">
                  <c:v>88.688401194856993</c:v>
                </c:pt>
                <c:pt idx="31">
                  <c:v>88.688401194856993</c:v>
                </c:pt>
                <c:pt idx="32">
                  <c:v>88.688401194856993</c:v>
                </c:pt>
                <c:pt idx="33">
                  <c:v>88.688401194856993</c:v>
                </c:pt>
                <c:pt idx="34">
                  <c:v>88.688401194856993</c:v>
                </c:pt>
                <c:pt idx="35">
                  <c:v>88.688401194856993</c:v>
                </c:pt>
                <c:pt idx="36">
                  <c:v>88.688401194856993</c:v>
                </c:pt>
                <c:pt idx="37">
                  <c:v>88.688401194856993</c:v>
                </c:pt>
                <c:pt idx="38">
                  <c:v>88.688401194856993</c:v>
                </c:pt>
                <c:pt idx="39">
                  <c:v>88.688401194856993</c:v>
                </c:pt>
                <c:pt idx="40">
                  <c:v>88.688401194856993</c:v>
                </c:pt>
                <c:pt idx="41">
                  <c:v>88.688401194856993</c:v>
                </c:pt>
                <c:pt idx="42">
                  <c:v>88.688401194856993</c:v>
                </c:pt>
                <c:pt idx="43">
                  <c:v>88.688401194856993</c:v>
                </c:pt>
                <c:pt idx="44">
                  <c:v>88.688401194856993</c:v>
                </c:pt>
                <c:pt idx="45">
                  <c:v>88.688401194856993</c:v>
                </c:pt>
                <c:pt idx="46">
                  <c:v>88.688401194856993</c:v>
                </c:pt>
                <c:pt idx="47">
                  <c:v>88.688401194856993</c:v>
                </c:pt>
                <c:pt idx="48">
                  <c:v>88.688401194856993</c:v>
                </c:pt>
                <c:pt idx="49">
                  <c:v>88.688401194856993</c:v>
                </c:pt>
                <c:pt idx="50">
                  <c:v>88.688401194856993</c:v>
                </c:pt>
                <c:pt idx="51">
                  <c:v>88.688401194856993</c:v>
                </c:pt>
                <c:pt idx="52">
                  <c:v>88.688401194856993</c:v>
                </c:pt>
                <c:pt idx="53">
                  <c:v>88.688401194856993</c:v>
                </c:pt>
                <c:pt idx="54">
                  <c:v>88.688401194856993</c:v>
                </c:pt>
                <c:pt idx="55">
                  <c:v>88.688401194856993</c:v>
                </c:pt>
                <c:pt idx="56">
                  <c:v>88.688401194856993</c:v>
                </c:pt>
                <c:pt idx="57">
                  <c:v>88.688401194856993</c:v>
                </c:pt>
                <c:pt idx="58">
                  <c:v>88.688401194856993</c:v>
                </c:pt>
                <c:pt idx="59">
                  <c:v>88.688401194856993</c:v>
                </c:pt>
                <c:pt idx="60">
                  <c:v>88.688401194856993</c:v>
                </c:pt>
                <c:pt idx="61">
                  <c:v>88.688401194856993</c:v>
                </c:pt>
                <c:pt idx="62">
                  <c:v>88.688401194856993</c:v>
                </c:pt>
                <c:pt idx="63">
                  <c:v>88.688401194856993</c:v>
                </c:pt>
                <c:pt idx="64">
                  <c:v>88.688401194856993</c:v>
                </c:pt>
                <c:pt idx="65">
                  <c:v>88.688401194856993</c:v>
                </c:pt>
                <c:pt idx="66">
                  <c:v>88.688401194856993</c:v>
                </c:pt>
                <c:pt idx="67">
                  <c:v>88.688401194856993</c:v>
                </c:pt>
                <c:pt idx="68">
                  <c:v>88.688401194856993</c:v>
                </c:pt>
                <c:pt idx="69">
                  <c:v>88.688401194856993</c:v>
                </c:pt>
                <c:pt idx="70">
                  <c:v>88.688401194856993</c:v>
                </c:pt>
                <c:pt idx="71">
                  <c:v>88.688401194856993</c:v>
                </c:pt>
                <c:pt idx="72">
                  <c:v>88.688401194856993</c:v>
                </c:pt>
                <c:pt idx="73">
                  <c:v>88.688401194856993</c:v>
                </c:pt>
                <c:pt idx="74">
                  <c:v>88.688401194856993</c:v>
                </c:pt>
                <c:pt idx="75">
                  <c:v>88.688401194856993</c:v>
                </c:pt>
                <c:pt idx="76">
                  <c:v>88.688401194856993</c:v>
                </c:pt>
                <c:pt idx="77">
                  <c:v>88.688401194856993</c:v>
                </c:pt>
                <c:pt idx="78">
                  <c:v>88.688401194856993</c:v>
                </c:pt>
                <c:pt idx="79">
                  <c:v>88.688401194856993</c:v>
                </c:pt>
                <c:pt idx="80">
                  <c:v>88.688401194856993</c:v>
                </c:pt>
                <c:pt idx="81">
                  <c:v>88.688401194856993</c:v>
                </c:pt>
                <c:pt idx="82">
                  <c:v>88.688401194856993</c:v>
                </c:pt>
                <c:pt idx="83">
                  <c:v>88.688401194856993</c:v>
                </c:pt>
                <c:pt idx="84">
                  <c:v>88.688401194856993</c:v>
                </c:pt>
                <c:pt idx="85">
                  <c:v>88.688401194856993</c:v>
                </c:pt>
                <c:pt idx="86">
                  <c:v>88.688401194856993</c:v>
                </c:pt>
                <c:pt idx="87">
                  <c:v>88.688401194856993</c:v>
                </c:pt>
                <c:pt idx="88">
                  <c:v>88.688401194856993</c:v>
                </c:pt>
                <c:pt idx="89">
                  <c:v>88.688401194856993</c:v>
                </c:pt>
                <c:pt idx="90">
                  <c:v>88.688401194856993</c:v>
                </c:pt>
                <c:pt idx="91">
                  <c:v>88.688401194856993</c:v>
                </c:pt>
                <c:pt idx="92">
                  <c:v>88.688401194856993</c:v>
                </c:pt>
                <c:pt idx="93">
                  <c:v>88.688401194856993</c:v>
                </c:pt>
                <c:pt idx="94">
                  <c:v>88.688401194856993</c:v>
                </c:pt>
                <c:pt idx="95">
                  <c:v>88.688401194856993</c:v>
                </c:pt>
                <c:pt idx="96">
                  <c:v>88.688401194856993</c:v>
                </c:pt>
                <c:pt idx="97">
                  <c:v>88.688401194856993</c:v>
                </c:pt>
                <c:pt idx="98">
                  <c:v>88.688401194856993</c:v>
                </c:pt>
                <c:pt idx="99">
                  <c:v>88.688401194856993</c:v>
                </c:pt>
                <c:pt idx="100">
                  <c:v>88.688401194856993</c:v>
                </c:pt>
              </c:numCache>
            </c:numRef>
          </c:val>
          <c:smooth val="0"/>
        </c:ser>
        <c:ser>
          <c:idx val="0"/>
          <c:order val="2"/>
          <c:tx>
            <c:v>Modeled Baseline AGL Carbon Stocks</c:v>
          </c:tx>
          <c:spPr>
            <a:ln w="15875">
              <a:solidFill>
                <a:schemeClr val="accent6">
                  <a:lumMod val="75000"/>
                </a:schemeClr>
              </a:solidFill>
            </a:ln>
          </c:spPr>
          <c:marker>
            <c:symbol val="none"/>
          </c:marker>
          <c:val>
            <c:numRef>
              <c:f>BAU_CarbonData!$K$2:$K$102</c:f>
              <c:numCache>
                <c:formatCode>#,##0.0</c:formatCode>
                <c:ptCount val="101"/>
                <c:pt idx="0">
                  <c:v>88.029129791259763</c:v>
                </c:pt>
                <c:pt idx="1">
                  <c:v>91.550530122121174</c:v>
                </c:pt>
                <c:pt idx="2">
                  <c:v>52.413299660682661</c:v>
                </c:pt>
                <c:pt idx="3">
                  <c:v>53.805846649805702</c:v>
                </c:pt>
                <c:pt idx="4">
                  <c:v>56.038641438881541</c:v>
                </c:pt>
                <c:pt idx="5">
                  <c:v>58.271436227957409</c:v>
                </c:pt>
                <c:pt idx="6">
                  <c:v>60.464451423883439</c:v>
                </c:pt>
                <c:pt idx="7">
                  <c:v>62.657466619809462</c:v>
                </c:pt>
                <c:pt idx="8">
                  <c:v>64.899627738793683</c:v>
                </c:pt>
                <c:pt idx="9">
                  <c:v>67.141788857777925</c:v>
                </c:pt>
                <c:pt idx="10">
                  <c:v>69.383949976762139</c:v>
                </c:pt>
                <c:pt idx="11">
                  <c:v>71.626111095746353</c:v>
                </c:pt>
                <c:pt idx="12">
                  <c:v>35.59817830721537</c:v>
                </c:pt>
                <c:pt idx="13">
                  <c:v>37.516398070653281</c:v>
                </c:pt>
                <c:pt idx="14">
                  <c:v>39.478872578144077</c:v>
                </c:pt>
                <c:pt idx="15">
                  <c:v>41.44134708563486</c:v>
                </c:pt>
                <c:pt idx="16">
                  <c:v>43.403821593125656</c:v>
                </c:pt>
                <c:pt idx="17">
                  <c:v>45.366296100616452</c:v>
                </c:pt>
                <c:pt idx="18">
                  <c:v>47.346653893788663</c:v>
                </c:pt>
                <c:pt idx="19">
                  <c:v>49.327011686960851</c:v>
                </c:pt>
                <c:pt idx="20">
                  <c:v>51.307369480133062</c:v>
                </c:pt>
                <c:pt idx="21">
                  <c:v>53.287727273305244</c:v>
                </c:pt>
                <c:pt idx="22">
                  <c:v>55.268085066477454</c:v>
                </c:pt>
                <c:pt idx="23">
                  <c:v>57.345874150594078</c:v>
                </c:pt>
                <c:pt idx="24">
                  <c:v>59.423663234710695</c:v>
                </c:pt>
                <c:pt idx="25">
                  <c:v>61.501452318827305</c:v>
                </c:pt>
                <c:pt idx="26">
                  <c:v>63.579241402943921</c:v>
                </c:pt>
                <c:pt idx="27">
                  <c:v>65.657030487060553</c:v>
                </c:pt>
                <c:pt idx="28">
                  <c:v>67.646111412048327</c:v>
                </c:pt>
                <c:pt idx="29">
                  <c:v>69.635192337036145</c:v>
                </c:pt>
                <c:pt idx="30">
                  <c:v>71.62427326202392</c:v>
                </c:pt>
                <c:pt idx="31">
                  <c:v>73.613354187011723</c:v>
                </c:pt>
                <c:pt idx="32">
                  <c:v>75.602435111999512</c:v>
                </c:pt>
                <c:pt idx="33">
                  <c:v>77.681460386912022</c:v>
                </c:pt>
                <c:pt idx="34">
                  <c:v>79.760485661824546</c:v>
                </c:pt>
                <c:pt idx="35">
                  <c:v>81.839510936737057</c:v>
                </c:pt>
                <c:pt idx="36">
                  <c:v>83.918536211649581</c:v>
                </c:pt>
                <c:pt idx="37">
                  <c:v>85.997561486562091</c:v>
                </c:pt>
                <c:pt idx="38">
                  <c:v>88.083630447387691</c:v>
                </c:pt>
                <c:pt idx="39">
                  <c:v>90.16969940821329</c:v>
                </c:pt>
                <c:pt idx="40">
                  <c:v>92.25576836903889</c:v>
                </c:pt>
                <c:pt idx="41">
                  <c:v>94.341837329864504</c:v>
                </c:pt>
                <c:pt idx="42">
                  <c:v>83.979830567042029</c:v>
                </c:pt>
                <c:pt idx="43">
                  <c:v>84.44312702178955</c:v>
                </c:pt>
                <c:pt idx="44">
                  <c:v>86.883584367434182</c:v>
                </c:pt>
                <c:pt idx="45">
                  <c:v>89.324041713078799</c:v>
                </c:pt>
                <c:pt idx="46">
                  <c:v>91.764499058723445</c:v>
                </c:pt>
                <c:pt idx="47">
                  <c:v>94.204956404368076</c:v>
                </c:pt>
                <c:pt idx="48">
                  <c:v>96.817695236206049</c:v>
                </c:pt>
                <c:pt idx="49">
                  <c:v>99.430434068044022</c:v>
                </c:pt>
                <c:pt idx="50">
                  <c:v>102.04317289988197</c:v>
                </c:pt>
                <c:pt idx="51">
                  <c:v>104.65591173171997</c:v>
                </c:pt>
                <c:pt idx="52">
                  <c:v>70.076844263076779</c:v>
                </c:pt>
                <c:pt idx="53">
                  <c:v>71.923714675903312</c:v>
                </c:pt>
                <c:pt idx="54">
                  <c:v>74.517965003649394</c:v>
                </c:pt>
                <c:pt idx="55">
                  <c:v>77.112215331395475</c:v>
                </c:pt>
                <c:pt idx="56">
                  <c:v>79.706465659141529</c:v>
                </c:pt>
                <c:pt idx="57">
                  <c:v>82.30071598688761</c:v>
                </c:pt>
                <c:pt idx="58">
                  <c:v>85.013167880376173</c:v>
                </c:pt>
                <c:pt idx="59">
                  <c:v>87.725619773864736</c:v>
                </c:pt>
                <c:pt idx="60">
                  <c:v>90.438071667353313</c:v>
                </c:pt>
                <c:pt idx="61">
                  <c:v>93.15052356084189</c:v>
                </c:pt>
                <c:pt idx="62">
                  <c:v>95.862975454330439</c:v>
                </c:pt>
                <c:pt idx="63">
                  <c:v>98.632836367289244</c:v>
                </c:pt>
                <c:pt idx="64">
                  <c:v>101.40269728024802</c:v>
                </c:pt>
                <c:pt idx="65">
                  <c:v>104.17255819320678</c:v>
                </c:pt>
                <c:pt idx="66">
                  <c:v>106.94241910616556</c:v>
                </c:pt>
                <c:pt idx="67">
                  <c:v>109.71228001912434</c:v>
                </c:pt>
                <c:pt idx="68">
                  <c:v>112.52332508722941</c:v>
                </c:pt>
                <c:pt idx="69">
                  <c:v>115.33437015533448</c:v>
                </c:pt>
                <c:pt idx="70">
                  <c:v>118.14541522343953</c:v>
                </c:pt>
                <c:pt idx="71">
                  <c:v>120.95646029154459</c:v>
                </c:pt>
                <c:pt idx="72">
                  <c:v>123.76750535964966</c:v>
                </c:pt>
                <c:pt idx="73">
                  <c:v>126.41164865493775</c:v>
                </c:pt>
                <c:pt idx="74">
                  <c:v>129.0557919502258</c:v>
                </c:pt>
                <c:pt idx="75">
                  <c:v>131.6999352455139</c:v>
                </c:pt>
                <c:pt idx="76">
                  <c:v>134.344078540802</c:v>
                </c:pt>
                <c:pt idx="77">
                  <c:v>136.98822183609008</c:v>
                </c:pt>
                <c:pt idx="78">
                  <c:v>139.68967071533203</c:v>
                </c:pt>
                <c:pt idx="79">
                  <c:v>142.39111959457395</c:v>
                </c:pt>
                <c:pt idx="80">
                  <c:v>145.0925684738159</c:v>
                </c:pt>
                <c:pt idx="81">
                  <c:v>147.79401735305782</c:v>
                </c:pt>
                <c:pt idx="82">
                  <c:v>104.14856961568196</c:v>
                </c:pt>
                <c:pt idx="83">
                  <c:v>106.576399453481</c:v>
                </c:pt>
                <c:pt idx="84">
                  <c:v>109.14616656303406</c:v>
                </c:pt>
                <c:pt idx="85">
                  <c:v>111.71593367258706</c:v>
                </c:pt>
                <c:pt idx="86">
                  <c:v>114.28570078214008</c:v>
                </c:pt>
                <c:pt idx="87">
                  <c:v>116.85546789169311</c:v>
                </c:pt>
                <c:pt idx="88">
                  <c:v>119.83127510706584</c:v>
                </c:pt>
                <c:pt idx="89">
                  <c:v>122.80708232243856</c:v>
                </c:pt>
                <c:pt idx="90">
                  <c:v>125.78288953781127</c:v>
                </c:pt>
                <c:pt idx="91">
                  <c:v>128.75869675318398</c:v>
                </c:pt>
                <c:pt idx="92">
                  <c:v>90.033497492472321</c:v>
                </c:pt>
                <c:pt idx="93">
                  <c:v>91.711982367833443</c:v>
                </c:pt>
                <c:pt idx="94">
                  <c:v>94.359959980646764</c:v>
                </c:pt>
                <c:pt idx="95">
                  <c:v>97.007937593460071</c:v>
                </c:pt>
                <c:pt idx="96">
                  <c:v>99.655915206273377</c:v>
                </c:pt>
                <c:pt idx="97">
                  <c:v>102.30389281908671</c:v>
                </c:pt>
                <c:pt idx="98">
                  <c:v>104.75797188440959</c:v>
                </c:pt>
                <c:pt idx="99">
                  <c:v>107.36716978772481</c:v>
                </c:pt>
                <c:pt idx="100">
                  <c:v>109.71172227859498</c:v>
                </c:pt>
              </c:numCache>
            </c:numRef>
          </c:val>
          <c:smooth val="0"/>
        </c:ser>
        <c:dLbls>
          <c:showLegendKey val="0"/>
          <c:showVal val="0"/>
          <c:showCatName val="0"/>
          <c:showSerName val="0"/>
          <c:showPercent val="0"/>
          <c:showBubbleSize val="0"/>
        </c:dLbls>
        <c:marker val="1"/>
        <c:smooth val="0"/>
        <c:axId val="142722560"/>
        <c:axId val="142724096"/>
      </c:lineChart>
      <c:catAx>
        <c:axId val="142722560"/>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142724096"/>
        <c:crossesAt val="35"/>
        <c:auto val="1"/>
        <c:lblAlgn val="ctr"/>
        <c:lblOffset val="100"/>
        <c:noMultiLvlLbl val="0"/>
      </c:catAx>
      <c:valAx>
        <c:axId val="142724096"/>
        <c:scaling>
          <c:orientation val="minMax"/>
          <c:min val="35"/>
        </c:scaling>
        <c:delete val="0"/>
        <c:axPos val="l"/>
        <c:majorGridlines/>
        <c:title>
          <c:tx>
            <c:rich>
              <a:bodyPr/>
              <a:lstStyle/>
              <a:p>
                <a:pPr>
                  <a:defRPr sz="1000" b="0" i="0" u="none" strike="noStrike" baseline="0">
                    <a:solidFill>
                      <a:srgbClr val="000000"/>
                    </a:solidFill>
                    <a:latin typeface="Calibri"/>
                    <a:ea typeface="Calibri"/>
                    <a:cs typeface="Calibri"/>
                  </a:defRPr>
                </a:pPr>
                <a:r>
                  <a:rPr lang="en-US" sz="1000"/>
                  <a:t>Metric Tonnes CO2/Acre</a:t>
                </a:r>
              </a:p>
            </c:rich>
          </c:tx>
          <c:layout>
            <c:manualLayout>
              <c:xMode val="edge"/>
              <c:yMode val="edge"/>
              <c:x val="6.889763779527559E-4"/>
              <c:y val="0.2137406671253472"/>
            </c:manualLayout>
          </c:layout>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2722560"/>
        <c:crosses val="autoZero"/>
        <c:crossBetween val="between"/>
      </c:valAx>
    </c:plotArea>
    <c:legend>
      <c:legendPos val="r"/>
      <c:layout>
        <c:manualLayout>
          <c:xMode val="edge"/>
          <c:yMode val="edge"/>
          <c:x val="0"/>
          <c:y val="5.5689362359116881E-2"/>
          <c:w val="0.72007042253521125"/>
          <c:h val="0.19130994536498877"/>
        </c:manualLayout>
      </c:layout>
      <c:overlay val="0"/>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268816940578"/>
          <c:y val="5.8087112479603735E-2"/>
          <c:w val="0.87815503807523665"/>
          <c:h val="0.92011906663754117"/>
        </c:manualLayout>
      </c:layout>
      <c:barChart>
        <c:barDir val="col"/>
        <c:grouping val="clustered"/>
        <c:varyColors val="0"/>
        <c:ser>
          <c:idx val="0"/>
          <c:order val="0"/>
          <c:tx>
            <c:v>Cumulative Creditable Carbon Accrual/Liabilities</c:v>
          </c:tx>
          <c:spPr>
            <a:solidFill>
              <a:srgbClr val="FFC000"/>
            </a:solidFill>
            <a:ln w="31750"/>
          </c:spPr>
          <c:invertIfNegative val="0"/>
          <c:cat>
            <c:numRef>
              <c:f>'Project_Carbon-AvgBAU-WP'!$B$2:$B$102</c:f>
              <c:numCache>
                <c:formatCode>General</c:formatCode>
                <c:ptCount val="22"/>
                <c:pt idx="0">
                  <c:v>2013</c:v>
                </c:pt>
                <c:pt idx="1">
                  <c:v>2018</c:v>
                </c:pt>
                <c:pt idx="2">
                  <c:v>2021</c:v>
                </c:pt>
                <c:pt idx="3">
                  <c:v>2026</c:v>
                </c:pt>
                <c:pt idx="4">
                  <c:v>2031</c:v>
                </c:pt>
                <c:pt idx="5">
                  <c:v>2036</c:v>
                </c:pt>
                <c:pt idx="6">
                  <c:v>2038</c:v>
                </c:pt>
                <c:pt idx="7">
                  <c:v>2043</c:v>
                </c:pt>
                <c:pt idx="8">
                  <c:v>2047</c:v>
                </c:pt>
                <c:pt idx="9">
                  <c:v>2051</c:v>
                </c:pt>
                <c:pt idx="10">
                  <c:v>2056</c:v>
                </c:pt>
                <c:pt idx="11">
                  <c:v>2061</c:v>
                </c:pt>
                <c:pt idx="12">
                  <c:v>2066</c:v>
                </c:pt>
                <c:pt idx="13">
                  <c:v>2071</c:v>
                </c:pt>
                <c:pt idx="14">
                  <c:v>2076</c:v>
                </c:pt>
                <c:pt idx="15">
                  <c:v>2081</c:v>
                </c:pt>
                <c:pt idx="16">
                  <c:v>2086</c:v>
                </c:pt>
                <c:pt idx="17">
                  <c:v>2091</c:v>
                </c:pt>
                <c:pt idx="18">
                  <c:v>2096</c:v>
                </c:pt>
                <c:pt idx="19">
                  <c:v>2101</c:v>
                </c:pt>
                <c:pt idx="20">
                  <c:v>2106</c:v>
                </c:pt>
                <c:pt idx="21">
                  <c:v>2111</c:v>
                </c:pt>
              </c:numCache>
            </c:numRef>
          </c:cat>
          <c:val>
            <c:numRef>
              <c:f>'Project_Carbon-AvgBAU-WP'!$AL$213:$AL$311</c:f>
              <c:numCache>
                <c:formatCode>General</c:formatCode>
                <c:ptCount val="22"/>
                <c:pt idx="0">
                  <c:v>9.11</c:v>
                </c:pt>
                <c:pt idx="1">
                  <c:v>12.3825</c:v>
                </c:pt>
                <c:pt idx="2">
                  <c:v>4.7625000000000002</c:v>
                </c:pt>
                <c:pt idx="3">
                  <c:v>9.7799999999999994</c:v>
                </c:pt>
                <c:pt idx="4">
                  <c:v>-3.3250000000000002</c:v>
                </c:pt>
                <c:pt idx="5">
                  <c:v>-15</c:v>
                </c:pt>
                <c:pt idx="6">
                  <c:v>-21.34</c:v>
                </c:pt>
                <c:pt idx="7">
                  <c:v>-11.935</c:v>
                </c:pt>
                <c:pt idx="8">
                  <c:v>-8.6999999999999993</c:v>
                </c:pt>
                <c:pt idx="9">
                  <c:v>-14.8925</c:v>
                </c:pt>
                <c:pt idx="10">
                  <c:v>-30.05</c:v>
                </c:pt>
                <c:pt idx="11">
                  <c:v>-21.7425</c:v>
                </c:pt>
                <c:pt idx="12">
                  <c:v>-13.795</c:v>
                </c:pt>
                <c:pt idx="13">
                  <c:v>-21.932500000000001</c:v>
                </c:pt>
                <c:pt idx="14">
                  <c:v>-15.32</c:v>
                </c:pt>
                <c:pt idx="15">
                  <c:v>-20.2</c:v>
                </c:pt>
                <c:pt idx="16">
                  <c:v>-8.8249999999999993</c:v>
                </c:pt>
                <c:pt idx="17">
                  <c:v>-11.8775</c:v>
                </c:pt>
                <c:pt idx="18">
                  <c:v>-30.015000000000001</c:v>
                </c:pt>
                <c:pt idx="19">
                  <c:v>-18.22</c:v>
                </c:pt>
                <c:pt idx="20">
                  <c:v>-23.452500000000001</c:v>
                </c:pt>
                <c:pt idx="21">
                  <c:v>-22.52</c:v>
                </c:pt>
              </c:numCache>
            </c:numRef>
          </c:val>
        </c:ser>
        <c:dLbls>
          <c:showLegendKey val="0"/>
          <c:showVal val="0"/>
          <c:showCatName val="0"/>
          <c:showSerName val="0"/>
          <c:showPercent val="0"/>
          <c:showBubbleSize val="0"/>
        </c:dLbls>
        <c:gapWidth val="150"/>
        <c:axId val="143200256"/>
        <c:axId val="143201792"/>
      </c:barChart>
      <c:catAx>
        <c:axId val="143200256"/>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43201792"/>
        <c:crosses val="autoZero"/>
        <c:auto val="1"/>
        <c:lblAlgn val="ctr"/>
        <c:lblOffset val="100"/>
        <c:tickMarkSkip val="1"/>
        <c:noMultiLvlLbl val="0"/>
      </c:catAx>
      <c:valAx>
        <c:axId val="143201792"/>
        <c:scaling>
          <c:orientation val="minMax"/>
          <c:max val="15"/>
          <c:min val="-25"/>
        </c:scaling>
        <c:delete val="0"/>
        <c:axPos val="l"/>
        <c:majorGridlines/>
        <c:title>
          <c:tx>
            <c:rich>
              <a:bodyPr/>
              <a:lstStyle/>
              <a:p>
                <a:pPr>
                  <a:defRPr sz="1400" b="1" i="0" u="none" strike="noStrike" baseline="0">
                    <a:solidFill>
                      <a:srgbClr val="000000"/>
                    </a:solidFill>
                    <a:latin typeface="Calibri"/>
                    <a:ea typeface="Calibri"/>
                    <a:cs typeface="Calibri"/>
                  </a:defRPr>
                </a:pPr>
                <a:r>
                  <a:rPr lang="en-US"/>
                  <a:t>Metric Tonnes CO</a:t>
                </a:r>
                <a:r>
                  <a:rPr lang="en-US" baseline="-25000"/>
                  <a:t>2</a:t>
                </a:r>
                <a:r>
                  <a:rPr lang="en-US" baseline="0"/>
                  <a:t>/Acre</a:t>
                </a:r>
              </a:p>
            </c:rich>
          </c:tx>
          <c:layout>
            <c:manualLayout>
              <c:xMode val="edge"/>
              <c:yMode val="edge"/>
              <c:x val="1.8259349371177224E-3"/>
              <c:y val="0.39770875097305747"/>
            </c:manualLayout>
          </c:layout>
          <c:overlay val="0"/>
          <c:spPr>
            <a:noFill/>
            <a:ln w="25400">
              <a:noFill/>
            </a:ln>
          </c:spPr>
        </c:title>
        <c:numFmt formatCode="#,##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3200256"/>
        <c:crosses val="autoZero"/>
        <c:crossBetween val="between"/>
        <c:majorUnit val="2.5"/>
      </c:valAx>
      <c:spPr>
        <a:noFill/>
        <a:ln w="25400">
          <a:noFill/>
        </a:ln>
      </c:spPr>
    </c:plotArea>
    <c:legend>
      <c:legendPos val="r"/>
      <c:layout>
        <c:manualLayout>
          <c:xMode val="edge"/>
          <c:yMode val="edge"/>
          <c:x val="0.23233653543307087"/>
          <c:y val="1.3122925964999461E-3"/>
          <c:w val="0.54609795275590545"/>
          <c:h val="5.774278215223097E-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3333333333333"/>
          <c:y val="0.19977253516241555"/>
          <c:w val="0.87888888888888894"/>
          <c:h val="0.77412638857605809"/>
        </c:manualLayout>
      </c:layout>
      <c:barChart>
        <c:barDir val="col"/>
        <c:grouping val="clustered"/>
        <c:varyColors val="0"/>
        <c:ser>
          <c:idx val="0"/>
          <c:order val="0"/>
          <c:tx>
            <c:v>CAR Baseline (Initial AGL+Avg Standing Dead+Avg BGL stocks)</c:v>
          </c:tx>
          <c:spPr>
            <a:ln w="31750"/>
          </c:spPr>
          <c:invertIfNegative val="0"/>
          <c:cat>
            <c:numRef>
              <c:f>'Project_Carbon-AvgBAU-WP'!$B$4:$B$102</c:f>
              <c:numCache>
                <c:formatCode>General</c:formatCode>
                <c:ptCount val="22"/>
                <c:pt idx="0">
                  <c:v>2013</c:v>
                </c:pt>
                <c:pt idx="1">
                  <c:v>2018</c:v>
                </c:pt>
                <c:pt idx="2">
                  <c:v>2021</c:v>
                </c:pt>
                <c:pt idx="3">
                  <c:v>2026</c:v>
                </c:pt>
                <c:pt idx="4">
                  <c:v>2031</c:v>
                </c:pt>
                <c:pt idx="5">
                  <c:v>2036</c:v>
                </c:pt>
                <c:pt idx="6">
                  <c:v>2038</c:v>
                </c:pt>
                <c:pt idx="7">
                  <c:v>2043</c:v>
                </c:pt>
                <c:pt idx="8">
                  <c:v>2047</c:v>
                </c:pt>
                <c:pt idx="9">
                  <c:v>2051</c:v>
                </c:pt>
                <c:pt idx="10">
                  <c:v>2056</c:v>
                </c:pt>
                <c:pt idx="11">
                  <c:v>2061</c:v>
                </c:pt>
                <c:pt idx="12">
                  <c:v>2066</c:v>
                </c:pt>
                <c:pt idx="13">
                  <c:v>2071</c:v>
                </c:pt>
                <c:pt idx="14">
                  <c:v>2076</c:v>
                </c:pt>
                <c:pt idx="15">
                  <c:v>2081</c:v>
                </c:pt>
                <c:pt idx="16">
                  <c:v>2086</c:v>
                </c:pt>
                <c:pt idx="17">
                  <c:v>2091</c:v>
                </c:pt>
                <c:pt idx="18">
                  <c:v>2096</c:v>
                </c:pt>
                <c:pt idx="19">
                  <c:v>2101</c:v>
                </c:pt>
                <c:pt idx="20">
                  <c:v>2106</c:v>
                </c:pt>
                <c:pt idx="21">
                  <c:v>2111</c:v>
                </c:pt>
              </c:numCache>
            </c:numRef>
          </c:cat>
          <c:val>
            <c:numRef>
              <c:f>'Project_Carbon-AvgBAU-WP'!$AH$2:$AH$102</c:f>
              <c:numCache>
                <c:formatCode>General</c:formatCode>
                <c:ptCount val="22"/>
                <c:pt idx="0">
                  <c:v>0.68500000000000005</c:v>
                </c:pt>
                <c:pt idx="1">
                  <c:v>2.9674999999999998</c:v>
                </c:pt>
                <c:pt idx="2">
                  <c:v>-6.835</c:v>
                </c:pt>
                <c:pt idx="3">
                  <c:v>4.4950000000000001</c:v>
                </c:pt>
                <c:pt idx="4">
                  <c:v>-11.594999999999999</c:v>
                </c:pt>
                <c:pt idx="5">
                  <c:v>-11.395</c:v>
                </c:pt>
                <c:pt idx="6">
                  <c:v>-4.875</c:v>
                </c:pt>
                <c:pt idx="7">
                  <c:v>9.6275000000000013</c:v>
                </c:pt>
                <c:pt idx="8">
                  <c:v>3.3825000000000003</c:v>
                </c:pt>
                <c:pt idx="9">
                  <c:v>-6.24</c:v>
                </c:pt>
                <c:pt idx="10">
                  <c:v>-12.8475</c:v>
                </c:pt>
                <c:pt idx="11">
                  <c:v>8.1174999999999997</c:v>
                </c:pt>
                <c:pt idx="12">
                  <c:v>7.9400000000000013</c:v>
                </c:pt>
                <c:pt idx="13">
                  <c:v>-8.1349999999999998</c:v>
                </c:pt>
                <c:pt idx="14">
                  <c:v>7.79</c:v>
                </c:pt>
                <c:pt idx="15">
                  <c:v>-6.0125000000000002</c:v>
                </c:pt>
                <c:pt idx="16">
                  <c:v>10.299999999999999</c:v>
                </c:pt>
                <c:pt idx="17">
                  <c:v>-6.1449999999999996</c:v>
                </c:pt>
                <c:pt idx="18">
                  <c:v>-15.885</c:v>
                </c:pt>
                <c:pt idx="19">
                  <c:v>10.36</c:v>
                </c:pt>
                <c:pt idx="20">
                  <c:v>-4.9375000000000018</c:v>
                </c:pt>
                <c:pt idx="21">
                  <c:v>-0.91000000000000014</c:v>
                </c:pt>
              </c:numCache>
            </c:numRef>
          </c:val>
        </c:ser>
        <c:ser>
          <c:idx val="4"/>
          <c:order val="1"/>
          <c:tx>
            <c:v>CAR Bsl w/Jenkins et al. (2003) BGL stocks</c:v>
          </c:tx>
          <c:spPr>
            <a:solidFill>
              <a:srgbClr val="FFC000"/>
            </a:solidFill>
          </c:spPr>
          <c:invertIfNegative val="0"/>
          <c:val>
            <c:numRef>
              <c:f>'Project_Carbon-AvgBAU-WP'!$AH$213:$AH$311</c:f>
              <c:numCache>
                <c:formatCode>General</c:formatCode>
                <c:ptCount val="22"/>
                <c:pt idx="0">
                  <c:v>9.0799999999999983</c:v>
                </c:pt>
                <c:pt idx="1">
                  <c:v>3.2699999999999991</c:v>
                </c:pt>
                <c:pt idx="2">
                  <c:v>-7.6174999999999997</c:v>
                </c:pt>
                <c:pt idx="3">
                  <c:v>5.0224999999999991</c:v>
                </c:pt>
                <c:pt idx="4">
                  <c:v>-13.079999999999998</c:v>
                </c:pt>
                <c:pt idx="5">
                  <c:v>-11.680000000000001</c:v>
                </c:pt>
                <c:pt idx="6">
                  <c:v>-6.34</c:v>
                </c:pt>
                <c:pt idx="7">
                  <c:v>9.4049999999999994</c:v>
                </c:pt>
                <c:pt idx="8">
                  <c:v>3.2349999999999994</c:v>
                </c:pt>
                <c:pt idx="9">
                  <c:v>-6.1550000000000002</c:v>
                </c:pt>
                <c:pt idx="10">
                  <c:v>-15.157499999999999</c:v>
                </c:pt>
                <c:pt idx="11">
                  <c:v>8.307500000000001</c:v>
                </c:pt>
                <c:pt idx="12">
                  <c:v>7.9474999999999998</c:v>
                </c:pt>
                <c:pt idx="13">
                  <c:v>-8.1475000000000009</c:v>
                </c:pt>
                <c:pt idx="14">
                  <c:v>6.6125000000000007</c:v>
                </c:pt>
                <c:pt idx="15">
                  <c:v>-4.88</c:v>
                </c:pt>
                <c:pt idx="16">
                  <c:v>11.375</c:v>
                </c:pt>
                <c:pt idx="17">
                  <c:v>-3.0600000000000005</c:v>
                </c:pt>
                <c:pt idx="18">
                  <c:v>-18.137500000000003</c:v>
                </c:pt>
                <c:pt idx="19">
                  <c:v>11.795000000000002</c:v>
                </c:pt>
                <c:pt idx="20">
                  <c:v>-5.2349999999999994</c:v>
                </c:pt>
                <c:pt idx="21">
                  <c:v>0.92750000000000021</c:v>
                </c:pt>
              </c:numCache>
            </c:numRef>
          </c:val>
        </c:ser>
        <c:ser>
          <c:idx val="1"/>
          <c:order val="2"/>
          <c:tx>
            <c:v>CAR Bsl w/Jenkins et al.(2003) BGL Stocks &amp; Payback of only CRTs Issued to Date in Reversal Yrs</c:v>
          </c:tx>
          <c:spPr>
            <a:solidFill>
              <a:srgbClr val="FF0000"/>
            </a:solidFill>
          </c:spPr>
          <c:invertIfNegative val="0"/>
          <c:val>
            <c:numRef>
              <c:f>'Project_Carbon-AvgBAU-WP'!$AI$213:$AI$311</c:f>
              <c:numCache>
                <c:formatCode>General</c:formatCode>
                <c:ptCount val="22"/>
                <c:pt idx="0">
                  <c:v>9.0799999999999983</c:v>
                </c:pt>
                <c:pt idx="1">
                  <c:v>3.2699999999999991</c:v>
                </c:pt>
                <c:pt idx="2">
                  <c:v>-7.6174999999999997</c:v>
                </c:pt>
                <c:pt idx="3">
                  <c:v>5.0224999999999991</c:v>
                </c:pt>
                <c:pt idx="4">
                  <c:v>-9.7549999999999972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143523840"/>
        <c:axId val="143525376"/>
      </c:barChart>
      <c:catAx>
        <c:axId val="143523840"/>
        <c:scaling>
          <c:orientation val="minMax"/>
        </c:scaling>
        <c:delete val="0"/>
        <c:axPos val="b"/>
        <c:numFmt formatCode="General" sourceLinked="1"/>
        <c:majorTickMark val="in"/>
        <c:minorTickMark val="none"/>
        <c:tickLblPos val="nextTo"/>
        <c:txPr>
          <a:bodyPr rot="-2700000" vert="horz"/>
          <a:lstStyle/>
          <a:p>
            <a:pPr>
              <a:defRPr sz="1000"/>
            </a:pPr>
            <a:endParaRPr lang="en-US"/>
          </a:p>
        </c:txPr>
        <c:crossAx val="143525376"/>
        <c:crosses val="autoZero"/>
        <c:auto val="1"/>
        <c:lblAlgn val="ctr"/>
        <c:lblOffset val="100"/>
        <c:tickLblSkip val="1"/>
        <c:tickMarkSkip val="1"/>
        <c:noMultiLvlLbl val="0"/>
      </c:catAx>
      <c:valAx>
        <c:axId val="143525376"/>
        <c:scaling>
          <c:orientation val="minMax"/>
          <c:max val="12.5"/>
          <c:min val="-15"/>
        </c:scaling>
        <c:delete val="0"/>
        <c:axPos val="l"/>
        <c:majorGridlines/>
        <c:title>
          <c:tx>
            <c:rich>
              <a:bodyPr rot="-5400000" vert="horz"/>
              <a:lstStyle/>
              <a:p>
                <a:pPr>
                  <a:defRPr sz="1100"/>
                </a:pPr>
                <a:r>
                  <a:rPr lang="en-US" sz="1100"/>
                  <a:t>Metric Tonnes CO</a:t>
                </a:r>
                <a:r>
                  <a:rPr lang="en-US" sz="1100" baseline="-25000"/>
                  <a:t>2</a:t>
                </a:r>
                <a:r>
                  <a:rPr lang="en-US" sz="1100"/>
                  <a:t>/Acre</a:t>
                </a:r>
              </a:p>
            </c:rich>
          </c:tx>
          <c:layout>
            <c:manualLayout>
              <c:xMode val="edge"/>
              <c:yMode val="edge"/>
              <c:x val="1.8259550889472148E-3"/>
              <c:y val="0.39770861757401466"/>
            </c:manualLayout>
          </c:layout>
          <c:overlay val="0"/>
          <c:spPr>
            <a:noFill/>
            <a:ln w="25400">
              <a:noFill/>
            </a:ln>
          </c:spPr>
        </c:title>
        <c:numFmt formatCode="#,##0.0" sourceLinked="0"/>
        <c:majorTickMark val="out"/>
        <c:minorTickMark val="none"/>
        <c:tickLblPos val="nextTo"/>
        <c:txPr>
          <a:bodyPr rot="0" vert="horz"/>
          <a:lstStyle/>
          <a:p>
            <a:pPr>
              <a:defRPr/>
            </a:pPr>
            <a:endParaRPr lang="en-US"/>
          </a:p>
        </c:txPr>
        <c:crossAx val="143523840"/>
        <c:crosses val="autoZero"/>
        <c:crossBetween val="between"/>
        <c:majorUnit val="2.5"/>
      </c:valAx>
      <c:spPr>
        <a:noFill/>
        <a:ln w="25400">
          <a:noFill/>
        </a:ln>
      </c:spPr>
    </c:plotArea>
    <c:legend>
      <c:legendPos val="t"/>
      <c:layout>
        <c:manualLayout>
          <c:xMode val="edge"/>
          <c:yMode val="edge"/>
          <c:x val="2.0001049868766402E-2"/>
          <c:y val="8.7170478859357123E-3"/>
          <c:w val="0.96370265383493736"/>
          <c:h val="0.17491634929212702"/>
        </c:manualLayout>
      </c:layout>
      <c:overlay val="0"/>
      <c:txPr>
        <a:bodyPr/>
        <a:lstStyle/>
        <a:p>
          <a:pPr>
            <a:defRPr sz="105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34244678778475E-2"/>
          <c:y val="1.5444164846196137E-2"/>
          <c:w val="0.89893222139244067"/>
          <c:h val="0.91065406300086482"/>
        </c:manualLayout>
      </c:layout>
      <c:lineChart>
        <c:grouping val="standard"/>
        <c:varyColors val="0"/>
        <c:ser>
          <c:idx val="0"/>
          <c:order val="0"/>
          <c:tx>
            <c:v>Project Cumulative HWP Pool</c:v>
          </c:tx>
          <c:marker>
            <c:symbol val="none"/>
          </c:marker>
          <c:cat>
            <c:numRef>
              <c:f>extra!$W$245:$W$345</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extra!$AA$245:$AA$345</c:f>
              <c:numCache>
                <c:formatCode>General</c:formatCode>
                <c:ptCount val="101"/>
                <c:pt idx="0">
                  <c:v>0</c:v>
                </c:pt>
                <c:pt idx="1">
                  <c:v>0</c:v>
                </c:pt>
                <c:pt idx="2">
                  <c:v>0</c:v>
                </c:pt>
                <c:pt idx="3">
                  <c:v>0</c:v>
                </c:pt>
                <c:pt idx="4">
                  <c:v>0</c:v>
                </c:pt>
                <c:pt idx="5">
                  <c:v>0</c:v>
                </c:pt>
                <c:pt idx="6">
                  <c:v>0</c:v>
                </c:pt>
                <c:pt idx="7">
                  <c:v>0.43241078520757609</c:v>
                </c:pt>
                <c:pt idx="8">
                  <c:v>0.43241078520757609</c:v>
                </c:pt>
                <c:pt idx="9">
                  <c:v>0.43241078520757609</c:v>
                </c:pt>
                <c:pt idx="10">
                  <c:v>1.5091704559733152</c:v>
                </c:pt>
                <c:pt idx="11">
                  <c:v>1.5091704559733152</c:v>
                </c:pt>
                <c:pt idx="12">
                  <c:v>1.5091704559733152</c:v>
                </c:pt>
                <c:pt idx="13">
                  <c:v>1.5091704559733152</c:v>
                </c:pt>
                <c:pt idx="14">
                  <c:v>1.5091704559733152</c:v>
                </c:pt>
                <c:pt idx="15">
                  <c:v>2.0896947427836596</c:v>
                </c:pt>
                <c:pt idx="16">
                  <c:v>2.0896947427836596</c:v>
                </c:pt>
                <c:pt idx="17">
                  <c:v>2.0896947427836596</c:v>
                </c:pt>
                <c:pt idx="18">
                  <c:v>2.0896947427836596</c:v>
                </c:pt>
                <c:pt idx="19">
                  <c:v>2.0896947427836596</c:v>
                </c:pt>
                <c:pt idx="20">
                  <c:v>3.9921184298999544</c:v>
                </c:pt>
                <c:pt idx="21">
                  <c:v>3.9921184298999544</c:v>
                </c:pt>
                <c:pt idx="22">
                  <c:v>3.9921184298999544</c:v>
                </c:pt>
                <c:pt idx="23">
                  <c:v>3.9921184298999544</c:v>
                </c:pt>
                <c:pt idx="24">
                  <c:v>3.9921184298999544</c:v>
                </c:pt>
                <c:pt idx="25">
                  <c:v>5.6172645921770403</c:v>
                </c:pt>
                <c:pt idx="26">
                  <c:v>5.6172645921770403</c:v>
                </c:pt>
                <c:pt idx="27">
                  <c:v>6.3695546778369714</c:v>
                </c:pt>
                <c:pt idx="28">
                  <c:v>6.3695546778369714</c:v>
                </c:pt>
                <c:pt idx="29">
                  <c:v>6.3695546778369714</c:v>
                </c:pt>
                <c:pt idx="30">
                  <c:v>6.3695546778369714</c:v>
                </c:pt>
                <c:pt idx="31">
                  <c:v>6.3695546778369714</c:v>
                </c:pt>
                <c:pt idx="32">
                  <c:v>6.3695546778369714</c:v>
                </c:pt>
                <c:pt idx="33">
                  <c:v>6.3695546778369714</c:v>
                </c:pt>
                <c:pt idx="34">
                  <c:v>6.3695546778369714</c:v>
                </c:pt>
                <c:pt idx="35">
                  <c:v>6.568909160375874</c:v>
                </c:pt>
                <c:pt idx="36">
                  <c:v>6.568909160375874</c:v>
                </c:pt>
                <c:pt idx="37">
                  <c:v>6.568909160375874</c:v>
                </c:pt>
                <c:pt idx="38">
                  <c:v>6.568909160375874</c:v>
                </c:pt>
                <c:pt idx="39">
                  <c:v>6.568909160375874</c:v>
                </c:pt>
                <c:pt idx="40">
                  <c:v>7.4721876170698076</c:v>
                </c:pt>
                <c:pt idx="41">
                  <c:v>7.4721876170698076</c:v>
                </c:pt>
                <c:pt idx="42">
                  <c:v>7.4721876170698076</c:v>
                </c:pt>
                <c:pt idx="43">
                  <c:v>7.4721876170698076</c:v>
                </c:pt>
                <c:pt idx="44">
                  <c:v>7.4721876170698076</c:v>
                </c:pt>
                <c:pt idx="45">
                  <c:v>8.7426614551252282</c:v>
                </c:pt>
                <c:pt idx="46">
                  <c:v>8.7426614551252282</c:v>
                </c:pt>
                <c:pt idx="47">
                  <c:v>8.7426614551252282</c:v>
                </c:pt>
                <c:pt idx="48">
                  <c:v>8.7426614551252282</c:v>
                </c:pt>
                <c:pt idx="49">
                  <c:v>8.7426614551252282</c:v>
                </c:pt>
                <c:pt idx="50">
                  <c:v>9.1861724929255839</c:v>
                </c:pt>
                <c:pt idx="51">
                  <c:v>9.1861724929255839</c:v>
                </c:pt>
                <c:pt idx="52">
                  <c:v>9.1861724929255839</c:v>
                </c:pt>
                <c:pt idx="53">
                  <c:v>9.1861724929255839</c:v>
                </c:pt>
                <c:pt idx="54">
                  <c:v>9.1861724929255839</c:v>
                </c:pt>
                <c:pt idx="55">
                  <c:v>9.1861724929255839</c:v>
                </c:pt>
                <c:pt idx="56">
                  <c:v>9.1861724929255839</c:v>
                </c:pt>
                <c:pt idx="57">
                  <c:v>9.1861724929255839</c:v>
                </c:pt>
                <c:pt idx="58">
                  <c:v>9.1861724929255839</c:v>
                </c:pt>
                <c:pt idx="59">
                  <c:v>9.1861724929255839</c:v>
                </c:pt>
                <c:pt idx="60">
                  <c:v>11.458250623769029</c:v>
                </c:pt>
                <c:pt idx="61">
                  <c:v>11.458250623769029</c:v>
                </c:pt>
                <c:pt idx="62">
                  <c:v>11.458250623769029</c:v>
                </c:pt>
                <c:pt idx="63">
                  <c:v>11.458250623769029</c:v>
                </c:pt>
                <c:pt idx="64">
                  <c:v>11.458250623769029</c:v>
                </c:pt>
                <c:pt idx="65">
                  <c:v>12.045527919414674</c:v>
                </c:pt>
                <c:pt idx="66">
                  <c:v>12.045527919414674</c:v>
                </c:pt>
                <c:pt idx="67">
                  <c:v>12.045527919414674</c:v>
                </c:pt>
                <c:pt idx="68">
                  <c:v>12.045527919414674</c:v>
                </c:pt>
                <c:pt idx="69">
                  <c:v>12.045527919414674</c:v>
                </c:pt>
                <c:pt idx="70">
                  <c:v>12.683539333151833</c:v>
                </c:pt>
                <c:pt idx="71">
                  <c:v>12.683539333151833</c:v>
                </c:pt>
                <c:pt idx="72">
                  <c:v>12.683539333151833</c:v>
                </c:pt>
                <c:pt idx="73">
                  <c:v>12.683539333151833</c:v>
                </c:pt>
                <c:pt idx="74">
                  <c:v>12.683539333151833</c:v>
                </c:pt>
                <c:pt idx="75">
                  <c:v>12.683539333151833</c:v>
                </c:pt>
                <c:pt idx="76">
                  <c:v>12.683539333151833</c:v>
                </c:pt>
                <c:pt idx="77">
                  <c:v>12.683539333151833</c:v>
                </c:pt>
                <c:pt idx="78">
                  <c:v>12.683539333151833</c:v>
                </c:pt>
                <c:pt idx="79">
                  <c:v>12.683539333151833</c:v>
                </c:pt>
                <c:pt idx="80">
                  <c:v>15.702948653202604</c:v>
                </c:pt>
                <c:pt idx="81">
                  <c:v>15.702948653202604</c:v>
                </c:pt>
                <c:pt idx="82">
                  <c:v>15.702948653202604</c:v>
                </c:pt>
                <c:pt idx="83">
                  <c:v>15.702948653202604</c:v>
                </c:pt>
                <c:pt idx="84">
                  <c:v>15.702948653202604</c:v>
                </c:pt>
                <c:pt idx="85">
                  <c:v>19.100316368393059</c:v>
                </c:pt>
                <c:pt idx="86">
                  <c:v>19.100316368393059</c:v>
                </c:pt>
                <c:pt idx="87">
                  <c:v>19.100316368393059</c:v>
                </c:pt>
                <c:pt idx="88">
                  <c:v>19.100316368393059</c:v>
                </c:pt>
                <c:pt idx="89">
                  <c:v>19.100316368393059</c:v>
                </c:pt>
                <c:pt idx="90">
                  <c:v>19.100316368393059</c:v>
                </c:pt>
                <c:pt idx="91">
                  <c:v>19.100316368393059</c:v>
                </c:pt>
                <c:pt idx="92">
                  <c:v>19.100316368393059</c:v>
                </c:pt>
                <c:pt idx="93">
                  <c:v>19.100316368393059</c:v>
                </c:pt>
                <c:pt idx="94">
                  <c:v>19.100316368393059</c:v>
                </c:pt>
                <c:pt idx="95">
                  <c:v>20.706931273125761</c:v>
                </c:pt>
                <c:pt idx="96">
                  <c:v>20.706931273125761</c:v>
                </c:pt>
                <c:pt idx="97">
                  <c:v>20.706931273125761</c:v>
                </c:pt>
                <c:pt idx="98">
                  <c:v>20.706931273125761</c:v>
                </c:pt>
                <c:pt idx="99">
                  <c:v>20.706931273125761</c:v>
                </c:pt>
                <c:pt idx="100">
                  <c:v>21.591832734412524</c:v>
                </c:pt>
              </c:numCache>
            </c:numRef>
          </c:val>
          <c:smooth val="0"/>
        </c:ser>
        <c:ser>
          <c:idx val="1"/>
          <c:order val="1"/>
          <c:tx>
            <c:v>Baseline Cumulative HWP Pool</c:v>
          </c:tx>
          <c:spPr>
            <a:ln>
              <a:solidFill>
                <a:schemeClr val="accent6">
                  <a:lumMod val="75000"/>
                </a:schemeClr>
              </a:solidFill>
            </a:ln>
          </c:spPr>
          <c:marker>
            <c:symbol val="none"/>
          </c:marker>
          <c:cat>
            <c:numRef>
              <c:f>extra!$W$245:$W$345</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extra!$AB$245:$AB$345</c:f>
              <c:numCache>
                <c:formatCode>General</c:formatCode>
                <c:ptCount val="101"/>
                <c:pt idx="0">
                  <c:v>0</c:v>
                </c:pt>
                <c:pt idx="1">
                  <c:v>0</c:v>
                </c:pt>
                <c:pt idx="2">
                  <c:v>2.481892799546455</c:v>
                </c:pt>
                <c:pt idx="3">
                  <c:v>2.481892799546455</c:v>
                </c:pt>
                <c:pt idx="4">
                  <c:v>2.481892799546455</c:v>
                </c:pt>
                <c:pt idx="5">
                  <c:v>2.481892799546455</c:v>
                </c:pt>
                <c:pt idx="6">
                  <c:v>2.481892799546455</c:v>
                </c:pt>
                <c:pt idx="7">
                  <c:v>2.481892799546455</c:v>
                </c:pt>
                <c:pt idx="8">
                  <c:v>2.481892799546455</c:v>
                </c:pt>
                <c:pt idx="9">
                  <c:v>2.481892799546455</c:v>
                </c:pt>
                <c:pt idx="10">
                  <c:v>2.481892799546455</c:v>
                </c:pt>
                <c:pt idx="11">
                  <c:v>2.481892799546455</c:v>
                </c:pt>
                <c:pt idx="12">
                  <c:v>3.9057476979478691</c:v>
                </c:pt>
                <c:pt idx="13">
                  <c:v>3.9057476979478691</c:v>
                </c:pt>
                <c:pt idx="14">
                  <c:v>3.9057476979478691</c:v>
                </c:pt>
                <c:pt idx="15">
                  <c:v>3.9057476979478691</c:v>
                </c:pt>
                <c:pt idx="16">
                  <c:v>3.9057476979478691</c:v>
                </c:pt>
                <c:pt idx="17">
                  <c:v>3.9057476979478691</c:v>
                </c:pt>
                <c:pt idx="18">
                  <c:v>3.9057476979478691</c:v>
                </c:pt>
                <c:pt idx="19">
                  <c:v>3.9057476979478691</c:v>
                </c:pt>
                <c:pt idx="20">
                  <c:v>3.9057476979478691</c:v>
                </c:pt>
                <c:pt idx="21">
                  <c:v>3.9057476979478691</c:v>
                </c:pt>
                <c:pt idx="22">
                  <c:v>3.9057476979478691</c:v>
                </c:pt>
                <c:pt idx="23">
                  <c:v>3.9057476979478691</c:v>
                </c:pt>
                <c:pt idx="24">
                  <c:v>3.9057476979478691</c:v>
                </c:pt>
                <c:pt idx="25">
                  <c:v>3.9057476979478691</c:v>
                </c:pt>
                <c:pt idx="26">
                  <c:v>3.9057476979478691</c:v>
                </c:pt>
                <c:pt idx="27">
                  <c:v>3.9057476979478691</c:v>
                </c:pt>
                <c:pt idx="28">
                  <c:v>3.9057476979478691</c:v>
                </c:pt>
                <c:pt idx="29">
                  <c:v>3.9057476979478691</c:v>
                </c:pt>
                <c:pt idx="30">
                  <c:v>3.9057476979478691</c:v>
                </c:pt>
                <c:pt idx="31">
                  <c:v>3.9057476979478691</c:v>
                </c:pt>
                <c:pt idx="32">
                  <c:v>3.9057476979478691</c:v>
                </c:pt>
                <c:pt idx="33">
                  <c:v>3.9057476979478691</c:v>
                </c:pt>
                <c:pt idx="34">
                  <c:v>3.9057476979478691</c:v>
                </c:pt>
                <c:pt idx="35">
                  <c:v>3.9057476979478691</c:v>
                </c:pt>
                <c:pt idx="36">
                  <c:v>3.9057476979478691</c:v>
                </c:pt>
                <c:pt idx="37">
                  <c:v>3.9057476979478691</c:v>
                </c:pt>
                <c:pt idx="38">
                  <c:v>3.9057476979478691</c:v>
                </c:pt>
                <c:pt idx="39">
                  <c:v>3.9057476979478691</c:v>
                </c:pt>
                <c:pt idx="40">
                  <c:v>3.9057476979478691</c:v>
                </c:pt>
                <c:pt idx="41">
                  <c:v>3.9057476979478691</c:v>
                </c:pt>
                <c:pt idx="42">
                  <c:v>4.2980696596169787</c:v>
                </c:pt>
                <c:pt idx="43">
                  <c:v>4.2980696596169787</c:v>
                </c:pt>
                <c:pt idx="44">
                  <c:v>4.2980696596169787</c:v>
                </c:pt>
                <c:pt idx="45">
                  <c:v>4.2980696596169787</c:v>
                </c:pt>
                <c:pt idx="46">
                  <c:v>4.2980696596169787</c:v>
                </c:pt>
                <c:pt idx="47">
                  <c:v>4.2980696596169787</c:v>
                </c:pt>
                <c:pt idx="48">
                  <c:v>4.2980696596169787</c:v>
                </c:pt>
                <c:pt idx="49">
                  <c:v>4.2980696596169787</c:v>
                </c:pt>
                <c:pt idx="50">
                  <c:v>4.2980696596169787</c:v>
                </c:pt>
                <c:pt idx="51">
                  <c:v>4.2980696596169787</c:v>
                </c:pt>
                <c:pt idx="52">
                  <c:v>5.8579887685490784</c:v>
                </c:pt>
                <c:pt idx="53">
                  <c:v>5.8579887685490784</c:v>
                </c:pt>
                <c:pt idx="54">
                  <c:v>5.8579887685490784</c:v>
                </c:pt>
                <c:pt idx="55">
                  <c:v>5.8579887685490784</c:v>
                </c:pt>
                <c:pt idx="56">
                  <c:v>5.8579887685490784</c:v>
                </c:pt>
                <c:pt idx="57">
                  <c:v>5.8579887685490784</c:v>
                </c:pt>
                <c:pt idx="58">
                  <c:v>5.8579887685490784</c:v>
                </c:pt>
                <c:pt idx="59">
                  <c:v>5.8579887685490784</c:v>
                </c:pt>
                <c:pt idx="60">
                  <c:v>5.8579887685490784</c:v>
                </c:pt>
                <c:pt idx="61">
                  <c:v>5.8579887685490784</c:v>
                </c:pt>
                <c:pt idx="62">
                  <c:v>5.8579887685490784</c:v>
                </c:pt>
                <c:pt idx="63">
                  <c:v>5.8579887685490784</c:v>
                </c:pt>
                <c:pt idx="64">
                  <c:v>5.8579887685490784</c:v>
                </c:pt>
                <c:pt idx="65">
                  <c:v>5.8579887685490784</c:v>
                </c:pt>
                <c:pt idx="66">
                  <c:v>5.8579887685490784</c:v>
                </c:pt>
                <c:pt idx="67">
                  <c:v>5.8579887685490784</c:v>
                </c:pt>
                <c:pt idx="68">
                  <c:v>5.8579887685490784</c:v>
                </c:pt>
                <c:pt idx="69">
                  <c:v>5.8579887685490784</c:v>
                </c:pt>
                <c:pt idx="70">
                  <c:v>5.8579887685490784</c:v>
                </c:pt>
                <c:pt idx="71">
                  <c:v>5.8579887685490784</c:v>
                </c:pt>
                <c:pt idx="72">
                  <c:v>5.8579887685490784</c:v>
                </c:pt>
                <c:pt idx="73">
                  <c:v>5.8579887685490784</c:v>
                </c:pt>
                <c:pt idx="74">
                  <c:v>5.8579887685490784</c:v>
                </c:pt>
                <c:pt idx="75">
                  <c:v>5.8579887685490784</c:v>
                </c:pt>
                <c:pt idx="76">
                  <c:v>5.8579887685490784</c:v>
                </c:pt>
                <c:pt idx="77">
                  <c:v>5.8579887685490784</c:v>
                </c:pt>
                <c:pt idx="78">
                  <c:v>5.8579887685490784</c:v>
                </c:pt>
                <c:pt idx="79">
                  <c:v>5.8579887685490784</c:v>
                </c:pt>
                <c:pt idx="80">
                  <c:v>5.8579887685490784</c:v>
                </c:pt>
                <c:pt idx="81">
                  <c:v>5.8579887685490784</c:v>
                </c:pt>
                <c:pt idx="82">
                  <c:v>6.8040801140398353</c:v>
                </c:pt>
                <c:pt idx="83">
                  <c:v>6.8040801140398353</c:v>
                </c:pt>
                <c:pt idx="84">
                  <c:v>6.8040801140398353</c:v>
                </c:pt>
                <c:pt idx="85">
                  <c:v>6.8040801140398353</c:v>
                </c:pt>
                <c:pt idx="86">
                  <c:v>6.8040801140398353</c:v>
                </c:pt>
                <c:pt idx="87">
                  <c:v>6.8040801140398353</c:v>
                </c:pt>
                <c:pt idx="88">
                  <c:v>6.8040801140398353</c:v>
                </c:pt>
                <c:pt idx="89">
                  <c:v>6.8040801140398353</c:v>
                </c:pt>
                <c:pt idx="90">
                  <c:v>6.8040801140398353</c:v>
                </c:pt>
                <c:pt idx="91">
                  <c:v>6.8040801140398353</c:v>
                </c:pt>
                <c:pt idx="92">
                  <c:v>7.4777062053136643</c:v>
                </c:pt>
                <c:pt idx="93">
                  <c:v>7.4777062053136643</c:v>
                </c:pt>
                <c:pt idx="94">
                  <c:v>7.4777062053136643</c:v>
                </c:pt>
                <c:pt idx="95">
                  <c:v>7.4777062053136643</c:v>
                </c:pt>
                <c:pt idx="96">
                  <c:v>7.4777062053136643</c:v>
                </c:pt>
                <c:pt idx="97">
                  <c:v>7.4777062053136643</c:v>
                </c:pt>
                <c:pt idx="98">
                  <c:v>7.4777062053136643</c:v>
                </c:pt>
                <c:pt idx="99">
                  <c:v>7.4777062053136643</c:v>
                </c:pt>
                <c:pt idx="100">
                  <c:v>7.4777062053136643</c:v>
                </c:pt>
              </c:numCache>
            </c:numRef>
          </c:val>
          <c:smooth val="0"/>
        </c:ser>
        <c:ser>
          <c:idx val="2"/>
          <c:order val="2"/>
          <c:tx>
            <c:v>Project Annual HWP Pool Change</c:v>
          </c:tx>
          <c:spPr>
            <a:ln>
              <a:solidFill>
                <a:schemeClr val="accent5">
                  <a:lumMod val="60000"/>
                  <a:lumOff val="40000"/>
                </a:schemeClr>
              </a:solidFill>
            </a:ln>
          </c:spPr>
          <c:marker>
            <c:symbol val="none"/>
          </c:marker>
          <c:cat>
            <c:numRef>
              <c:f>extra!$W$245:$W$345</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extra!$X$245:$X$345</c:f>
              <c:numCache>
                <c:formatCode>General</c:formatCode>
                <c:ptCount val="101"/>
                <c:pt idx="0">
                  <c:v>0</c:v>
                </c:pt>
                <c:pt idx="1">
                  <c:v>0</c:v>
                </c:pt>
                <c:pt idx="2">
                  <c:v>0</c:v>
                </c:pt>
                <c:pt idx="3">
                  <c:v>0</c:v>
                </c:pt>
                <c:pt idx="4">
                  <c:v>0</c:v>
                </c:pt>
                <c:pt idx="5">
                  <c:v>0</c:v>
                </c:pt>
                <c:pt idx="6">
                  <c:v>0</c:v>
                </c:pt>
                <c:pt idx="7">
                  <c:v>0.43241078520757609</c:v>
                </c:pt>
                <c:pt idx="8">
                  <c:v>0</c:v>
                </c:pt>
                <c:pt idx="9">
                  <c:v>0</c:v>
                </c:pt>
                <c:pt idx="10">
                  <c:v>1.0767596707657392</c:v>
                </c:pt>
                <c:pt idx="11">
                  <c:v>0</c:v>
                </c:pt>
                <c:pt idx="12">
                  <c:v>0</c:v>
                </c:pt>
                <c:pt idx="13">
                  <c:v>0</c:v>
                </c:pt>
                <c:pt idx="14">
                  <c:v>0</c:v>
                </c:pt>
                <c:pt idx="15">
                  <c:v>0.58052428681034451</c:v>
                </c:pt>
                <c:pt idx="16">
                  <c:v>0</c:v>
                </c:pt>
                <c:pt idx="17">
                  <c:v>0</c:v>
                </c:pt>
                <c:pt idx="18">
                  <c:v>0</c:v>
                </c:pt>
                <c:pt idx="19">
                  <c:v>0</c:v>
                </c:pt>
                <c:pt idx="20">
                  <c:v>1.9024236871162947</c:v>
                </c:pt>
                <c:pt idx="21">
                  <c:v>0</c:v>
                </c:pt>
                <c:pt idx="22">
                  <c:v>0</c:v>
                </c:pt>
                <c:pt idx="23">
                  <c:v>0</c:v>
                </c:pt>
                <c:pt idx="24">
                  <c:v>0</c:v>
                </c:pt>
                <c:pt idx="25">
                  <c:v>1.6251461622770855</c:v>
                </c:pt>
                <c:pt idx="26">
                  <c:v>0</c:v>
                </c:pt>
                <c:pt idx="27">
                  <c:v>0.75229008565993138</c:v>
                </c:pt>
                <c:pt idx="28">
                  <c:v>0</c:v>
                </c:pt>
                <c:pt idx="29">
                  <c:v>0</c:v>
                </c:pt>
                <c:pt idx="30">
                  <c:v>0</c:v>
                </c:pt>
                <c:pt idx="31">
                  <c:v>0</c:v>
                </c:pt>
                <c:pt idx="32">
                  <c:v>0</c:v>
                </c:pt>
                <c:pt idx="33">
                  <c:v>0</c:v>
                </c:pt>
                <c:pt idx="34">
                  <c:v>0</c:v>
                </c:pt>
                <c:pt idx="35">
                  <c:v>0.19935448253890248</c:v>
                </c:pt>
                <c:pt idx="36">
                  <c:v>0</c:v>
                </c:pt>
                <c:pt idx="37">
                  <c:v>0</c:v>
                </c:pt>
                <c:pt idx="38">
                  <c:v>0</c:v>
                </c:pt>
                <c:pt idx="39">
                  <c:v>0</c:v>
                </c:pt>
                <c:pt idx="40">
                  <c:v>0.90327845669393392</c:v>
                </c:pt>
                <c:pt idx="41">
                  <c:v>0</c:v>
                </c:pt>
                <c:pt idx="42">
                  <c:v>0</c:v>
                </c:pt>
                <c:pt idx="43">
                  <c:v>0</c:v>
                </c:pt>
                <c:pt idx="44">
                  <c:v>0</c:v>
                </c:pt>
                <c:pt idx="45">
                  <c:v>1.2704738380554212</c:v>
                </c:pt>
                <c:pt idx="46">
                  <c:v>0</c:v>
                </c:pt>
                <c:pt idx="47">
                  <c:v>0</c:v>
                </c:pt>
                <c:pt idx="48">
                  <c:v>0</c:v>
                </c:pt>
                <c:pt idx="49">
                  <c:v>0</c:v>
                </c:pt>
                <c:pt idx="50">
                  <c:v>0.44351103780035639</c:v>
                </c:pt>
                <c:pt idx="51">
                  <c:v>0</c:v>
                </c:pt>
                <c:pt idx="52">
                  <c:v>0</c:v>
                </c:pt>
                <c:pt idx="53">
                  <c:v>0</c:v>
                </c:pt>
                <c:pt idx="54">
                  <c:v>0</c:v>
                </c:pt>
                <c:pt idx="55">
                  <c:v>0</c:v>
                </c:pt>
                <c:pt idx="56">
                  <c:v>0</c:v>
                </c:pt>
                <c:pt idx="57">
                  <c:v>0</c:v>
                </c:pt>
                <c:pt idx="58">
                  <c:v>0</c:v>
                </c:pt>
                <c:pt idx="59">
                  <c:v>0</c:v>
                </c:pt>
                <c:pt idx="60">
                  <c:v>2.2720781308434446</c:v>
                </c:pt>
                <c:pt idx="61">
                  <c:v>0</c:v>
                </c:pt>
                <c:pt idx="62">
                  <c:v>0</c:v>
                </c:pt>
                <c:pt idx="63">
                  <c:v>0</c:v>
                </c:pt>
                <c:pt idx="64">
                  <c:v>0</c:v>
                </c:pt>
                <c:pt idx="65">
                  <c:v>0.58727729564564468</c:v>
                </c:pt>
                <c:pt idx="66">
                  <c:v>0</c:v>
                </c:pt>
                <c:pt idx="67">
                  <c:v>0</c:v>
                </c:pt>
                <c:pt idx="68">
                  <c:v>0</c:v>
                </c:pt>
                <c:pt idx="69">
                  <c:v>0</c:v>
                </c:pt>
                <c:pt idx="70">
                  <c:v>0.63801141373715964</c:v>
                </c:pt>
                <c:pt idx="71">
                  <c:v>0</c:v>
                </c:pt>
                <c:pt idx="72">
                  <c:v>0</c:v>
                </c:pt>
                <c:pt idx="73">
                  <c:v>0</c:v>
                </c:pt>
                <c:pt idx="74">
                  <c:v>0</c:v>
                </c:pt>
                <c:pt idx="75">
                  <c:v>0</c:v>
                </c:pt>
                <c:pt idx="76">
                  <c:v>0</c:v>
                </c:pt>
                <c:pt idx="77">
                  <c:v>0</c:v>
                </c:pt>
                <c:pt idx="78">
                  <c:v>0</c:v>
                </c:pt>
                <c:pt idx="79">
                  <c:v>0</c:v>
                </c:pt>
                <c:pt idx="80">
                  <c:v>3.0194093200507703</c:v>
                </c:pt>
                <c:pt idx="81">
                  <c:v>0</c:v>
                </c:pt>
                <c:pt idx="82">
                  <c:v>0</c:v>
                </c:pt>
                <c:pt idx="83">
                  <c:v>0</c:v>
                </c:pt>
                <c:pt idx="84">
                  <c:v>0</c:v>
                </c:pt>
                <c:pt idx="85">
                  <c:v>3.3973677151904558</c:v>
                </c:pt>
                <c:pt idx="86">
                  <c:v>0</c:v>
                </c:pt>
                <c:pt idx="87">
                  <c:v>0</c:v>
                </c:pt>
                <c:pt idx="88">
                  <c:v>0</c:v>
                </c:pt>
                <c:pt idx="89">
                  <c:v>0</c:v>
                </c:pt>
                <c:pt idx="90">
                  <c:v>0</c:v>
                </c:pt>
                <c:pt idx="91">
                  <c:v>0</c:v>
                </c:pt>
                <c:pt idx="92">
                  <c:v>0</c:v>
                </c:pt>
                <c:pt idx="93">
                  <c:v>0</c:v>
                </c:pt>
                <c:pt idx="94">
                  <c:v>0</c:v>
                </c:pt>
                <c:pt idx="95">
                  <c:v>1.6066149047327023</c:v>
                </c:pt>
                <c:pt idx="96">
                  <c:v>0</c:v>
                </c:pt>
                <c:pt idx="97">
                  <c:v>0</c:v>
                </c:pt>
                <c:pt idx="98">
                  <c:v>0</c:v>
                </c:pt>
                <c:pt idx="99">
                  <c:v>0</c:v>
                </c:pt>
                <c:pt idx="100">
                  <c:v>0.88490146128676295</c:v>
                </c:pt>
              </c:numCache>
            </c:numRef>
          </c:val>
          <c:smooth val="0"/>
        </c:ser>
        <c:ser>
          <c:idx val="3"/>
          <c:order val="3"/>
          <c:tx>
            <c:v>Baseline Annual HWP Pool Change</c:v>
          </c:tx>
          <c:spPr>
            <a:ln>
              <a:solidFill>
                <a:schemeClr val="accent6"/>
              </a:solidFill>
            </a:ln>
          </c:spPr>
          <c:marker>
            <c:symbol val="none"/>
          </c:marker>
          <c:cat>
            <c:numRef>
              <c:f>extra!$W$245:$W$345</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extra!$Y$245:$Y$345</c:f>
              <c:numCache>
                <c:formatCode>General</c:formatCode>
                <c:ptCount val="101"/>
                <c:pt idx="0">
                  <c:v>0</c:v>
                </c:pt>
                <c:pt idx="1">
                  <c:v>0</c:v>
                </c:pt>
                <c:pt idx="2">
                  <c:v>2.481892799546455</c:v>
                </c:pt>
                <c:pt idx="3">
                  <c:v>0</c:v>
                </c:pt>
                <c:pt idx="4">
                  <c:v>0</c:v>
                </c:pt>
                <c:pt idx="5">
                  <c:v>0</c:v>
                </c:pt>
                <c:pt idx="6">
                  <c:v>0</c:v>
                </c:pt>
                <c:pt idx="7">
                  <c:v>0</c:v>
                </c:pt>
                <c:pt idx="8">
                  <c:v>0</c:v>
                </c:pt>
                <c:pt idx="9">
                  <c:v>0</c:v>
                </c:pt>
                <c:pt idx="10">
                  <c:v>0</c:v>
                </c:pt>
                <c:pt idx="11">
                  <c:v>0</c:v>
                </c:pt>
                <c:pt idx="12">
                  <c:v>1.4238548984014141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0.39232196166910949</c:v>
                </c:pt>
                <c:pt idx="43">
                  <c:v>0</c:v>
                </c:pt>
                <c:pt idx="44">
                  <c:v>0</c:v>
                </c:pt>
                <c:pt idx="45">
                  <c:v>0</c:v>
                </c:pt>
                <c:pt idx="46">
                  <c:v>0</c:v>
                </c:pt>
                <c:pt idx="47">
                  <c:v>0</c:v>
                </c:pt>
                <c:pt idx="48">
                  <c:v>0</c:v>
                </c:pt>
                <c:pt idx="49">
                  <c:v>0</c:v>
                </c:pt>
                <c:pt idx="50">
                  <c:v>0</c:v>
                </c:pt>
                <c:pt idx="51">
                  <c:v>0</c:v>
                </c:pt>
                <c:pt idx="52">
                  <c:v>1.5599191089320996</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0.94609134549075702</c:v>
                </c:pt>
                <c:pt idx="83">
                  <c:v>0</c:v>
                </c:pt>
                <c:pt idx="84">
                  <c:v>0</c:v>
                </c:pt>
                <c:pt idx="85">
                  <c:v>0</c:v>
                </c:pt>
                <c:pt idx="86">
                  <c:v>0</c:v>
                </c:pt>
                <c:pt idx="87">
                  <c:v>0</c:v>
                </c:pt>
                <c:pt idx="88">
                  <c:v>0</c:v>
                </c:pt>
                <c:pt idx="89">
                  <c:v>0</c:v>
                </c:pt>
                <c:pt idx="90">
                  <c:v>0</c:v>
                </c:pt>
                <c:pt idx="91">
                  <c:v>0</c:v>
                </c:pt>
                <c:pt idx="92">
                  <c:v>0.67362609127382933</c:v>
                </c:pt>
                <c:pt idx="93">
                  <c:v>0</c:v>
                </c:pt>
                <c:pt idx="94">
                  <c:v>0</c:v>
                </c:pt>
                <c:pt idx="95">
                  <c:v>0</c:v>
                </c:pt>
                <c:pt idx="96">
                  <c:v>0</c:v>
                </c:pt>
                <c:pt idx="97">
                  <c:v>0</c:v>
                </c:pt>
                <c:pt idx="98">
                  <c:v>0</c:v>
                </c:pt>
                <c:pt idx="99">
                  <c:v>0</c:v>
                </c:pt>
                <c:pt idx="100">
                  <c:v>0</c:v>
                </c:pt>
              </c:numCache>
            </c:numRef>
          </c:val>
          <c:smooth val="0"/>
        </c:ser>
        <c:ser>
          <c:idx val="4"/>
          <c:order val="4"/>
          <c:tx>
            <c:v>Baseline Annualized HWP Pool</c:v>
          </c:tx>
          <c:spPr>
            <a:ln>
              <a:solidFill>
                <a:schemeClr val="tx1"/>
              </a:solidFill>
            </a:ln>
          </c:spPr>
          <c:marker>
            <c:symbol val="none"/>
          </c:marker>
          <c:cat>
            <c:numRef>
              <c:f>extra!$W$245:$W$345</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extra!$AC$245:$AC$345</c:f>
              <c:numCache>
                <c:formatCode>General</c:formatCode>
                <c:ptCount val="101"/>
                <c:pt idx="0">
                  <c:v>7.4777062053136639E-2</c:v>
                </c:pt>
                <c:pt idx="1">
                  <c:v>7.4777062053136639E-2</c:v>
                </c:pt>
                <c:pt idx="2">
                  <c:v>7.4777062053136639E-2</c:v>
                </c:pt>
                <c:pt idx="3">
                  <c:v>7.4777062053136639E-2</c:v>
                </c:pt>
                <c:pt idx="4">
                  <c:v>7.4777062053136639E-2</c:v>
                </c:pt>
                <c:pt idx="5">
                  <c:v>7.4777062053136639E-2</c:v>
                </c:pt>
                <c:pt idx="6">
                  <c:v>7.4777062053136639E-2</c:v>
                </c:pt>
                <c:pt idx="7">
                  <c:v>7.4777062053136639E-2</c:v>
                </c:pt>
                <c:pt idx="8">
                  <c:v>7.4777062053136639E-2</c:v>
                </c:pt>
                <c:pt idx="9">
                  <c:v>7.4777062053136639E-2</c:v>
                </c:pt>
                <c:pt idx="10">
                  <c:v>7.4777062053136639E-2</c:v>
                </c:pt>
                <c:pt idx="11">
                  <c:v>7.4777062053136639E-2</c:v>
                </c:pt>
                <c:pt idx="12">
                  <c:v>7.4777062053136639E-2</c:v>
                </c:pt>
                <c:pt idx="13">
                  <c:v>7.4777062053136639E-2</c:v>
                </c:pt>
                <c:pt idx="14">
                  <c:v>7.4777062053136639E-2</c:v>
                </c:pt>
                <c:pt idx="15">
                  <c:v>7.4777062053136639E-2</c:v>
                </c:pt>
                <c:pt idx="16">
                  <c:v>7.4777062053136639E-2</c:v>
                </c:pt>
                <c:pt idx="17">
                  <c:v>7.4777062053136639E-2</c:v>
                </c:pt>
                <c:pt idx="18">
                  <c:v>7.4777062053136639E-2</c:v>
                </c:pt>
                <c:pt idx="19">
                  <c:v>7.4777062053136639E-2</c:v>
                </c:pt>
                <c:pt idx="20">
                  <c:v>7.4777062053136639E-2</c:v>
                </c:pt>
                <c:pt idx="21">
                  <c:v>7.4777062053136639E-2</c:v>
                </c:pt>
                <c:pt idx="22">
                  <c:v>7.4777062053136639E-2</c:v>
                </c:pt>
                <c:pt idx="23">
                  <c:v>7.4777062053136639E-2</c:v>
                </c:pt>
                <c:pt idx="24">
                  <c:v>7.4777062053136639E-2</c:v>
                </c:pt>
                <c:pt idx="25">
                  <c:v>7.4777062053136639E-2</c:v>
                </c:pt>
                <c:pt idx="26">
                  <c:v>7.4777062053136639E-2</c:v>
                </c:pt>
                <c:pt idx="27">
                  <c:v>7.4777062053136639E-2</c:v>
                </c:pt>
                <c:pt idx="28">
                  <c:v>7.4777062053136639E-2</c:v>
                </c:pt>
                <c:pt idx="29">
                  <c:v>7.4777062053136639E-2</c:v>
                </c:pt>
                <c:pt idx="30">
                  <c:v>7.4777062053136639E-2</c:v>
                </c:pt>
                <c:pt idx="31">
                  <c:v>7.4777062053136639E-2</c:v>
                </c:pt>
                <c:pt idx="32">
                  <c:v>7.4777062053136639E-2</c:v>
                </c:pt>
                <c:pt idx="33">
                  <c:v>7.4777062053136639E-2</c:v>
                </c:pt>
                <c:pt idx="34">
                  <c:v>7.4777062053136639E-2</c:v>
                </c:pt>
                <c:pt idx="35">
                  <c:v>7.4777062053136639E-2</c:v>
                </c:pt>
                <c:pt idx="36">
                  <c:v>7.4777062053136639E-2</c:v>
                </c:pt>
                <c:pt idx="37">
                  <c:v>7.4777062053136639E-2</c:v>
                </c:pt>
                <c:pt idx="38">
                  <c:v>7.4777062053136639E-2</c:v>
                </c:pt>
                <c:pt idx="39">
                  <c:v>7.4777062053136639E-2</c:v>
                </c:pt>
                <c:pt idx="40">
                  <c:v>7.4777062053136639E-2</c:v>
                </c:pt>
                <c:pt idx="41">
                  <c:v>7.4777062053136639E-2</c:v>
                </c:pt>
                <c:pt idx="42">
                  <c:v>7.4777062053136639E-2</c:v>
                </c:pt>
                <c:pt idx="43">
                  <c:v>7.4777062053136639E-2</c:v>
                </c:pt>
                <c:pt idx="44">
                  <c:v>7.4777062053136639E-2</c:v>
                </c:pt>
                <c:pt idx="45">
                  <c:v>7.4777062053136639E-2</c:v>
                </c:pt>
                <c:pt idx="46">
                  <c:v>7.4777062053136639E-2</c:v>
                </c:pt>
                <c:pt idx="47">
                  <c:v>7.4777062053136639E-2</c:v>
                </c:pt>
                <c:pt idx="48">
                  <c:v>7.4777062053136639E-2</c:v>
                </c:pt>
                <c:pt idx="49">
                  <c:v>7.4777062053136639E-2</c:v>
                </c:pt>
                <c:pt idx="50">
                  <c:v>7.4777062053136639E-2</c:v>
                </c:pt>
                <c:pt idx="51">
                  <c:v>7.4777062053136639E-2</c:v>
                </c:pt>
                <c:pt idx="52">
                  <c:v>7.4777062053136639E-2</c:v>
                </c:pt>
                <c:pt idx="53">
                  <c:v>7.4777062053136639E-2</c:v>
                </c:pt>
                <c:pt idx="54">
                  <c:v>7.4777062053136639E-2</c:v>
                </c:pt>
                <c:pt idx="55">
                  <c:v>7.4777062053136639E-2</c:v>
                </c:pt>
                <c:pt idx="56">
                  <c:v>7.4777062053136639E-2</c:v>
                </c:pt>
                <c:pt idx="57">
                  <c:v>7.4777062053136639E-2</c:v>
                </c:pt>
                <c:pt idx="58">
                  <c:v>7.4777062053136639E-2</c:v>
                </c:pt>
                <c:pt idx="59">
                  <c:v>7.4777062053136639E-2</c:v>
                </c:pt>
                <c:pt idx="60">
                  <c:v>7.4777062053136639E-2</c:v>
                </c:pt>
                <c:pt idx="61">
                  <c:v>7.4777062053136639E-2</c:v>
                </c:pt>
                <c:pt idx="62">
                  <c:v>7.4777062053136639E-2</c:v>
                </c:pt>
                <c:pt idx="63">
                  <c:v>7.4777062053136639E-2</c:v>
                </c:pt>
                <c:pt idx="64">
                  <c:v>7.4777062053136639E-2</c:v>
                </c:pt>
                <c:pt idx="65">
                  <c:v>7.4777062053136639E-2</c:v>
                </c:pt>
                <c:pt idx="66">
                  <c:v>7.4777062053136639E-2</c:v>
                </c:pt>
                <c:pt idx="67">
                  <c:v>7.4777062053136639E-2</c:v>
                </c:pt>
                <c:pt idx="68">
                  <c:v>7.4777062053136639E-2</c:v>
                </c:pt>
                <c:pt idx="69">
                  <c:v>7.4777062053136639E-2</c:v>
                </c:pt>
                <c:pt idx="70">
                  <c:v>7.4777062053136639E-2</c:v>
                </c:pt>
                <c:pt idx="71">
                  <c:v>7.4777062053136639E-2</c:v>
                </c:pt>
                <c:pt idx="72">
                  <c:v>7.4777062053136639E-2</c:v>
                </c:pt>
                <c:pt idx="73">
                  <c:v>7.4777062053136639E-2</c:v>
                </c:pt>
                <c:pt idx="74">
                  <c:v>7.4777062053136639E-2</c:v>
                </c:pt>
                <c:pt idx="75">
                  <c:v>7.4777062053136639E-2</c:v>
                </c:pt>
                <c:pt idx="76">
                  <c:v>7.4777062053136639E-2</c:v>
                </c:pt>
                <c:pt idx="77">
                  <c:v>7.4777062053136639E-2</c:v>
                </c:pt>
                <c:pt idx="78">
                  <c:v>7.4777062053136639E-2</c:v>
                </c:pt>
                <c:pt idx="79">
                  <c:v>7.4777062053136639E-2</c:v>
                </c:pt>
                <c:pt idx="80">
                  <c:v>7.4777062053136639E-2</c:v>
                </c:pt>
                <c:pt idx="81">
                  <c:v>7.4777062053136639E-2</c:v>
                </c:pt>
                <c:pt idx="82">
                  <c:v>7.4777062053136639E-2</c:v>
                </c:pt>
                <c:pt idx="83">
                  <c:v>7.4777062053136639E-2</c:v>
                </c:pt>
                <c:pt idx="84">
                  <c:v>7.4777062053136639E-2</c:v>
                </c:pt>
                <c:pt idx="85">
                  <c:v>7.4777062053136639E-2</c:v>
                </c:pt>
                <c:pt idx="86">
                  <c:v>7.4777062053136639E-2</c:v>
                </c:pt>
                <c:pt idx="87">
                  <c:v>7.4777062053136639E-2</c:v>
                </c:pt>
                <c:pt idx="88">
                  <c:v>7.4777062053136639E-2</c:v>
                </c:pt>
                <c:pt idx="89">
                  <c:v>7.4777062053136639E-2</c:v>
                </c:pt>
                <c:pt idx="90">
                  <c:v>7.4777062053136639E-2</c:v>
                </c:pt>
                <c:pt idx="91">
                  <c:v>7.4777062053136639E-2</c:v>
                </c:pt>
                <c:pt idx="92">
                  <c:v>7.4777062053136639E-2</c:v>
                </c:pt>
                <c:pt idx="93">
                  <c:v>7.4777062053136639E-2</c:v>
                </c:pt>
                <c:pt idx="94">
                  <c:v>7.4777062053136639E-2</c:v>
                </c:pt>
                <c:pt idx="95">
                  <c:v>7.4777062053136639E-2</c:v>
                </c:pt>
                <c:pt idx="96">
                  <c:v>7.4777062053136639E-2</c:v>
                </c:pt>
                <c:pt idx="97">
                  <c:v>7.4777062053136639E-2</c:v>
                </c:pt>
                <c:pt idx="98">
                  <c:v>7.4777062053136639E-2</c:v>
                </c:pt>
                <c:pt idx="99">
                  <c:v>7.4777062053136639E-2</c:v>
                </c:pt>
                <c:pt idx="100">
                  <c:v>7.4777062053136639E-2</c:v>
                </c:pt>
              </c:numCache>
            </c:numRef>
          </c:val>
          <c:smooth val="0"/>
        </c:ser>
        <c:dLbls>
          <c:showLegendKey val="0"/>
          <c:showVal val="0"/>
          <c:showCatName val="0"/>
          <c:showSerName val="0"/>
          <c:showPercent val="0"/>
          <c:showBubbleSize val="0"/>
        </c:dLbls>
        <c:marker val="1"/>
        <c:smooth val="0"/>
        <c:axId val="145112064"/>
        <c:axId val="145113856"/>
      </c:lineChart>
      <c:catAx>
        <c:axId val="145112064"/>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45113856"/>
        <c:crosses val="autoZero"/>
        <c:auto val="1"/>
        <c:lblAlgn val="ctr"/>
        <c:lblOffset val="100"/>
        <c:noMultiLvlLbl val="0"/>
      </c:catAx>
      <c:valAx>
        <c:axId val="145113856"/>
        <c:scaling>
          <c:orientation val="minMax"/>
        </c:scaling>
        <c:delete val="0"/>
        <c:axPos val="l"/>
        <c:majorGridlines/>
        <c:title>
          <c:tx>
            <c:rich>
              <a:bodyPr/>
              <a:lstStyle/>
              <a:p>
                <a:pPr>
                  <a:defRPr sz="1050" b="1" i="0" u="none" strike="noStrike" baseline="0">
                    <a:solidFill>
                      <a:srgbClr val="000000"/>
                    </a:solidFill>
                    <a:latin typeface="Calibri"/>
                    <a:ea typeface="Calibri"/>
                    <a:cs typeface="Calibri"/>
                  </a:defRPr>
                </a:pPr>
                <a:r>
                  <a:rPr lang="en-US" sz="1050"/>
                  <a:t>Metric Tonnes CO2/Acre</a:t>
                </a:r>
              </a:p>
            </c:rich>
          </c:tx>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5112064"/>
        <c:crosses val="autoZero"/>
        <c:crossBetween val="between"/>
      </c:valAx>
    </c:plotArea>
    <c:legend>
      <c:legendPos val="r"/>
      <c:legendEntry>
        <c:idx val="0"/>
        <c:txPr>
          <a:bodyPr/>
          <a:lstStyle/>
          <a:p>
            <a:pPr>
              <a:defRPr sz="1050" b="0" i="0" u="none" strike="noStrike" baseline="0">
                <a:solidFill>
                  <a:srgbClr val="000000"/>
                </a:solidFill>
                <a:latin typeface="Calibri"/>
                <a:ea typeface="Calibri"/>
                <a:cs typeface="Calibri"/>
              </a:defRPr>
            </a:pPr>
            <a:endParaRPr lang="en-US"/>
          </a:p>
        </c:txPr>
      </c:legendEntry>
      <c:legendEntry>
        <c:idx val="1"/>
        <c:txPr>
          <a:bodyPr/>
          <a:lstStyle/>
          <a:p>
            <a:pPr>
              <a:defRPr sz="1050" b="0" i="0" u="none" strike="noStrike" baseline="0">
                <a:solidFill>
                  <a:srgbClr val="000000"/>
                </a:solidFill>
                <a:latin typeface="Calibri"/>
                <a:ea typeface="Calibri"/>
                <a:cs typeface="Calibri"/>
              </a:defRPr>
            </a:pPr>
            <a:endParaRPr lang="en-US"/>
          </a:p>
        </c:txPr>
      </c:legendEntry>
      <c:legendEntry>
        <c:idx val="2"/>
        <c:txPr>
          <a:bodyPr/>
          <a:lstStyle/>
          <a:p>
            <a:pPr>
              <a:defRPr sz="1050" b="0" i="0" u="none" strike="noStrike" baseline="0">
                <a:solidFill>
                  <a:srgbClr val="000000"/>
                </a:solidFill>
                <a:latin typeface="Calibri"/>
                <a:ea typeface="Calibri"/>
                <a:cs typeface="Calibri"/>
              </a:defRPr>
            </a:pPr>
            <a:endParaRPr lang="en-US"/>
          </a:p>
        </c:txPr>
      </c:legendEntry>
      <c:legendEntry>
        <c:idx val="3"/>
        <c:txPr>
          <a:bodyPr/>
          <a:lstStyle/>
          <a:p>
            <a:pPr>
              <a:defRPr sz="1050" b="0" i="0" u="none" strike="noStrike" baseline="0">
                <a:solidFill>
                  <a:srgbClr val="000000"/>
                </a:solidFill>
                <a:latin typeface="Calibri"/>
                <a:ea typeface="Calibri"/>
                <a:cs typeface="Calibri"/>
              </a:defRPr>
            </a:pPr>
            <a:endParaRPr lang="en-US"/>
          </a:p>
        </c:txPr>
      </c:legendEntry>
      <c:legendEntry>
        <c:idx val="4"/>
        <c:txPr>
          <a:bodyPr/>
          <a:lstStyle/>
          <a:p>
            <a:pPr>
              <a:defRPr sz="1050" b="0" i="0" u="none" strike="noStrike" baseline="0">
                <a:solidFill>
                  <a:srgbClr val="000000"/>
                </a:solidFill>
                <a:latin typeface="Calibri"/>
                <a:ea typeface="Calibri"/>
                <a:cs typeface="Calibri"/>
              </a:defRPr>
            </a:pPr>
            <a:endParaRPr lang="en-US"/>
          </a:p>
        </c:txPr>
      </c:legendEntry>
      <c:layout>
        <c:manualLayout>
          <c:xMode val="edge"/>
          <c:yMode val="edge"/>
          <c:x val="0.1103202846975089"/>
          <c:y val="2.2251308900523559E-2"/>
          <c:w val="0.73131672597864772"/>
          <c:h val="0.16753926701570679"/>
        </c:manualLayout>
      </c:layout>
      <c:overlay val="0"/>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33333333333333"/>
          <c:y val="0.10807929882258693"/>
          <c:w val="0.87888888888888894"/>
          <c:h val="0.86581970928332741"/>
        </c:manualLayout>
      </c:layout>
      <c:barChart>
        <c:barDir val="col"/>
        <c:grouping val="clustered"/>
        <c:varyColors val="0"/>
        <c:ser>
          <c:idx val="3"/>
          <c:order val="0"/>
          <c:tx>
            <c:v>CAR Baseline</c:v>
          </c:tx>
          <c:spPr>
            <a:solidFill>
              <a:srgbClr val="FFC000"/>
            </a:solidFill>
          </c:spPr>
          <c:invertIfNegative val="0"/>
          <c:cat>
            <c:numRef>
              <c:f>'Project_Carbon-AvgBAU-WP'!$B$2:$B$102</c:f>
              <c:numCache>
                <c:formatCode>General</c:formatCode>
                <c:ptCount val="22"/>
                <c:pt idx="0">
                  <c:v>2013</c:v>
                </c:pt>
                <c:pt idx="1">
                  <c:v>2018</c:v>
                </c:pt>
                <c:pt idx="2">
                  <c:v>2021</c:v>
                </c:pt>
                <c:pt idx="3">
                  <c:v>2026</c:v>
                </c:pt>
                <c:pt idx="4">
                  <c:v>2031</c:v>
                </c:pt>
                <c:pt idx="5">
                  <c:v>2036</c:v>
                </c:pt>
                <c:pt idx="6">
                  <c:v>2038</c:v>
                </c:pt>
                <c:pt idx="7">
                  <c:v>2043</c:v>
                </c:pt>
                <c:pt idx="8">
                  <c:v>2047</c:v>
                </c:pt>
                <c:pt idx="9">
                  <c:v>2051</c:v>
                </c:pt>
                <c:pt idx="10">
                  <c:v>2056</c:v>
                </c:pt>
                <c:pt idx="11">
                  <c:v>2061</c:v>
                </c:pt>
                <c:pt idx="12">
                  <c:v>2066</c:v>
                </c:pt>
                <c:pt idx="13">
                  <c:v>2071</c:v>
                </c:pt>
                <c:pt idx="14">
                  <c:v>2076</c:v>
                </c:pt>
                <c:pt idx="15">
                  <c:v>2081</c:v>
                </c:pt>
                <c:pt idx="16">
                  <c:v>2086</c:v>
                </c:pt>
                <c:pt idx="17">
                  <c:v>2091</c:v>
                </c:pt>
                <c:pt idx="18">
                  <c:v>2096</c:v>
                </c:pt>
                <c:pt idx="19">
                  <c:v>2101</c:v>
                </c:pt>
                <c:pt idx="20">
                  <c:v>2106</c:v>
                </c:pt>
                <c:pt idx="21">
                  <c:v>2111</c:v>
                </c:pt>
              </c:numCache>
            </c:numRef>
          </c:cat>
          <c:val>
            <c:numRef>
              <c:f>'Project_Carbon-AvgBAU-WP'!$AH$213:$AH$311</c:f>
              <c:numCache>
                <c:formatCode>General</c:formatCode>
                <c:ptCount val="22"/>
                <c:pt idx="0">
                  <c:v>9.11</c:v>
                </c:pt>
                <c:pt idx="1">
                  <c:v>3.2724999999999991</c:v>
                </c:pt>
                <c:pt idx="2">
                  <c:v>-7.620000000000001</c:v>
                </c:pt>
                <c:pt idx="3">
                  <c:v>5.0175000000000001</c:v>
                </c:pt>
                <c:pt idx="4">
                  <c:v>-13.105</c:v>
                </c:pt>
                <c:pt idx="5">
                  <c:v>-11.675000000000001</c:v>
                </c:pt>
                <c:pt idx="6">
                  <c:v>-6.34</c:v>
                </c:pt>
                <c:pt idx="7">
                  <c:v>9.4049999999999994</c:v>
                </c:pt>
                <c:pt idx="8">
                  <c:v>3.2349999999999994</c:v>
                </c:pt>
                <c:pt idx="9">
                  <c:v>-6.1949999999999994</c:v>
                </c:pt>
                <c:pt idx="10">
                  <c:v>-15.157499999999999</c:v>
                </c:pt>
                <c:pt idx="11">
                  <c:v>8.307500000000001</c:v>
                </c:pt>
                <c:pt idx="12">
                  <c:v>7.9474999999999998</c:v>
                </c:pt>
                <c:pt idx="13">
                  <c:v>-8.1374999999999993</c:v>
                </c:pt>
                <c:pt idx="14">
                  <c:v>6.6125000000000007</c:v>
                </c:pt>
                <c:pt idx="15">
                  <c:v>-4.88</c:v>
                </c:pt>
                <c:pt idx="16">
                  <c:v>11.375</c:v>
                </c:pt>
                <c:pt idx="17">
                  <c:v>-3.0525000000000002</c:v>
                </c:pt>
                <c:pt idx="18">
                  <c:v>-18.137500000000003</c:v>
                </c:pt>
                <c:pt idx="19">
                  <c:v>11.795000000000002</c:v>
                </c:pt>
                <c:pt idx="20">
                  <c:v>-5.2324999999999982</c:v>
                </c:pt>
                <c:pt idx="21">
                  <c:v>0.93250000000000011</c:v>
                </c:pt>
              </c:numCache>
            </c:numRef>
          </c:val>
        </c:ser>
        <c:ser>
          <c:idx val="4"/>
          <c:order val="1"/>
          <c:tx>
            <c:v>CAR Baseline With Annual HWP Pool Change</c:v>
          </c:tx>
          <c:spPr>
            <a:solidFill>
              <a:srgbClr val="7030A0"/>
            </a:solidFill>
          </c:spPr>
          <c:invertIfNegative val="0"/>
          <c:cat>
            <c:numRef>
              <c:f>'Project_Carbon-AvgBAU-WP'!$B$2:$B$102</c:f>
              <c:numCache>
                <c:formatCode>General</c:formatCode>
                <c:ptCount val="22"/>
                <c:pt idx="0">
                  <c:v>2013</c:v>
                </c:pt>
                <c:pt idx="1">
                  <c:v>2018</c:v>
                </c:pt>
                <c:pt idx="2">
                  <c:v>2021</c:v>
                </c:pt>
                <c:pt idx="3">
                  <c:v>2026</c:v>
                </c:pt>
                <c:pt idx="4">
                  <c:v>2031</c:v>
                </c:pt>
                <c:pt idx="5">
                  <c:v>2036</c:v>
                </c:pt>
                <c:pt idx="6">
                  <c:v>2038</c:v>
                </c:pt>
                <c:pt idx="7">
                  <c:v>2043</c:v>
                </c:pt>
                <c:pt idx="8">
                  <c:v>2047</c:v>
                </c:pt>
                <c:pt idx="9">
                  <c:v>2051</c:v>
                </c:pt>
                <c:pt idx="10">
                  <c:v>2056</c:v>
                </c:pt>
                <c:pt idx="11">
                  <c:v>2061</c:v>
                </c:pt>
                <c:pt idx="12">
                  <c:v>2066</c:v>
                </c:pt>
                <c:pt idx="13">
                  <c:v>2071</c:v>
                </c:pt>
                <c:pt idx="14">
                  <c:v>2076</c:v>
                </c:pt>
                <c:pt idx="15">
                  <c:v>2081</c:v>
                </c:pt>
                <c:pt idx="16">
                  <c:v>2086</c:v>
                </c:pt>
                <c:pt idx="17">
                  <c:v>2091</c:v>
                </c:pt>
                <c:pt idx="18">
                  <c:v>2096</c:v>
                </c:pt>
                <c:pt idx="19">
                  <c:v>2101</c:v>
                </c:pt>
                <c:pt idx="20">
                  <c:v>2106</c:v>
                </c:pt>
                <c:pt idx="21">
                  <c:v>2111</c:v>
                </c:pt>
              </c:numCache>
            </c:numRef>
          </c:cat>
          <c:val>
            <c:numRef>
              <c:f>'Project_Carbon-AvgBAU-WP'!$AH$109:$AH$207</c:f>
              <c:numCache>
                <c:formatCode>General</c:formatCode>
                <c:ptCount val="22"/>
                <c:pt idx="1">
                  <c:v>0.57500000000000062</c:v>
                </c:pt>
                <c:pt idx="2">
                  <c:v>-7.4474999999999998</c:v>
                </c:pt>
                <c:pt idx="3">
                  <c:v>2.8124999999999996</c:v>
                </c:pt>
                <c:pt idx="4">
                  <c:v>-12.647499999999999</c:v>
                </c:pt>
                <c:pt idx="5">
                  <c:v>-11.2</c:v>
                </c:pt>
                <c:pt idx="6">
                  <c:v>-6.3075000000000001</c:v>
                </c:pt>
                <c:pt idx="7">
                  <c:v>10.115</c:v>
                </c:pt>
                <c:pt idx="8">
                  <c:v>3.6549999999999994</c:v>
                </c:pt>
                <c:pt idx="9">
                  <c:v>-5.8599999999999994</c:v>
                </c:pt>
                <c:pt idx="10">
                  <c:v>-15.33</c:v>
                </c:pt>
                <c:pt idx="11">
                  <c:v>8.745000000000001</c:v>
                </c:pt>
                <c:pt idx="12">
                  <c:v>5.64</c:v>
                </c:pt>
                <c:pt idx="13">
                  <c:v>-7.68</c:v>
                </c:pt>
                <c:pt idx="14">
                  <c:v>7.0574999999999992</c:v>
                </c:pt>
                <c:pt idx="15">
                  <c:v>-4.3899999999999997</c:v>
                </c:pt>
                <c:pt idx="16">
                  <c:v>12.079999999999998</c:v>
                </c:pt>
                <c:pt idx="17">
                  <c:v>-2.5999999999999996</c:v>
                </c:pt>
                <c:pt idx="18">
                  <c:v>-19.3125</c:v>
                </c:pt>
                <c:pt idx="19">
                  <c:v>12.489999999999998</c:v>
                </c:pt>
                <c:pt idx="20">
                  <c:v>-5.9400000000000013</c:v>
                </c:pt>
                <c:pt idx="21">
                  <c:v>1.3874999999999993</c:v>
                </c:pt>
              </c:numCache>
            </c:numRef>
          </c:val>
        </c:ser>
        <c:dLbls>
          <c:showLegendKey val="0"/>
          <c:showVal val="0"/>
          <c:showCatName val="0"/>
          <c:showSerName val="0"/>
          <c:showPercent val="0"/>
          <c:showBubbleSize val="0"/>
        </c:dLbls>
        <c:gapWidth val="150"/>
        <c:axId val="145147008"/>
        <c:axId val="145148544"/>
      </c:barChart>
      <c:catAx>
        <c:axId val="145147008"/>
        <c:scaling>
          <c:orientation val="minMax"/>
        </c:scaling>
        <c:delete val="0"/>
        <c:axPos val="b"/>
        <c:numFmt formatCode="General" sourceLinked="1"/>
        <c:majorTickMark val="in"/>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45148544"/>
        <c:crosses val="autoZero"/>
        <c:auto val="1"/>
        <c:lblAlgn val="ctr"/>
        <c:lblOffset val="100"/>
        <c:tickLblSkip val="1"/>
        <c:tickMarkSkip val="1"/>
        <c:noMultiLvlLbl val="0"/>
      </c:catAx>
      <c:valAx>
        <c:axId val="145148544"/>
        <c:scaling>
          <c:orientation val="minMax"/>
          <c:max val="15"/>
          <c:min val="-20"/>
        </c:scaling>
        <c:delete val="0"/>
        <c:axPos val="l"/>
        <c:majorGridlines/>
        <c:title>
          <c:tx>
            <c:rich>
              <a:bodyPr/>
              <a:lstStyle/>
              <a:p>
                <a:pPr>
                  <a:defRPr sz="1050" b="1" i="0" u="none" strike="noStrike" baseline="0">
                    <a:solidFill>
                      <a:srgbClr val="000000"/>
                    </a:solidFill>
                    <a:latin typeface="Calibri"/>
                    <a:ea typeface="Calibri"/>
                    <a:cs typeface="Calibri"/>
                  </a:defRPr>
                </a:pPr>
                <a:r>
                  <a:rPr lang="en-US"/>
                  <a:t>Metric Tonnes CO2/Acre</a:t>
                </a:r>
              </a:p>
            </c:rich>
          </c:tx>
          <c:layout>
            <c:manualLayout>
              <c:xMode val="edge"/>
              <c:yMode val="edge"/>
              <c:x val="1.8259450219968057E-3"/>
              <c:y val="0.39770856522515835"/>
            </c:manualLayout>
          </c:layout>
          <c:overlay val="0"/>
          <c:spPr>
            <a:noFill/>
            <a:ln w="25400">
              <a:noFill/>
            </a:ln>
          </c:spPr>
        </c:title>
        <c:numFmt formatCode="#,##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5147008"/>
        <c:crosses val="autoZero"/>
        <c:crossBetween val="between"/>
        <c:majorUnit val="2.5"/>
      </c:valAx>
      <c:spPr>
        <a:noFill/>
        <a:ln w="25400">
          <a:noFill/>
        </a:ln>
      </c:spPr>
    </c:plotArea>
    <c:legend>
      <c:legendPos val="r"/>
      <c:layout>
        <c:manualLayout>
          <c:xMode val="edge"/>
          <c:yMode val="edge"/>
          <c:x val="5.5160117620676477E-2"/>
          <c:y val="1.1600206600680938E-3"/>
          <c:w val="0.7758007117437723"/>
          <c:h val="0.1402871327831009"/>
        </c:manualLayout>
      </c:layout>
      <c:overlay val="0"/>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77236591254791"/>
          <c:y val="8.1553152828073266E-2"/>
          <c:w val="0.80509635961800674"/>
          <c:h val="0.80600779239747278"/>
        </c:manualLayout>
      </c:layout>
      <c:lineChart>
        <c:grouping val="standard"/>
        <c:varyColors val="0"/>
        <c:ser>
          <c:idx val="1"/>
          <c:order val="0"/>
          <c:tx>
            <c:v>Project AGL Carbon Stocks</c:v>
          </c:tx>
          <c:spPr>
            <a:ln w="15875">
              <a:solidFill>
                <a:srgbClr val="4F81BD">
                  <a:shade val="95000"/>
                  <a:satMod val="105000"/>
                </a:srgbClr>
              </a:solidFill>
            </a:ln>
          </c:spPr>
          <c:marker>
            <c:symbol val="none"/>
          </c:marker>
          <c:cat>
            <c:numRef>
              <c:f>'Project_Carbon-AvgBAU-WP'!$B$507:$B$607</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'Project_Carbon-AvgBAU-WP'!$M$415:$M$515</c:f>
              <c:numCache>
                <c:formatCode>General</c:formatCode>
                <c:ptCount val="101"/>
                <c:pt idx="0">
                  <c:v>88.036826960245776</c:v>
                </c:pt>
                <c:pt idx="1">
                  <c:v>90.57389050801595</c:v>
                </c:pt>
                <c:pt idx="2">
                  <c:v>85.468509241739895</c:v>
                </c:pt>
                <c:pt idx="3">
                  <c:v>88.123066724141438</c:v>
                </c:pt>
                <c:pt idx="4">
                  <c:v>90.777624206542967</c:v>
                </c:pt>
                <c:pt idx="5">
                  <c:v>93.432181688944482</c:v>
                </c:pt>
                <c:pt idx="6">
                  <c:v>96.12675829569497</c:v>
                </c:pt>
                <c:pt idx="7">
                  <c:v>93.693773676554358</c:v>
                </c:pt>
                <c:pt idx="8">
                  <c:v>96.327973594665522</c:v>
                </c:pt>
                <c:pt idx="9">
                  <c:v>98.962173512776701</c:v>
                </c:pt>
                <c:pt idx="10">
                  <c:v>87.741497820615763</c:v>
                </c:pt>
                <c:pt idx="11">
                  <c:v>90.213542132377626</c:v>
                </c:pt>
                <c:pt idx="12">
                  <c:v>92.867006237904235</c:v>
                </c:pt>
                <c:pt idx="13">
                  <c:v>95.543204896450021</c:v>
                </c:pt>
                <c:pt idx="14">
                  <c:v>98.21940355499585</c:v>
                </c:pt>
                <c:pt idx="15">
                  <c:v>94.287541796366369</c:v>
                </c:pt>
                <c:pt idx="16">
                  <c:v>96.558725874821349</c:v>
                </c:pt>
                <c:pt idx="17">
                  <c:v>96.604570000171648</c:v>
                </c:pt>
                <c:pt idx="18">
                  <c:v>98.82494884689649</c:v>
                </c:pt>
                <c:pt idx="19">
                  <c:v>101.04532769362132</c:v>
                </c:pt>
                <c:pt idx="20">
                  <c:v>79.981853507359816</c:v>
                </c:pt>
                <c:pt idx="21">
                  <c:v>82.219740349451698</c:v>
                </c:pt>
                <c:pt idx="22">
                  <c:v>84.530195047855386</c:v>
                </c:pt>
                <c:pt idx="23">
                  <c:v>86.840649746259047</c:v>
                </c:pt>
                <c:pt idx="24">
                  <c:v>89.151104444662721</c:v>
                </c:pt>
                <c:pt idx="25">
                  <c:v>75.188216466903683</c:v>
                </c:pt>
                <c:pt idx="26">
                  <c:v>77.693336448669427</c:v>
                </c:pt>
                <c:pt idx="27">
                  <c:v>72.140599769353869</c:v>
                </c:pt>
                <c:pt idx="28">
                  <c:v>74.458672543366745</c:v>
                </c:pt>
                <c:pt idx="29">
                  <c:v>77.036025732755661</c:v>
                </c:pt>
                <c:pt idx="30">
                  <c:v>79.47561036745708</c:v>
                </c:pt>
                <c:pt idx="31">
                  <c:v>81.793152042229963</c:v>
                </c:pt>
                <c:pt idx="32">
                  <c:v>84.11069371700286</c:v>
                </c:pt>
                <c:pt idx="33">
                  <c:v>86.607032432556139</c:v>
                </c:pt>
                <c:pt idx="34">
                  <c:v>89.103371148109446</c:v>
                </c:pt>
                <c:pt idx="35">
                  <c:v>83.224137293497719</c:v>
                </c:pt>
                <c:pt idx="36">
                  <c:v>85.13725700060526</c:v>
                </c:pt>
                <c:pt idx="37">
                  <c:v>87.050376707712815</c:v>
                </c:pt>
                <c:pt idx="38">
                  <c:v>88.963496414820369</c:v>
                </c:pt>
                <c:pt idx="39">
                  <c:v>90.876616121927896</c:v>
                </c:pt>
                <c:pt idx="40">
                  <c:v>75.914056634902948</c:v>
                </c:pt>
                <c:pt idx="41">
                  <c:v>77.260345481236769</c:v>
                </c:pt>
                <c:pt idx="42">
                  <c:v>78.655879669189446</c:v>
                </c:pt>
                <c:pt idx="43">
                  <c:v>80.051413857142137</c:v>
                </c:pt>
                <c:pt idx="44">
                  <c:v>81.4469480450948</c:v>
                </c:pt>
                <c:pt idx="45">
                  <c:v>71.360114129384357</c:v>
                </c:pt>
                <c:pt idx="46">
                  <c:v>73.818789011637364</c:v>
                </c:pt>
                <c:pt idx="47">
                  <c:v>76.585572700500478</c:v>
                </c:pt>
                <c:pt idx="48">
                  <c:v>79.352356389363607</c:v>
                </c:pt>
                <c:pt idx="49">
                  <c:v>82.119140078226721</c:v>
                </c:pt>
                <c:pt idx="50">
                  <c:v>77.654691219329834</c:v>
                </c:pt>
                <c:pt idx="51">
                  <c:v>80.630845457712809</c:v>
                </c:pt>
                <c:pt idx="52">
                  <c:v>83.606999696095784</c:v>
                </c:pt>
                <c:pt idx="53">
                  <c:v>86.583153934478744</c:v>
                </c:pt>
                <c:pt idx="54">
                  <c:v>89.559308172861719</c:v>
                </c:pt>
                <c:pt idx="55">
                  <c:v>92.535462411244708</c:v>
                </c:pt>
                <c:pt idx="56">
                  <c:v>95.596623999277739</c:v>
                </c:pt>
                <c:pt idx="57">
                  <c:v>98.657785587310769</c:v>
                </c:pt>
                <c:pt idx="58">
                  <c:v>101.71894717534384</c:v>
                </c:pt>
                <c:pt idx="59">
                  <c:v>104.78010876337686</c:v>
                </c:pt>
                <c:pt idx="60">
                  <c:v>83.448465744654328</c:v>
                </c:pt>
                <c:pt idx="61">
                  <c:v>86.195389324824006</c:v>
                </c:pt>
                <c:pt idx="62">
                  <c:v>89.04952514648437</c:v>
                </c:pt>
                <c:pt idx="63">
                  <c:v>91.90366096814472</c:v>
                </c:pt>
                <c:pt idx="64">
                  <c:v>94.75779678980507</c:v>
                </c:pt>
                <c:pt idx="65">
                  <c:v>82.414307800928739</c:v>
                </c:pt>
                <c:pt idx="66">
                  <c:v>85.20585891087849</c:v>
                </c:pt>
                <c:pt idx="67">
                  <c:v>87.997410020828241</c:v>
                </c:pt>
                <c:pt idx="68">
                  <c:v>90.788961130777977</c:v>
                </c:pt>
                <c:pt idx="69">
                  <c:v>93.580512240727728</c:v>
                </c:pt>
                <c:pt idx="70">
                  <c:v>90.836347675323481</c:v>
                </c:pt>
                <c:pt idx="71">
                  <c:v>93.989746538798002</c:v>
                </c:pt>
                <c:pt idx="72">
                  <c:v>97.143145402272538</c:v>
                </c:pt>
                <c:pt idx="73">
                  <c:v>100.29654426574709</c:v>
                </c:pt>
                <c:pt idx="74">
                  <c:v>103.44994312922159</c:v>
                </c:pt>
                <c:pt idx="75">
                  <c:v>102.09972464243572</c:v>
                </c:pt>
                <c:pt idx="76">
                  <c:v>105.90974433263142</c:v>
                </c:pt>
                <c:pt idx="77">
                  <c:v>109.71976402282714</c:v>
                </c:pt>
                <c:pt idx="78">
                  <c:v>113.52978371302288</c:v>
                </c:pt>
                <c:pt idx="79">
                  <c:v>117.33980340321858</c:v>
                </c:pt>
                <c:pt idx="80">
                  <c:v>98.46015629768371</c:v>
                </c:pt>
                <c:pt idx="81">
                  <c:v>102.25392087618511</c:v>
                </c:pt>
                <c:pt idx="82">
                  <c:v>106.04768545468647</c:v>
                </c:pt>
                <c:pt idx="83">
                  <c:v>109.84145003318788</c:v>
                </c:pt>
                <c:pt idx="84">
                  <c:v>113.63521461168925</c:v>
                </c:pt>
                <c:pt idx="85">
                  <c:v>81.527068678538001</c:v>
                </c:pt>
                <c:pt idx="86">
                  <c:v>84.786256513595589</c:v>
                </c:pt>
                <c:pt idx="87">
                  <c:v>88.045444348653163</c:v>
                </c:pt>
                <c:pt idx="88">
                  <c:v>91.304632183710737</c:v>
                </c:pt>
                <c:pt idx="89">
                  <c:v>94.563820018768325</c:v>
                </c:pt>
                <c:pt idx="90">
                  <c:v>97.823007853825885</c:v>
                </c:pt>
                <c:pt idx="91">
                  <c:v>101.55177209218343</c:v>
                </c:pt>
                <c:pt idx="92">
                  <c:v>105.28053633054095</c:v>
                </c:pt>
                <c:pt idx="93">
                  <c:v>109.00930056889852</c:v>
                </c:pt>
                <c:pt idx="94">
                  <c:v>112.73806480725607</c:v>
                </c:pt>
                <c:pt idx="95">
                  <c:v>94.879624001185107</c:v>
                </c:pt>
                <c:pt idx="96">
                  <c:v>97.294913209279386</c:v>
                </c:pt>
                <c:pt idx="97">
                  <c:v>99.710202417373637</c:v>
                </c:pt>
                <c:pt idx="98">
                  <c:v>102.12549162546793</c:v>
                </c:pt>
                <c:pt idx="99">
                  <c:v>104.5407808335622</c:v>
                </c:pt>
                <c:pt idx="100">
                  <c:v>96.301757272084558</c:v>
                </c:pt>
              </c:numCache>
            </c:numRef>
          </c:val>
          <c:smooth val="0"/>
        </c:ser>
        <c:ser>
          <c:idx val="0"/>
          <c:order val="1"/>
          <c:tx>
            <c:v>Modeled Baseline AGL Carbon Stocks</c:v>
          </c:tx>
          <c:spPr>
            <a:ln w="15875">
              <a:solidFill>
                <a:srgbClr val="F79646">
                  <a:lumMod val="75000"/>
                </a:srgbClr>
              </a:solidFill>
            </a:ln>
          </c:spPr>
          <c:marker>
            <c:symbol val="none"/>
          </c:marker>
          <c:cat>
            <c:numRef>
              <c:f>'Project_Carbon-AvgBAU-WP'!$B$507:$B$607</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BAU_CarbonData!$K$2:$K$102</c:f>
              <c:numCache>
                <c:formatCode>#,##0.0</c:formatCode>
                <c:ptCount val="101"/>
                <c:pt idx="0">
                  <c:v>88.029129791259763</c:v>
                </c:pt>
                <c:pt idx="1">
                  <c:v>91.550530122121174</c:v>
                </c:pt>
                <c:pt idx="2">
                  <c:v>52.413299660682661</c:v>
                </c:pt>
                <c:pt idx="3">
                  <c:v>53.805846649805702</c:v>
                </c:pt>
                <c:pt idx="4">
                  <c:v>56.038641438881541</c:v>
                </c:pt>
                <c:pt idx="5">
                  <c:v>58.271436227957409</c:v>
                </c:pt>
                <c:pt idx="6">
                  <c:v>60.464451423883439</c:v>
                </c:pt>
                <c:pt idx="7">
                  <c:v>62.657466619809462</c:v>
                </c:pt>
                <c:pt idx="8">
                  <c:v>64.899627738793683</c:v>
                </c:pt>
                <c:pt idx="9">
                  <c:v>67.141788857777925</c:v>
                </c:pt>
                <c:pt idx="10">
                  <c:v>69.383949976762139</c:v>
                </c:pt>
                <c:pt idx="11">
                  <c:v>71.626111095746353</c:v>
                </c:pt>
                <c:pt idx="12">
                  <c:v>35.59817830721537</c:v>
                </c:pt>
                <c:pt idx="13">
                  <c:v>37.516398070653281</c:v>
                </c:pt>
                <c:pt idx="14">
                  <c:v>39.478872578144077</c:v>
                </c:pt>
                <c:pt idx="15">
                  <c:v>41.44134708563486</c:v>
                </c:pt>
                <c:pt idx="16">
                  <c:v>43.403821593125656</c:v>
                </c:pt>
                <c:pt idx="17">
                  <c:v>45.366296100616452</c:v>
                </c:pt>
                <c:pt idx="18">
                  <c:v>47.346653893788663</c:v>
                </c:pt>
                <c:pt idx="19">
                  <c:v>49.327011686960851</c:v>
                </c:pt>
                <c:pt idx="20">
                  <c:v>51.307369480133062</c:v>
                </c:pt>
                <c:pt idx="21">
                  <c:v>53.287727273305244</c:v>
                </c:pt>
                <c:pt idx="22">
                  <c:v>55.268085066477454</c:v>
                </c:pt>
                <c:pt idx="23">
                  <c:v>57.345874150594078</c:v>
                </c:pt>
                <c:pt idx="24">
                  <c:v>59.423663234710695</c:v>
                </c:pt>
                <c:pt idx="25">
                  <c:v>61.501452318827305</c:v>
                </c:pt>
                <c:pt idx="26">
                  <c:v>63.579241402943921</c:v>
                </c:pt>
                <c:pt idx="27">
                  <c:v>65.657030487060553</c:v>
                </c:pt>
                <c:pt idx="28">
                  <c:v>67.646111412048327</c:v>
                </c:pt>
                <c:pt idx="29">
                  <c:v>69.635192337036145</c:v>
                </c:pt>
                <c:pt idx="30">
                  <c:v>71.62427326202392</c:v>
                </c:pt>
                <c:pt idx="31">
                  <c:v>73.613354187011723</c:v>
                </c:pt>
                <c:pt idx="32">
                  <c:v>75.602435111999512</c:v>
                </c:pt>
                <c:pt idx="33">
                  <c:v>77.681460386912022</c:v>
                </c:pt>
                <c:pt idx="34">
                  <c:v>79.760485661824546</c:v>
                </c:pt>
                <c:pt idx="35">
                  <c:v>81.839510936737057</c:v>
                </c:pt>
                <c:pt idx="36">
                  <c:v>83.918536211649581</c:v>
                </c:pt>
                <c:pt idx="37">
                  <c:v>85.997561486562091</c:v>
                </c:pt>
                <c:pt idx="38">
                  <c:v>88.083630447387691</c:v>
                </c:pt>
                <c:pt idx="39">
                  <c:v>90.16969940821329</c:v>
                </c:pt>
                <c:pt idx="40">
                  <c:v>92.25576836903889</c:v>
                </c:pt>
                <c:pt idx="41">
                  <c:v>94.341837329864504</c:v>
                </c:pt>
                <c:pt idx="42">
                  <c:v>83.979830567042029</c:v>
                </c:pt>
                <c:pt idx="43">
                  <c:v>84.44312702178955</c:v>
                </c:pt>
                <c:pt idx="44">
                  <c:v>86.883584367434182</c:v>
                </c:pt>
                <c:pt idx="45">
                  <c:v>89.324041713078799</c:v>
                </c:pt>
                <c:pt idx="46">
                  <c:v>91.764499058723445</c:v>
                </c:pt>
                <c:pt idx="47">
                  <c:v>94.204956404368076</c:v>
                </c:pt>
                <c:pt idx="48">
                  <c:v>96.817695236206049</c:v>
                </c:pt>
                <c:pt idx="49">
                  <c:v>99.430434068044022</c:v>
                </c:pt>
                <c:pt idx="50">
                  <c:v>102.04317289988197</c:v>
                </c:pt>
                <c:pt idx="51">
                  <c:v>104.65591173171997</c:v>
                </c:pt>
                <c:pt idx="52">
                  <c:v>70.076844263076779</c:v>
                </c:pt>
                <c:pt idx="53">
                  <c:v>71.923714675903312</c:v>
                </c:pt>
                <c:pt idx="54">
                  <c:v>74.517965003649394</c:v>
                </c:pt>
                <c:pt idx="55">
                  <c:v>77.112215331395475</c:v>
                </c:pt>
                <c:pt idx="56">
                  <c:v>79.706465659141529</c:v>
                </c:pt>
                <c:pt idx="57">
                  <c:v>82.30071598688761</c:v>
                </c:pt>
                <c:pt idx="58">
                  <c:v>85.013167880376173</c:v>
                </c:pt>
                <c:pt idx="59">
                  <c:v>87.725619773864736</c:v>
                </c:pt>
                <c:pt idx="60">
                  <c:v>90.438071667353313</c:v>
                </c:pt>
                <c:pt idx="61">
                  <c:v>93.15052356084189</c:v>
                </c:pt>
                <c:pt idx="62">
                  <c:v>95.862975454330439</c:v>
                </c:pt>
                <c:pt idx="63">
                  <c:v>98.632836367289244</c:v>
                </c:pt>
                <c:pt idx="64">
                  <c:v>101.40269728024802</c:v>
                </c:pt>
                <c:pt idx="65">
                  <c:v>104.17255819320678</c:v>
                </c:pt>
                <c:pt idx="66">
                  <c:v>106.94241910616556</c:v>
                </c:pt>
                <c:pt idx="67">
                  <c:v>109.71228001912434</c:v>
                </c:pt>
                <c:pt idx="68">
                  <c:v>112.52332508722941</c:v>
                </c:pt>
                <c:pt idx="69">
                  <c:v>115.33437015533448</c:v>
                </c:pt>
                <c:pt idx="70">
                  <c:v>118.14541522343953</c:v>
                </c:pt>
                <c:pt idx="71">
                  <c:v>120.95646029154459</c:v>
                </c:pt>
                <c:pt idx="72">
                  <c:v>123.76750535964966</c:v>
                </c:pt>
                <c:pt idx="73">
                  <c:v>126.41164865493775</c:v>
                </c:pt>
                <c:pt idx="74">
                  <c:v>129.0557919502258</c:v>
                </c:pt>
                <c:pt idx="75">
                  <c:v>131.6999352455139</c:v>
                </c:pt>
                <c:pt idx="76">
                  <c:v>134.344078540802</c:v>
                </c:pt>
                <c:pt idx="77">
                  <c:v>136.98822183609008</c:v>
                </c:pt>
                <c:pt idx="78">
                  <c:v>139.68967071533203</c:v>
                </c:pt>
                <c:pt idx="79">
                  <c:v>142.39111959457395</c:v>
                </c:pt>
                <c:pt idx="80">
                  <c:v>145.0925684738159</c:v>
                </c:pt>
                <c:pt idx="81">
                  <c:v>147.79401735305782</c:v>
                </c:pt>
                <c:pt idx="82">
                  <c:v>104.14856961568196</c:v>
                </c:pt>
                <c:pt idx="83">
                  <c:v>106.576399453481</c:v>
                </c:pt>
                <c:pt idx="84">
                  <c:v>109.14616656303406</c:v>
                </c:pt>
                <c:pt idx="85">
                  <c:v>111.71593367258706</c:v>
                </c:pt>
                <c:pt idx="86">
                  <c:v>114.28570078214008</c:v>
                </c:pt>
                <c:pt idx="87">
                  <c:v>116.85546789169311</c:v>
                </c:pt>
                <c:pt idx="88">
                  <c:v>119.83127510706584</c:v>
                </c:pt>
                <c:pt idx="89">
                  <c:v>122.80708232243856</c:v>
                </c:pt>
                <c:pt idx="90">
                  <c:v>125.78288953781127</c:v>
                </c:pt>
                <c:pt idx="91">
                  <c:v>128.75869675318398</c:v>
                </c:pt>
                <c:pt idx="92">
                  <c:v>90.033497492472321</c:v>
                </c:pt>
                <c:pt idx="93">
                  <c:v>91.711982367833443</c:v>
                </c:pt>
                <c:pt idx="94">
                  <c:v>94.359959980646764</c:v>
                </c:pt>
                <c:pt idx="95">
                  <c:v>97.007937593460071</c:v>
                </c:pt>
                <c:pt idx="96">
                  <c:v>99.655915206273377</c:v>
                </c:pt>
                <c:pt idx="97">
                  <c:v>102.30389281908671</c:v>
                </c:pt>
                <c:pt idx="98">
                  <c:v>104.75797188440959</c:v>
                </c:pt>
                <c:pt idx="99">
                  <c:v>107.36716978772481</c:v>
                </c:pt>
                <c:pt idx="100">
                  <c:v>109.71172227859498</c:v>
                </c:pt>
              </c:numCache>
            </c:numRef>
          </c:val>
          <c:smooth val="0"/>
        </c:ser>
        <c:ser>
          <c:idx val="3"/>
          <c:order val="2"/>
          <c:tx>
            <c:v>Alternative Baseline Based on AGL Carbon 10yr Moving Avg. </c:v>
          </c:tx>
          <c:spPr>
            <a:ln w="15875"/>
          </c:spPr>
          <c:marker>
            <c:symbol val="none"/>
          </c:marker>
          <c:cat>
            <c:numRef>
              <c:f>'Project_Carbon-AvgBAU-WP'!$B$507:$B$607</c:f>
              <c:numCache>
                <c:formatCode>General</c:formatCode>
                <c:ptCount val="101"/>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pt idx="70">
                  <c:v>2081</c:v>
                </c:pt>
                <c:pt idx="71">
                  <c:v>2082</c:v>
                </c:pt>
                <c:pt idx="72">
                  <c:v>2083</c:v>
                </c:pt>
                <c:pt idx="73">
                  <c:v>2084</c:v>
                </c:pt>
                <c:pt idx="74">
                  <c:v>2085</c:v>
                </c:pt>
                <c:pt idx="75">
                  <c:v>2086</c:v>
                </c:pt>
                <c:pt idx="76">
                  <c:v>2087</c:v>
                </c:pt>
                <c:pt idx="77">
                  <c:v>2088</c:v>
                </c:pt>
                <c:pt idx="78">
                  <c:v>2089</c:v>
                </c:pt>
                <c:pt idx="79">
                  <c:v>2090</c:v>
                </c:pt>
                <c:pt idx="80">
                  <c:v>2091</c:v>
                </c:pt>
                <c:pt idx="81">
                  <c:v>2092</c:v>
                </c:pt>
                <c:pt idx="82">
                  <c:v>2093</c:v>
                </c:pt>
                <c:pt idx="83">
                  <c:v>2094</c:v>
                </c:pt>
                <c:pt idx="84">
                  <c:v>2095</c:v>
                </c:pt>
                <c:pt idx="85">
                  <c:v>2096</c:v>
                </c:pt>
                <c:pt idx="86">
                  <c:v>2097</c:v>
                </c:pt>
                <c:pt idx="87">
                  <c:v>2098</c:v>
                </c:pt>
                <c:pt idx="88">
                  <c:v>2099</c:v>
                </c:pt>
                <c:pt idx="89">
                  <c:v>2100</c:v>
                </c:pt>
                <c:pt idx="90">
                  <c:v>2101</c:v>
                </c:pt>
                <c:pt idx="91">
                  <c:v>2102</c:v>
                </c:pt>
                <c:pt idx="92">
                  <c:v>2103</c:v>
                </c:pt>
                <c:pt idx="93">
                  <c:v>2104</c:v>
                </c:pt>
                <c:pt idx="94">
                  <c:v>2105</c:v>
                </c:pt>
                <c:pt idx="95">
                  <c:v>2106</c:v>
                </c:pt>
                <c:pt idx="96">
                  <c:v>2107</c:v>
                </c:pt>
                <c:pt idx="97">
                  <c:v>2108</c:v>
                </c:pt>
                <c:pt idx="98">
                  <c:v>2109</c:v>
                </c:pt>
                <c:pt idx="99">
                  <c:v>2110</c:v>
                </c:pt>
                <c:pt idx="100">
                  <c:v>2111</c:v>
                </c:pt>
              </c:numCache>
            </c:numRef>
          </c:cat>
          <c:val>
            <c:numRef>
              <c:f>BAU_CarbonData!$O$2:$O$102</c:f>
              <c:numCache>
                <c:formatCode>#,##0.00</c:formatCode>
                <c:ptCount val="101"/>
                <c:pt idx="0">
                  <c:v>88.02143262227375</c:v>
                </c:pt>
                <c:pt idx="1">
                  <c:v>88.02143262227375</c:v>
                </c:pt>
                <c:pt idx="2">
                  <c:v>65.01825907882268</c:v>
                </c:pt>
                <c:pt idx="3">
                  <c:v>63.245459869455026</c:v>
                </c:pt>
                <c:pt idx="4">
                  <c:v>61.528081745615196</c:v>
                </c:pt>
                <c:pt idx="5">
                  <c:v>59.782204060493811</c:v>
                </c:pt>
                <c:pt idx="6">
                  <c:v>58.007826814090876</c:v>
                </c:pt>
                <c:pt idx="7">
                  <c:v>56.209143923881129</c:v>
                </c:pt>
                <c:pt idx="8">
                  <c:v>54.386155389864633</c:v>
                </c:pt>
                <c:pt idx="9">
                  <c:v>52.535565227572405</c:v>
                </c:pt>
                <c:pt idx="10">
                  <c:v>50.657373437004487</c:v>
                </c:pt>
                <c:pt idx="11">
                  <c:v>48.751580018160844</c:v>
                </c:pt>
                <c:pt idx="12">
                  <c:v>46.818184971041504</c:v>
                </c:pt>
                <c:pt idx="13">
                  <c:v>48.891960974089216</c:v>
                </c:pt>
                <c:pt idx="14">
                  <c:v>50.982560189981605</c:v>
                </c:pt>
                <c:pt idx="15">
                  <c:v>53.085316891150107</c:v>
                </c:pt>
                <c:pt idx="16">
                  <c:v>55.200231077594729</c:v>
                </c:pt>
                <c:pt idx="17">
                  <c:v>57.327302749315457</c:v>
                </c:pt>
                <c:pt idx="18">
                  <c:v>59.466531906312312</c:v>
                </c:pt>
                <c:pt idx="19">
                  <c:v>61.606680733221772</c:v>
                </c:pt>
                <c:pt idx="20">
                  <c:v>63.747749230043873</c:v>
                </c:pt>
                <c:pt idx="21">
                  <c:v>65.889737396778585</c:v>
                </c:pt>
                <c:pt idx="22">
                  <c:v>68.03264523342591</c:v>
                </c:pt>
                <c:pt idx="23">
                  <c:v>70.176472739985869</c:v>
                </c:pt>
                <c:pt idx="24">
                  <c:v>72.320430576742055</c:v>
                </c:pt>
                <c:pt idx="25">
                  <c:v>74.46451874369447</c:v>
                </c:pt>
                <c:pt idx="26">
                  <c:v>76.608737240843112</c:v>
                </c:pt>
                <c:pt idx="27">
                  <c:v>78.753086068187983</c:v>
                </c:pt>
                <c:pt idx="28">
                  <c:v>80.897565225729096</c:v>
                </c:pt>
                <c:pt idx="29">
                  <c:v>83.052269722096895</c:v>
                </c:pt>
                <c:pt idx="30">
                  <c:v>85.217199557291408</c:v>
                </c:pt>
                <c:pt idx="31">
                  <c:v>87.392354731312636</c:v>
                </c:pt>
                <c:pt idx="32">
                  <c:v>89.57773524416055</c:v>
                </c:pt>
                <c:pt idx="33">
                  <c:v>90.460954563668906</c:v>
                </c:pt>
                <c:pt idx="34">
                  <c:v>91.173829422692563</c:v>
                </c:pt>
                <c:pt idx="35">
                  <c:v>91.924809655787868</c:v>
                </c:pt>
                <c:pt idx="36">
                  <c:v>92.713895262954821</c:v>
                </c:pt>
                <c:pt idx="37">
                  <c:v>92.8</c:v>
                </c:pt>
                <c:pt idx="38">
                  <c:v>92.8</c:v>
                </c:pt>
                <c:pt idx="39">
                  <c:v>92.8</c:v>
                </c:pt>
                <c:pt idx="40">
                  <c:v>92.8</c:v>
                </c:pt>
                <c:pt idx="41">
                  <c:v>92.8</c:v>
                </c:pt>
                <c:pt idx="42">
                  <c:v>92.8</c:v>
                </c:pt>
                <c:pt idx="43">
                  <c:v>92.8</c:v>
                </c:pt>
                <c:pt idx="44">
                  <c:v>92.8</c:v>
                </c:pt>
                <c:pt idx="45">
                  <c:v>92.8</c:v>
                </c:pt>
                <c:pt idx="46">
                  <c:v>92.8</c:v>
                </c:pt>
                <c:pt idx="47">
                  <c:v>91.774709430176443</c:v>
                </c:pt>
                <c:pt idx="48">
                  <c:v>90.51965883871101</c:v>
                </c:pt>
                <c:pt idx="49">
                  <c:v>89.275120882458964</c:v>
                </c:pt>
                <c:pt idx="50">
                  <c:v>88.04109556142032</c:v>
                </c:pt>
                <c:pt idx="51">
                  <c:v>86.81758287559505</c:v>
                </c:pt>
                <c:pt idx="52">
                  <c:v>85.604582824983154</c:v>
                </c:pt>
                <c:pt idx="53">
                  <c:v>88.32318544625295</c:v>
                </c:pt>
                <c:pt idx="54">
                  <c:v>91.139097911114831</c:v>
                </c:pt>
                <c:pt idx="55">
                  <c:v>92.8</c:v>
                </c:pt>
                <c:pt idx="56">
                  <c:v>92.8</c:v>
                </c:pt>
                <c:pt idx="57">
                  <c:v>92.8</c:v>
                </c:pt>
                <c:pt idx="58">
                  <c:v>92.8</c:v>
                </c:pt>
                <c:pt idx="59">
                  <c:v>92.8</c:v>
                </c:pt>
                <c:pt idx="60">
                  <c:v>92.8</c:v>
                </c:pt>
                <c:pt idx="61">
                  <c:v>92.8</c:v>
                </c:pt>
                <c:pt idx="62">
                  <c:v>92.8</c:v>
                </c:pt>
                <c:pt idx="63">
                  <c:v>92.8</c:v>
                </c:pt>
                <c:pt idx="64">
                  <c:v>92.8</c:v>
                </c:pt>
                <c:pt idx="65">
                  <c:v>92.8</c:v>
                </c:pt>
                <c:pt idx="66">
                  <c:v>92.8</c:v>
                </c:pt>
                <c:pt idx="67">
                  <c:v>92.8</c:v>
                </c:pt>
                <c:pt idx="68">
                  <c:v>92.8</c:v>
                </c:pt>
                <c:pt idx="69">
                  <c:v>92.8</c:v>
                </c:pt>
                <c:pt idx="70">
                  <c:v>92.8</c:v>
                </c:pt>
                <c:pt idx="71">
                  <c:v>92.8</c:v>
                </c:pt>
                <c:pt idx="72">
                  <c:v>92.8</c:v>
                </c:pt>
                <c:pt idx="73">
                  <c:v>92.8</c:v>
                </c:pt>
                <c:pt idx="74">
                  <c:v>92.8</c:v>
                </c:pt>
                <c:pt idx="75">
                  <c:v>92.8</c:v>
                </c:pt>
                <c:pt idx="76">
                  <c:v>92.8</c:v>
                </c:pt>
                <c:pt idx="77">
                  <c:v>92.8</c:v>
                </c:pt>
                <c:pt idx="78">
                  <c:v>92.8</c:v>
                </c:pt>
                <c:pt idx="79">
                  <c:v>92.8</c:v>
                </c:pt>
                <c:pt idx="80">
                  <c:v>92.8</c:v>
                </c:pt>
                <c:pt idx="81">
                  <c:v>92.8</c:v>
                </c:pt>
                <c:pt idx="82">
                  <c:v>92.8</c:v>
                </c:pt>
                <c:pt idx="83">
                  <c:v>92.8</c:v>
                </c:pt>
                <c:pt idx="84">
                  <c:v>92.8</c:v>
                </c:pt>
                <c:pt idx="85">
                  <c:v>92.8</c:v>
                </c:pt>
                <c:pt idx="86">
                  <c:v>92.8</c:v>
                </c:pt>
                <c:pt idx="87">
                  <c:v>92.8</c:v>
                </c:pt>
                <c:pt idx="88">
                  <c:v>92.8</c:v>
                </c:pt>
                <c:pt idx="89">
                  <c:v>92.8</c:v>
                </c:pt>
                <c:pt idx="90">
                  <c:v>92.8</c:v>
                </c:pt>
                <c:pt idx="91">
                  <c:v>92.8</c:v>
                </c:pt>
                <c:pt idx="92">
                  <c:v>92.8</c:v>
                </c:pt>
                <c:pt idx="93">
                  <c:v>92.8</c:v>
                </c:pt>
                <c:pt idx="94">
                  <c:v>92.8</c:v>
                </c:pt>
                <c:pt idx="95">
                  <c:v>92.8</c:v>
                </c:pt>
                <c:pt idx="96">
                  <c:v>92.8</c:v>
                </c:pt>
                <c:pt idx="97">
                  <c:v>92.8</c:v>
                </c:pt>
                <c:pt idx="98">
                  <c:v>92.8</c:v>
                </c:pt>
                <c:pt idx="99">
                  <c:v>92.8</c:v>
                </c:pt>
                <c:pt idx="100">
                  <c:v>92.8</c:v>
                </c:pt>
              </c:numCache>
            </c:numRef>
          </c:val>
          <c:smooth val="0"/>
        </c:ser>
        <c:dLbls>
          <c:showLegendKey val="0"/>
          <c:showVal val="0"/>
          <c:showCatName val="0"/>
          <c:showSerName val="0"/>
          <c:showPercent val="0"/>
          <c:showBubbleSize val="0"/>
        </c:dLbls>
        <c:marker val="1"/>
        <c:smooth val="0"/>
        <c:axId val="145517568"/>
        <c:axId val="145539840"/>
      </c:lineChart>
      <c:catAx>
        <c:axId val="145517568"/>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145539840"/>
        <c:crossesAt val="35"/>
        <c:auto val="1"/>
        <c:lblAlgn val="ctr"/>
        <c:lblOffset val="100"/>
        <c:noMultiLvlLbl val="0"/>
      </c:catAx>
      <c:valAx>
        <c:axId val="145539840"/>
        <c:scaling>
          <c:orientation val="minMax"/>
          <c:min val="35"/>
        </c:scaling>
        <c:delete val="0"/>
        <c:axPos val="l"/>
        <c:majorGridlines/>
        <c:title>
          <c:tx>
            <c:rich>
              <a:bodyPr/>
              <a:lstStyle/>
              <a:p>
                <a:pPr>
                  <a:defRPr sz="1050" b="0" i="0" u="none" strike="noStrike" baseline="0">
                    <a:solidFill>
                      <a:srgbClr val="000000"/>
                    </a:solidFill>
                    <a:latin typeface="Calibri"/>
                    <a:ea typeface="Calibri"/>
                    <a:cs typeface="Calibri"/>
                  </a:defRPr>
                </a:pPr>
                <a:r>
                  <a:rPr lang="en-US" sz="1050"/>
                  <a:t>Metric Tonnes CO2/Acre</a:t>
                </a:r>
              </a:p>
            </c:rich>
          </c:tx>
          <c:layout>
            <c:manualLayout>
              <c:xMode val="edge"/>
              <c:yMode val="edge"/>
              <c:x val="6.8888170332759464E-4"/>
              <c:y val="0.21374075789545924"/>
            </c:manualLayout>
          </c:layout>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5517568"/>
        <c:crosses val="autoZero"/>
        <c:crossBetween val="between"/>
      </c:valAx>
    </c:plotArea>
    <c:legend>
      <c:legendPos val="r"/>
      <c:layout>
        <c:manualLayout>
          <c:xMode val="edge"/>
          <c:yMode val="edge"/>
          <c:x val="7.0467574627334273E-2"/>
          <c:y val="7.9845753704733999E-2"/>
          <c:w val="0.67589921238373329"/>
          <c:h val="0.21182664014597341"/>
        </c:manualLayout>
      </c:layout>
      <c:overlay val="0"/>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33333333333333"/>
          <c:y val="0.21014260488381362"/>
          <c:w val="0.87888888888888894"/>
          <c:h val="0.7637563383765511"/>
        </c:manualLayout>
      </c:layout>
      <c:barChart>
        <c:barDir val="col"/>
        <c:grouping val="clustered"/>
        <c:varyColors val="0"/>
        <c:ser>
          <c:idx val="4"/>
          <c:order val="0"/>
          <c:tx>
            <c:v>CAR Baseline</c:v>
          </c:tx>
          <c:spPr>
            <a:solidFill>
              <a:srgbClr val="FFC000"/>
            </a:solidFill>
          </c:spPr>
          <c:invertIfNegative val="0"/>
          <c:cat>
            <c:numRef>
              <c:f>'Project_Carbon-10yrBAU-CRTpaybk'!$AS$107:$AS$143</c:f>
              <c:numCache>
                <c:formatCode>General</c:formatCode>
                <c:ptCount val="37"/>
                <c:pt idx="0">
                  <c:v>2013</c:v>
                </c:pt>
                <c:pt idx="1">
                  <c:v>2018</c:v>
                </c:pt>
                <c:pt idx="2">
                  <c:v>2023</c:v>
                </c:pt>
                <c:pt idx="3">
                  <c:v>2026</c:v>
                </c:pt>
                <c:pt idx="4">
                  <c:v>2028</c:v>
                </c:pt>
                <c:pt idx="5">
                  <c:v>2031</c:v>
                </c:pt>
                <c:pt idx="6">
                  <c:v>2033</c:v>
                </c:pt>
                <c:pt idx="7">
                  <c:v>2036</c:v>
                </c:pt>
                <c:pt idx="8">
                  <c:v>2038</c:v>
                </c:pt>
                <c:pt idx="9">
                  <c:v>2043</c:v>
                </c:pt>
                <c:pt idx="10">
                  <c:v>2047</c:v>
                </c:pt>
                <c:pt idx="11">
                  <c:v>2048</c:v>
                </c:pt>
                <c:pt idx="12">
                  <c:v>2051</c:v>
                </c:pt>
                <c:pt idx="13">
                  <c:v>2053</c:v>
                </c:pt>
                <c:pt idx="14">
                  <c:v>2056</c:v>
                </c:pt>
                <c:pt idx="15">
                  <c:v>2058</c:v>
                </c:pt>
                <c:pt idx="16">
                  <c:v>2061</c:v>
                </c:pt>
                <c:pt idx="17">
                  <c:v>2063</c:v>
                </c:pt>
                <c:pt idx="18">
                  <c:v>2066</c:v>
                </c:pt>
                <c:pt idx="19">
                  <c:v>2068</c:v>
                </c:pt>
                <c:pt idx="20">
                  <c:v>2071</c:v>
                </c:pt>
                <c:pt idx="21">
                  <c:v>2073</c:v>
                </c:pt>
                <c:pt idx="22">
                  <c:v>2076</c:v>
                </c:pt>
                <c:pt idx="23">
                  <c:v>2078</c:v>
                </c:pt>
                <c:pt idx="24">
                  <c:v>2081</c:v>
                </c:pt>
                <c:pt idx="25">
                  <c:v>2083</c:v>
                </c:pt>
                <c:pt idx="26">
                  <c:v>2086</c:v>
                </c:pt>
                <c:pt idx="27">
                  <c:v>2088</c:v>
                </c:pt>
                <c:pt idx="28">
                  <c:v>2091</c:v>
                </c:pt>
                <c:pt idx="29">
                  <c:v>2093</c:v>
                </c:pt>
                <c:pt idx="30">
                  <c:v>2096</c:v>
                </c:pt>
                <c:pt idx="31">
                  <c:v>2098</c:v>
                </c:pt>
                <c:pt idx="32">
                  <c:v>2101</c:v>
                </c:pt>
                <c:pt idx="33">
                  <c:v>2103</c:v>
                </c:pt>
                <c:pt idx="34">
                  <c:v>2106</c:v>
                </c:pt>
                <c:pt idx="35">
                  <c:v>2108</c:v>
                </c:pt>
                <c:pt idx="36">
                  <c:v>2111</c:v>
                </c:pt>
              </c:numCache>
            </c:numRef>
          </c:cat>
          <c:val>
            <c:numRef>
              <c:f>'Project_Carbon-10yrBAU-CRTpaybk'!$AR$107:$AR$143</c:f>
              <c:numCache>
                <c:formatCode>General</c:formatCode>
                <c:ptCount val="37"/>
                <c:pt idx="0">
                  <c:v>9.11</c:v>
                </c:pt>
                <c:pt idx="1">
                  <c:v>3.2724999999999991</c:v>
                </c:pt>
                <c:pt idx="2">
                  <c:v>0</c:v>
                </c:pt>
                <c:pt idx="3">
                  <c:v>5.0175000000000001</c:v>
                </c:pt>
                <c:pt idx="4">
                  <c:v>0</c:v>
                </c:pt>
                <c:pt idx="5">
                  <c:v>-13.105</c:v>
                </c:pt>
                <c:pt idx="6">
                  <c:v>0</c:v>
                </c:pt>
                <c:pt idx="7">
                  <c:v>-11.675000000000001</c:v>
                </c:pt>
                <c:pt idx="8">
                  <c:v>-6.34</c:v>
                </c:pt>
                <c:pt idx="9">
                  <c:v>9.4049999999999994</c:v>
                </c:pt>
                <c:pt idx="10">
                  <c:v>3.2349999999999994</c:v>
                </c:pt>
                <c:pt idx="11">
                  <c:v>0</c:v>
                </c:pt>
                <c:pt idx="12">
                  <c:v>-6.1924999999999999</c:v>
                </c:pt>
                <c:pt idx="13">
                  <c:v>0</c:v>
                </c:pt>
                <c:pt idx="14">
                  <c:v>-15.157499999999999</c:v>
                </c:pt>
                <c:pt idx="15">
                  <c:v>0</c:v>
                </c:pt>
                <c:pt idx="16">
                  <c:v>8.307500000000001</c:v>
                </c:pt>
                <c:pt idx="17">
                  <c:v>0</c:v>
                </c:pt>
                <c:pt idx="18">
                  <c:v>7.9474999999999998</c:v>
                </c:pt>
                <c:pt idx="19">
                  <c:v>0</c:v>
                </c:pt>
                <c:pt idx="20">
                  <c:v>-8.1374999999999993</c:v>
                </c:pt>
                <c:pt idx="21">
                  <c:v>0</c:v>
                </c:pt>
                <c:pt idx="22">
                  <c:v>6.6125000000000007</c:v>
                </c:pt>
                <c:pt idx="23">
                  <c:v>0</c:v>
                </c:pt>
                <c:pt idx="24">
                  <c:v>-4.88</c:v>
                </c:pt>
                <c:pt idx="25">
                  <c:v>0</c:v>
                </c:pt>
                <c:pt idx="26">
                  <c:v>11.375</c:v>
                </c:pt>
                <c:pt idx="27">
                  <c:v>0</c:v>
                </c:pt>
                <c:pt idx="28">
                  <c:v>-3.0525000000000002</c:v>
                </c:pt>
                <c:pt idx="29">
                  <c:v>0</c:v>
                </c:pt>
                <c:pt idx="30">
                  <c:v>-18.137500000000003</c:v>
                </c:pt>
                <c:pt idx="31">
                  <c:v>0</c:v>
                </c:pt>
                <c:pt idx="32">
                  <c:v>11.795000000000002</c:v>
                </c:pt>
                <c:pt idx="33">
                  <c:v>0</c:v>
                </c:pt>
                <c:pt idx="34">
                  <c:v>-5.2324999999999982</c:v>
                </c:pt>
                <c:pt idx="35">
                  <c:v>0</c:v>
                </c:pt>
                <c:pt idx="36">
                  <c:v>0.93250000000000011</c:v>
                </c:pt>
              </c:numCache>
            </c:numRef>
          </c:val>
        </c:ser>
        <c:ser>
          <c:idx val="1"/>
          <c:order val="1"/>
          <c:tx>
            <c:v>Baseline=BAU Scenario Moving 10 Year Average</c:v>
          </c:tx>
          <c:spPr>
            <a:solidFill>
              <a:schemeClr val="accent3"/>
            </a:solidFill>
          </c:spPr>
          <c:invertIfNegative val="0"/>
          <c:cat>
            <c:numRef>
              <c:f>'Project_Carbon-10yrBAU-CRTpaybk'!$AS$107:$AS$143</c:f>
              <c:numCache>
                <c:formatCode>General</c:formatCode>
                <c:ptCount val="37"/>
                <c:pt idx="0">
                  <c:v>2013</c:v>
                </c:pt>
                <c:pt idx="1">
                  <c:v>2018</c:v>
                </c:pt>
                <c:pt idx="2">
                  <c:v>2023</c:v>
                </c:pt>
                <c:pt idx="3">
                  <c:v>2026</c:v>
                </c:pt>
                <c:pt idx="4">
                  <c:v>2028</c:v>
                </c:pt>
                <c:pt idx="5">
                  <c:v>2031</c:v>
                </c:pt>
                <c:pt idx="6">
                  <c:v>2033</c:v>
                </c:pt>
                <c:pt idx="7">
                  <c:v>2036</c:v>
                </c:pt>
                <c:pt idx="8">
                  <c:v>2038</c:v>
                </c:pt>
                <c:pt idx="9">
                  <c:v>2043</c:v>
                </c:pt>
                <c:pt idx="10">
                  <c:v>2047</c:v>
                </c:pt>
                <c:pt idx="11">
                  <c:v>2048</c:v>
                </c:pt>
                <c:pt idx="12">
                  <c:v>2051</c:v>
                </c:pt>
                <c:pt idx="13">
                  <c:v>2053</c:v>
                </c:pt>
                <c:pt idx="14">
                  <c:v>2056</c:v>
                </c:pt>
                <c:pt idx="15">
                  <c:v>2058</c:v>
                </c:pt>
                <c:pt idx="16">
                  <c:v>2061</c:v>
                </c:pt>
                <c:pt idx="17">
                  <c:v>2063</c:v>
                </c:pt>
                <c:pt idx="18">
                  <c:v>2066</c:v>
                </c:pt>
                <c:pt idx="19">
                  <c:v>2068</c:v>
                </c:pt>
                <c:pt idx="20">
                  <c:v>2071</c:v>
                </c:pt>
                <c:pt idx="21">
                  <c:v>2073</c:v>
                </c:pt>
                <c:pt idx="22">
                  <c:v>2076</c:v>
                </c:pt>
                <c:pt idx="23">
                  <c:v>2078</c:v>
                </c:pt>
                <c:pt idx="24">
                  <c:v>2081</c:v>
                </c:pt>
                <c:pt idx="25">
                  <c:v>2083</c:v>
                </c:pt>
                <c:pt idx="26">
                  <c:v>2086</c:v>
                </c:pt>
                <c:pt idx="27">
                  <c:v>2088</c:v>
                </c:pt>
                <c:pt idx="28">
                  <c:v>2091</c:v>
                </c:pt>
                <c:pt idx="29">
                  <c:v>2093</c:v>
                </c:pt>
                <c:pt idx="30">
                  <c:v>2096</c:v>
                </c:pt>
                <c:pt idx="31">
                  <c:v>2098</c:v>
                </c:pt>
                <c:pt idx="32">
                  <c:v>2101</c:v>
                </c:pt>
                <c:pt idx="33">
                  <c:v>2103</c:v>
                </c:pt>
                <c:pt idx="34">
                  <c:v>2106</c:v>
                </c:pt>
                <c:pt idx="35">
                  <c:v>2108</c:v>
                </c:pt>
                <c:pt idx="36">
                  <c:v>2111</c:v>
                </c:pt>
              </c:numCache>
            </c:numRef>
          </c:cat>
          <c:val>
            <c:numRef>
              <c:f>'Project_Carbon-10yrBAU-CRTpaybk'!$AP$107:$AP$143</c:f>
              <c:numCache>
                <c:formatCode>General</c:formatCode>
                <c:ptCount val="37"/>
                <c:pt idx="0">
                  <c:v>33.652500000000003</c:v>
                </c:pt>
                <c:pt idx="1">
                  <c:v>11.932500000000001</c:v>
                </c:pt>
                <c:pt idx="2">
                  <c:v>6.1274999999999986</c:v>
                </c:pt>
                <c:pt idx="3">
                  <c:v>0</c:v>
                </c:pt>
                <c:pt idx="4">
                  <c:v>-7.2125000000000004</c:v>
                </c:pt>
                <c:pt idx="5">
                  <c:v>0</c:v>
                </c:pt>
                <c:pt idx="6">
                  <c:v>-27.994999999999997</c:v>
                </c:pt>
                <c:pt idx="7">
                  <c:v>0</c:v>
                </c:pt>
                <c:pt idx="8">
                  <c:v>-29.842500000000001</c:v>
                </c:pt>
                <c:pt idx="9">
                  <c:v>-1.8525</c:v>
                </c:pt>
                <c:pt idx="10">
                  <c:v>0</c:v>
                </c:pt>
                <c:pt idx="11">
                  <c:v>-0.95749999999999902</c:v>
                </c:pt>
                <c:pt idx="12">
                  <c:v>0</c:v>
                </c:pt>
                <c:pt idx="13">
                  <c:v>-11.414999999999999</c:v>
                </c:pt>
                <c:pt idx="14">
                  <c:v>0</c:v>
                </c:pt>
                <c:pt idx="15">
                  <c:v>-6.6475000000000009</c:v>
                </c:pt>
                <c:pt idx="16">
                  <c:v>0</c:v>
                </c:pt>
                <c:pt idx="17">
                  <c:v>12.664999999999999</c:v>
                </c:pt>
                <c:pt idx="18">
                  <c:v>0</c:v>
                </c:pt>
                <c:pt idx="19">
                  <c:v>2.9</c:v>
                </c:pt>
                <c:pt idx="20">
                  <c:v>0</c:v>
                </c:pt>
                <c:pt idx="21">
                  <c:v>-12.937500000000002</c:v>
                </c:pt>
                <c:pt idx="22">
                  <c:v>0</c:v>
                </c:pt>
                <c:pt idx="23">
                  <c:v>-4.597500000000001</c:v>
                </c:pt>
                <c:pt idx="24">
                  <c:v>0</c:v>
                </c:pt>
                <c:pt idx="25">
                  <c:v>3.7149999999999999</c:v>
                </c:pt>
                <c:pt idx="26">
                  <c:v>0</c:v>
                </c:pt>
                <c:pt idx="27">
                  <c:v>12.164999999999999</c:v>
                </c:pt>
                <c:pt idx="28">
                  <c:v>0</c:v>
                </c:pt>
                <c:pt idx="29">
                  <c:v>-0.63500000000000068</c:v>
                </c:pt>
                <c:pt idx="30">
                  <c:v>0</c:v>
                </c:pt>
                <c:pt idx="31">
                  <c:v>-18.892499999999998</c:v>
                </c:pt>
                <c:pt idx="32">
                  <c:v>0</c:v>
                </c:pt>
                <c:pt idx="33">
                  <c:v>17.142499999999998</c:v>
                </c:pt>
                <c:pt idx="34">
                  <c:v>0</c:v>
                </c:pt>
                <c:pt idx="35">
                  <c:v>-4.4175000000000004</c:v>
                </c:pt>
                <c:pt idx="36">
                  <c:v>2.9825000000000004</c:v>
                </c:pt>
              </c:numCache>
            </c:numRef>
          </c:val>
        </c:ser>
        <c:ser>
          <c:idx val="3"/>
          <c:order val="2"/>
          <c:tx>
            <c:v>Baseline=BAU Scenario Moving 10 Year Average &amp; Payback of Only CRTs Issued to Date in Reversal Years</c:v>
          </c:tx>
          <c:spPr>
            <a:solidFill>
              <a:srgbClr val="FF0000"/>
            </a:solidFill>
          </c:spPr>
          <c:invertIfNegative val="0"/>
          <c:cat>
            <c:numRef>
              <c:f>'Project_Carbon-10yrBAU-CRTpaybk'!$AS$107:$AS$143</c:f>
              <c:numCache>
                <c:formatCode>General</c:formatCode>
                <c:ptCount val="37"/>
                <c:pt idx="0">
                  <c:v>2013</c:v>
                </c:pt>
                <c:pt idx="1">
                  <c:v>2018</c:v>
                </c:pt>
                <c:pt idx="2">
                  <c:v>2023</c:v>
                </c:pt>
                <c:pt idx="3">
                  <c:v>2026</c:v>
                </c:pt>
                <c:pt idx="4">
                  <c:v>2028</c:v>
                </c:pt>
                <c:pt idx="5">
                  <c:v>2031</c:v>
                </c:pt>
                <c:pt idx="6">
                  <c:v>2033</c:v>
                </c:pt>
                <c:pt idx="7">
                  <c:v>2036</c:v>
                </c:pt>
                <c:pt idx="8">
                  <c:v>2038</c:v>
                </c:pt>
                <c:pt idx="9">
                  <c:v>2043</c:v>
                </c:pt>
                <c:pt idx="10">
                  <c:v>2047</c:v>
                </c:pt>
                <c:pt idx="11">
                  <c:v>2048</c:v>
                </c:pt>
                <c:pt idx="12">
                  <c:v>2051</c:v>
                </c:pt>
                <c:pt idx="13">
                  <c:v>2053</c:v>
                </c:pt>
                <c:pt idx="14">
                  <c:v>2056</c:v>
                </c:pt>
                <c:pt idx="15">
                  <c:v>2058</c:v>
                </c:pt>
                <c:pt idx="16">
                  <c:v>2061</c:v>
                </c:pt>
                <c:pt idx="17">
                  <c:v>2063</c:v>
                </c:pt>
                <c:pt idx="18">
                  <c:v>2066</c:v>
                </c:pt>
                <c:pt idx="19">
                  <c:v>2068</c:v>
                </c:pt>
                <c:pt idx="20">
                  <c:v>2071</c:v>
                </c:pt>
                <c:pt idx="21">
                  <c:v>2073</c:v>
                </c:pt>
                <c:pt idx="22">
                  <c:v>2076</c:v>
                </c:pt>
                <c:pt idx="23">
                  <c:v>2078</c:v>
                </c:pt>
                <c:pt idx="24">
                  <c:v>2081</c:v>
                </c:pt>
                <c:pt idx="25">
                  <c:v>2083</c:v>
                </c:pt>
                <c:pt idx="26">
                  <c:v>2086</c:v>
                </c:pt>
                <c:pt idx="27">
                  <c:v>2088</c:v>
                </c:pt>
                <c:pt idx="28">
                  <c:v>2091</c:v>
                </c:pt>
                <c:pt idx="29">
                  <c:v>2093</c:v>
                </c:pt>
                <c:pt idx="30">
                  <c:v>2096</c:v>
                </c:pt>
                <c:pt idx="31">
                  <c:v>2098</c:v>
                </c:pt>
                <c:pt idx="32">
                  <c:v>2101</c:v>
                </c:pt>
                <c:pt idx="33">
                  <c:v>2103</c:v>
                </c:pt>
                <c:pt idx="34">
                  <c:v>2106</c:v>
                </c:pt>
                <c:pt idx="35">
                  <c:v>2108</c:v>
                </c:pt>
                <c:pt idx="36">
                  <c:v>2111</c:v>
                </c:pt>
              </c:numCache>
            </c:numRef>
          </c:cat>
          <c:val>
            <c:numRef>
              <c:f>'Project_Carbon-10yrBAU-CRTpaybk'!$AQ$107:$AQ$143</c:f>
              <c:numCache>
                <c:formatCode>General</c:formatCode>
                <c:ptCount val="37"/>
                <c:pt idx="0">
                  <c:v>33.652500000000003</c:v>
                </c:pt>
                <c:pt idx="1">
                  <c:v>11.932500000000001</c:v>
                </c:pt>
                <c:pt idx="2">
                  <c:v>6.1274999999999986</c:v>
                </c:pt>
                <c:pt idx="3">
                  <c:v>0</c:v>
                </c:pt>
                <c:pt idx="4">
                  <c:v>-7.2125000000000004</c:v>
                </c:pt>
                <c:pt idx="5">
                  <c:v>0</c:v>
                </c:pt>
                <c:pt idx="6">
                  <c:v>-27.994999999999997</c:v>
                </c:pt>
                <c:pt idx="7">
                  <c:v>0</c:v>
                </c:pt>
                <c:pt idx="8">
                  <c:v>-16.50500000000001</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numCache>
            </c:numRef>
          </c:val>
        </c:ser>
        <c:dLbls>
          <c:showLegendKey val="0"/>
          <c:showVal val="0"/>
          <c:showCatName val="0"/>
          <c:showSerName val="0"/>
          <c:showPercent val="0"/>
          <c:showBubbleSize val="0"/>
        </c:dLbls>
        <c:gapWidth val="150"/>
        <c:axId val="146344192"/>
        <c:axId val="146493440"/>
      </c:barChart>
      <c:catAx>
        <c:axId val="146344192"/>
        <c:scaling>
          <c:orientation val="minMax"/>
        </c:scaling>
        <c:delete val="0"/>
        <c:axPos val="b"/>
        <c:numFmt formatCode="General" sourceLinked="1"/>
        <c:majorTickMark val="in"/>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46493440"/>
        <c:crosses val="autoZero"/>
        <c:auto val="1"/>
        <c:lblAlgn val="ctr"/>
        <c:lblOffset val="100"/>
        <c:tickLblSkip val="1"/>
        <c:tickMarkSkip val="1"/>
        <c:noMultiLvlLbl val="0"/>
      </c:catAx>
      <c:valAx>
        <c:axId val="146493440"/>
        <c:scaling>
          <c:orientation val="minMax"/>
          <c:max val="35"/>
          <c:min val="-30"/>
        </c:scaling>
        <c:delete val="0"/>
        <c:axPos val="l"/>
        <c:majorGridlines/>
        <c:title>
          <c:tx>
            <c:rich>
              <a:bodyPr/>
              <a:lstStyle/>
              <a:p>
                <a:pPr>
                  <a:defRPr sz="1100" b="1" i="0" u="none" strike="noStrike" baseline="0">
                    <a:solidFill>
                      <a:srgbClr val="000000"/>
                    </a:solidFill>
                    <a:latin typeface="Calibri"/>
                    <a:ea typeface="Calibri"/>
                    <a:cs typeface="Calibri"/>
                  </a:defRPr>
                </a:pPr>
                <a:r>
                  <a:rPr lang="en-US" sz="1100"/>
                  <a:t>Metric Tonnes CO2/Acre</a:t>
                </a:r>
              </a:p>
            </c:rich>
          </c:tx>
          <c:layout>
            <c:manualLayout>
              <c:xMode val="edge"/>
              <c:yMode val="edge"/>
              <c:x val="1.8259450219968057E-3"/>
              <c:y val="0.39770856522515835"/>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6344192"/>
        <c:crosses val="autoZero"/>
        <c:crossBetween val="between"/>
        <c:majorUnit val="5"/>
      </c:valAx>
      <c:spPr>
        <a:noFill/>
        <a:ln w="25400">
          <a:noFill/>
        </a:ln>
      </c:spPr>
    </c:plotArea>
    <c:legend>
      <c:legendPos val="r"/>
      <c:layout>
        <c:manualLayout>
          <c:xMode val="edge"/>
          <c:yMode val="edge"/>
          <c:x val="3.4642525971678689E-2"/>
          <c:y val="7.8534031413612579E-3"/>
          <c:w val="0.94891351155955805"/>
          <c:h val="0.20680628272251309"/>
        </c:manualLayout>
      </c:layout>
      <c:overlay val="0"/>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8A764-54DB-4D52-AB98-384F82E2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Grinnell_MasterDraft</Template>
  <TotalTime>283</TotalTime>
  <Pages>98</Pages>
  <Words>65060</Words>
  <Characters>370845</Characters>
  <Application>Microsoft Office Word</Application>
  <DocSecurity>0</DocSecurity>
  <Lines>3090</Lines>
  <Paragraphs>870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435035</CharactersWithSpaces>
  <SharedDoc>false</SharedDoc>
  <HLinks>
    <vt:vector size="654" baseType="variant">
      <vt:variant>
        <vt:i4>4325387</vt:i4>
      </vt:variant>
      <vt:variant>
        <vt:i4>604</vt:i4>
      </vt:variant>
      <vt:variant>
        <vt:i4>0</vt:i4>
      </vt:variant>
      <vt:variant>
        <vt:i4>5</vt:i4>
      </vt:variant>
      <vt:variant>
        <vt:lpwstr/>
      </vt:variant>
      <vt:variant>
        <vt:lpwstr>_ENREF_36</vt:lpwstr>
      </vt:variant>
      <vt:variant>
        <vt:i4>4390923</vt:i4>
      </vt:variant>
      <vt:variant>
        <vt:i4>598</vt:i4>
      </vt:variant>
      <vt:variant>
        <vt:i4>0</vt:i4>
      </vt:variant>
      <vt:variant>
        <vt:i4>5</vt:i4>
      </vt:variant>
      <vt:variant>
        <vt:lpwstr/>
      </vt:variant>
      <vt:variant>
        <vt:lpwstr>_ENREF_27</vt:lpwstr>
      </vt:variant>
      <vt:variant>
        <vt:i4>4390923</vt:i4>
      </vt:variant>
      <vt:variant>
        <vt:i4>592</vt:i4>
      </vt:variant>
      <vt:variant>
        <vt:i4>0</vt:i4>
      </vt:variant>
      <vt:variant>
        <vt:i4>5</vt:i4>
      </vt:variant>
      <vt:variant>
        <vt:lpwstr/>
      </vt:variant>
      <vt:variant>
        <vt:lpwstr>_ENREF_20</vt:lpwstr>
      </vt:variant>
      <vt:variant>
        <vt:i4>4456459</vt:i4>
      </vt:variant>
      <vt:variant>
        <vt:i4>586</vt:i4>
      </vt:variant>
      <vt:variant>
        <vt:i4>0</vt:i4>
      </vt:variant>
      <vt:variant>
        <vt:i4>5</vt:i4>
      </vt:variant>
      <vt:variant>
        <vt:lpwstr/>
      </vt:variant>
      <vt:variant>
        <vt:lpwstr>_ENREF_50</vt:lpwstr>
      </vt:variant>
      <vt:variant>
        <vt:i4>1310745</vt:i4>
      </vt:variant>
      <vt:variant>
        <vt:i4>580</vt:i4>
      </vt:variant>
      <vt:variant>
        <vt:i4>0</vt:i4>
      </vt:variant>
      <vt:variant>
        <vt:i4>5</vt:i4>
      </vt:variant>
      <vt:variant>
        <vt:lpwstr>http://www.ecologyandsociety.org/vol9/iss5/art4/</vt:lpwstr>
      </vt:variant>
      <vt:variant>
        <vt:lpwstr/>
      </vt:variant>
      <vt:variant>
        <vt:i4>3997809</vt:i4>
      </vt:variant>
      <vt:variant>
        <vt:i4>577</vt:i4>
      </vt:variant>
      <vt:variant>
        <vt:i4>0</vt:i4>
      </vt:variant>
      <vt:variant>
        <vt:i4>5</vt:i4>
      </vt:variant>
      <vt:variant>
        <vt:lpwstr>http://www.natureserve.org/prodServices/climatechange/ccvi.jsp</vt:lpwstr>
      </vt:variant>
      <vt:variant>
        <vt:lpwstr/>
      </vt:variant>
      <vt:variant>
        <vt:i4>2883658</vt:i4>
      </vt:variant>
      <vt:variant>
        <vt:i4>574</vt:i4>
      </vt:variant>
      <vt:variant>
        <vt:i4>0</vt:i4>
      </vt:variant>
      <vt:variant>
        <vt:i4>5</vt:i4>
      </vt:variant>
      <vt:variant>
        <vt:lpwstr>http://www.landscope.org/explore/natural_geographies/ecoregions/Cumberlands and Southern Ridge and Valley/</vt:lpwstr>
      </vt:variant>
      <vt:variant>
        <vt:lpwstr/>
      </vt:variant>
      <vt:variant>
        <vt:i4>2031627</vt:i4>
      </vt:variant>
      <vt:variant>
        <vt:i4>571</vt:i4>
      </vt:variant>
      <vt:variant>
        <vt:i4>0</vt:i4>
      </vt:variant>
      <vt:variant>
        <vt:i4>5</vt:i4>
      </vt:variant>
      <vt:variant>
        <vt:lpwstr>http://biomass.forestencyclopedia.net/p/p3121</vt:lpwstr>
      </vt:variant>
      <vt:variant>
        <vt:lpwstr/>
      </vt:variant>
      <vt:variant>
        <vt:i4>17</vt:i4>
      </vt:variant>
      <vt:variant>
        <vt:i4>568</vt:i4>
      </vt:variant>
      <vt:variant>
        <vt:i4>0</vt:i4>
      </vt:variant>
      <vt:variant>
        <vt:i4>5</vt:i4>
      </vt:variant>
      <vt:variant>
        <vt:lpwstr>http://www.carbonpositive.net/viewarticle.aspx?articleID=2197</vt:lpwstr>
      </vt:variant>
      <vt:variant>
        <vt:lpwstr/>
      </vt:variant>
      <vt:variant>
        <vt:i4>4521995</vt:i4>
      </vt:variant>
      <vt:variant>
        <vt:i4>562</vt:i4>
      </vt:variant>
      <vt:variant>
        <vt:i4>0</vt:i4>
      </vt:variant>
      <vt:variant>
        <vt:i4>5</vt:i4>
      </vt:variant>
      <vt:variant>
        <vt:lpwstr/>
      </vt:variant>
      <vt:variant>
        <vt:lpwstr>_ENREF_48</vt:lpwstr>
      </vt:variant>
      <vt:variant>
        <vt:i4>4325387</vt:i4>
      </vt:variant>
      <vt:variant>
        <vt:i4>556</vt:i4>
      </vt:variant>
      <vt:variant>
        <vt:i4>0</vt:i4>
      </vt:variant>
      <vt:variant>
        <vt:i4>5</vt:i4>
      </vt:variant>
      <vt:variant>
        <vt:lpwstr/>
      </vt:variant>
      <vt:variant>
        <vt:lpwstr>_ENREF_32</vt:lpwstr>
      </vt:variant>
      <vt:variant>
        <vt:i4>4390923</vt:i4>
      </vt:variant>
      <vt:variant>
        <vt:i4>550</vt:i4>
      </vt:variant>
      <vt:variant>
        <vt:i4>0</vt:i4>
      </vt:variant>
      <vt:variant>
        <vt:i4>5</vt:i4>
      </vt:variant>
      <vt:variant>
        <vt:lpwstr/>
      </vt:variant>
      <vt:variant>
        <vt:lpwstr>_ENREF_21</vt:lpwstr>
      </vt:variant>
      <vt:variant>
        <vt:i4>4456459</vt:i4>
      </vt:variant>
      <vt:variant>
        <vt:i4>544</vt:i4>
      </vt:variant>
      <vt:variant>
        <vt:i4>0</vt:i4>
      </vt:variant>
      <vt:variant>
        <vt:i4>5</vt:i4>
      </vt:variant>
      <vt:variant>
        <vt:lpwstr/>
      </vt:variant>
      <vt:variant>
        <vt:lpwstr>_ENREF_53</vt:lpwstr>
      </vt:variant>
      <vt:variant>
        <vt:i4>4653067</vt:i4>
      </vt:variant>
      <vt:variant>
        <vt:i4>538</vt:i4>
      </vt:variant>
      <vt:variant>
        <vt:i4>0</vt:i4>
      </vt:variant>
      <vt:variant>
        <vt:i4>5</vt:i4>
      </vt:variant>
      <vt:variant>
        <vt:lpwstr/>
      </vt:variant>
      <vt:variant>
        <vt:lpwstr>_ENREF_6</vt:lpwstr>
      </vt:variant>
      <vt:variant>
        <vt:i4>4194315</vt:i4>
      </vt:variant>
      <vt:variant>
        <vt:i4>532</vt:i4>
      </vt:variant>
      <vt:variant>
        <vt:i4>0</vt:i4>
      </vt:variant>
      <vt:variant>
        <vt:i4>5</vt:i4>
      </vt:variant>
      <vt:variant>
        <vt:lpwstr/>
      </vt:variant>
      <vt:variant>
        <vt:lpwstr>_ENREF_18</vt:lpwstr>
      </vt:variant>
      <vt:variant>
        <vt:i4>4521995</vt:i4>
      </vt:variant>
      <vt:variant>
        <vt:i4>520</vt:i4>
      </vt:variant>
      <vt:variant>
        <vt:i4>0</vt:i4>
      </vt:variant>
      <vt:variant>
        <vt:i4>5</vt:i4>
      </vt:variant>
      <vt:variant>
        <vt:lpwstr/>
      </vt:variant>
      <vt:variant>
        <vt:lpwstr>_ENREF_45</vt:lpwstr>
      </vt:variant>
      <vt:variant>
        <vt:i4>4325387</vt:i4>
      </vt:variant>
      <vt:variant>
        <vt:i4>511</vt:i4>
      </vt:variant>
      <vt:variant>
        <vt:i4>0</vt:i4>
      </vt:variant>
      <vt:variant>
        <vt:i4>5</vt:i4>
      </vt:variant>
      <vt:variant>
        <vt:lpwstr/>
      </vt:variant>
      <vt:variant>
        <vt:lpwstr>_ENREF_31</vt:lpwstr>
      </vt:variant>
      <vt:variant>
        <vt:i4>4325387</vt:i4>
      </vt:variant>
      <vt:variant>
        <vt:i4>505</vt:i4>
      </vt:variant>
      <vt:variant>
        <vt:i4>0</vt:i4>
      </vt:variant>
      <vt:variant>
        <vt:i4>5</vt:i4>
      </vt:variant>
      <vt:variant>
        <vt:lpwstr/>
      </vt:variant>
      <vt:variant>
        <vt:lpwstr>_ENREF_31</vt:lpwstr>
      </vt:variant>
      <vt:variant>
        <vt:i4>4194315</vt:i4>
      </vt:variant>
      <vt:variant>
        <vt:i4>499</vt:i4>
      </vt:variant>
      <vt:variant>
        <vt:i4>0</vt:i4>
      </vt:variant>
      <vt:variant>
        <vt:i4>5</vt:i4>
      </vt:variant>
      <vt:variant>
        <vt:lpwstr/>
      </vt:variant>
      <vt:variant>
        <vt:lpwstr>_ENREF_12</vt:lpwstr>
      </vt:variant>
      <vt:variant>
        <vt:i4>4325387</vt:i4>
      </vt:variant>
      <vt:variant>
        <vt:i4>493</vt:i4>
      </vt:variant>
      <vt:variant>
        <vt:i4>0</vt:i4>
      </vt:variant>
      <vt:variant>
        <vt:i4>5</vt:i4>
      </vt:variant>
      <vt:variant>
        <vt:lpwstr/>
      </vt:variant>
      <vt:variant>
        <vt:lpwstr>_ENREF_31</vt:lpwstr>
      </vt:variant>
      <vt:variant>
        <vt:i4>4325387</vt:i4>
      </vt:variant>
      <vt:variant>
        <vt:i4>487</vt:i4>
      </vt:variant>
      <vt:variant>
        <vt:i4>0</vt:i4>
      </vt:variant>
      <vt:variant>
        <vt:i4>5</vt:i4>
      </vt:variant>
      <vt:variant>
        <vt:lpwstr/>
      </vt:variant>
      <vt:variant>
        <vt:lpwstr>_ENREF_31</vt:lpwstr>
      </vt:variant>
      <vt:variant>
        <vt:i4>4194315</vt:i4>
      </vt:variant>
      <vt:variant>
        <vt:i4>481</vt:i4>
      </vt:variant>
      <vt:variant>
        <vt:i4>0</vt:i4>
      </vt:variant>
      <vt:variant>
        <vt:i4>5</vt:i4>
      </vt:variant>
      <vt:variant>
        <vt:lpwstr/>
      </vt:variant>
      <vt:variant>
        <vt:lpwstr>_ENREF_12</vt:lpwstr>
      </vt:variant>
      <vt:variant>
        <vt:i4>4194315</vt:i4>
      </vt:variant>
      <vt:variant>
        <vt:i4>475</vt:i4>
      </vt:variant>
      <vt:variant>
        <vt:i4>0</vt:i4>
      </vt:variant>
      <vt:variant>
        <vt:i4>5</vt:i4>
      </vt:variant>
      <vt:variant>
        <vt:lpwstr/>
      </vt:variant>
      <vt:variant>
        <vt:lpwstr>_ENREF_1</vt:lpwstr>
      </vt:variant>
      <vt:variant>
        <vt:i4>4390923</vt:i4>
      </vt:variant>
      <vt:variant>
        <vt:i4>469</vt:i4>
      </vt:variant>
      <vt:variant>
        <vt:i4>0</vt:i4>
      </vt:variant>
      <vt:variant>
        <vt:i4>5</vt:i4>
      </vt:variant>
      <vt:variant>
        <vt:lpwstr/>
      </vt:variant>
      <vt:variant>
        <vt:lpwstr>_ENREF_24</vt:lpwstr>
      </vt:variant>
      <vt:variant>
        <vt:i4>4325387</vt:i4>
      </vt:variant>
      <vt:variant>
        <vt:i4>466</vt:i4>
      </vt:variant>
      <vt:variant>
        <vt:i4>0</vt:i4>
      </vt:variant>
      <vt:variant>
        <vt:i4>5</vt:i4>
      </vt:variant>
      <vt:variant>
        <vt:lpwstr/>
      </vt:variant>
      <vt:variant>
        <vt:lpwstr>_ENREF_38</vt:lpwstr>
      </vt:variant>
      <vt:variant>
        <vt:i4>4325387</vt:i4>
      </vt:variant>
      <vt:variant>
        <vt:i4>458</vt:i4>
      </vt:variant>
      <vt:variant>
        <vt:i4>0</vt:i4>
      </vt:variant>
      <vt:variant>
        <vt:i4>5</vt:i4>
      </vt:variant>
      <vt:variant>
        <vt:lpwstr/>
      </vt:variant>
      <vt:variant>
        <vt:lpwstr>_ENREF_35</vt:lpwstr>
      </vt:variant>
      <vt:variant>
        <vt:i4>4325387</vt:i4>
      </vt:variant>
      <vt:variant>
        <vt:i4>452</vt:i4>
      </vt:variant>
      <vt:variant>
        <vt:i4>0</vt:i4>
      </vt:variant>
      <vt:variant>
        <vt:i4>5</vt:i4>
      </vt:variant>
      <vt:variant>
        <vt:lpwstr/>
      </vt:variant>
      <vt:variant>
        <vt:lpwstr>_ENREF_37</vt:lpwstr>
      </vt:variant>
      <vt:variant>
        <vt:i4>4653067</vt:i4>
      </vt:variant>
      <vt:variant>
        <vt:i4>446</vt:i4>
      </vt:variant>
      <vt:variant>
        <vt:i4>0</vt:i4>
      </vt:variant>
      <vt:variant>
        <vt:i4>5</vt:i4>
      </vt:variant>
      <vt:variant>
        <vt:lpwstr/>
      </vt:variant>
      <vt:variant>
        <vt:lpwstr>_ENREF_6</vt:lpwstr>
      </vt:variant>
      <vt:variant>
        <vt:i4>4325387</vt:i4>
      </vt:variant>
      <vt:variant>
        <vt:i4>443</vt:i4>
      </vt:variant>
      <vt:variant>
        <vt:i4>0</vt:i4>
      </vt:variant>
      <vt:variant>
        <vt:i4>5</vt:i4>
      </vt:variant>
      <vt:variant>
        <vt:lpwstr/>
      </vt:variant>
      <vt:variant>
        <vt:lpwstr>_ENREF_38</vt:lpwstr>
      </vt:variant>
      <vt:variant>
        <vt:i4>4194315</vt:i4>
      </vt:variant>
      <vt:variant>
        <vt:i4>437</vt:i4>
      </vt:variant>
      <vt:variant>
        <vt:i4>0</vt:i4>
      </vt:variant>
      <vt:variant>
        <vt:i4>5</vt:i4>
      </vt:variant>
      <vt:variant>
        <vt:lpwstr/>
      </vt:variant>
      <vt:variant>
        <vt:lpwstr>_ENREF_15</vt:lpwstr>
      </vt:variant>
      <vt:variant>
        <vt:i4>4456459</vt:i4>
      </vt:variant>
      <vt:variant>
        <vt:i4>428</vt:i4>
      </vt:variant>
      <vt:variant>
        <vt:i4>0</vt:i4>
      </vt:variant>
      <vt:variant>
        <vt:i4>5</vt:i4>
      </vt:variant>
      <vt:variant>
        <vt:lpwstr/>
      </vt:variant>
      <vt:variant>
        <vt:lpwstr>_ENREF_5</vt:lpwstr>
      </vt:variant>
      <vt:variant>
        <vt:i4>4325387</vt:i4>
      </vt:variant>
      <vt:variant>
        <vt:i4>422</vt:i4>
      </vt:variant>
      <vt:variant>
        <vt:i4>0</vt:i4>
      </vt:variant>
      <vt:variant>
        <vt:i4>5</vt:i4>
      </vt:variant>
      <vt:variant>
        <vt:lpwstr/>
      </vt:variant>
      <vt:variant>
        <vt:lpwstr>_ENREF_30</vt:lpwstr>
      </vt:variant>
      <vt:variant>
        <vt:i4>4325387</vt:i4>
      </vt:variant>
      <vt:variant>
        <vt:i4>416</vt:i4>
      </vt:variant>
      <vt:variant>
        <vt:i4>0</vt:i4>
      </vt:variant>
      <vt:variant>
        <vt:i4>5</vt:i4>
      </vt:variant>
      <vt:variant>
        <vt:lpwstr/>
      </vt:variant>
      <vt:variant>
        <vt:lpwstr>_ENREF_34</vt:lpwstr>
      </vt:variant>
      <vt:variant>
        <vt:i4>4325387</vt:i4>
      </vt:variant>
      <vt:variant>
        <vt:i4>410</vt:i4>
      </vt:variant>
      <vt:variant>
        <vt:i4>0</vt:i4>
      </vt:variant>
      <vt:variant>
        <vt:i4>5</vt:i4>
      </vt:variant>
      <vt:variant>
        <vt:lpwstr/>
      </vt:variant>
      <vt:variant>
        <vt:lpwstr>_ENREF_33</vt:lpwstr>
      </vt:variant>
      <vt:variant>
        <vt:i4>4521995</vt:i4>
      </vt:variant>
      <vt:variant>
        <vt:i4>404</vt:i4>
      </vt:variant>
      <vt:variant>
        <vt:i4>0</vt:i4>
      </vt:variant>
      <vt:variant>
        <vt:i4>5</vt:i4>
      </vt:variant>
      <vt:variant>
        <vt:lpwstr/>
      </vt:variant>
      <vt:variant>
        <vt:lpwstr>_ENREF_49</vt:lpwstr>
      </vt:variant>
      <vt:variant>
        <vt:i4>4587531</vt:i4>
      </vt:variant>
      <vt:variant>
        <vt:i4>398</vt:i4>
      </vt:variant>
      <vt:variant>
        <vt:i4>0</vt:i4>
      </vt:variant>
      <vt:variant>
        <vt:i4>5</vt:i4>
      </vt:variant>
      <vt:variant>
        <vt:lpwstr/>
      </vt:variant>
      <vt:variant>
        <vt:lpwstr>_ENREF_7</vt:lpwstr>
      </vt:variant>
      <vt:variant>
        <vt:i4>4521995</vt:i4>
      </vt:variant>
      <vt:variant>
        <vt:i4>395</vt:i4>
      </vt:variant>
      <vt:variant>
        <vt:i4>0</vt:i4>
      </vt:variant>
      <vt:variant>
        <vt:i4>5</vt:i4>
      </vt:variant>
      <vt:variant>
        <vt:lpwstr/>
      </vt:variant>
      <vt:variant>
        <vt:lpwstr>_ENREF_47</vt:lpwstr>
      </vt:variant>
      <vt:variant>
        <vt:i4>4653067</vt:i4>
      </vt:variant>
      <vt:variant>
        <vt:i4>389</vt:i4>
      </vt:variant>
      <vt:variant>
        <vt:i4>0</vt:i4>
      </vt:variant>
      <vt:variant>
        <vt:i4>5</vt:i4>
      </vt:variant>
      <vt:variant>
        <vt:lpwstr/>
      </vt:variant>
      <vt:variant>
        <vt:lpwstr>_ENREF_63</vt:lpwstr>
      </vt:variant>
      <vt:variant>
        <vt:i4>4653067</vt:i4>
      </vt:variant>
      <vt:variant>
        <vt:i4>383</vt:i4>
      </vt:variant>
      <vt:variant>
        <vt:i4>0</vt:i4>
      </vt:variant>
      <vt:variant>
        <vt:i4>5</vt:i4>
      </vt:variant>
      <vt:variant>
        <vt:lpwstr/>
      </vt:variant>
      <vt:variant>
        <vt:lpwstr>_ENREF_60</vt:lpwstr>
      </vt:variant>
      <vt:variant>
        <vt:i4>4390923</vt:i4>
      </vt:variant>
      <vt:variant>
        <vt:i4>377</vt:i4>
      </vt:variant>
      <vt:variant>
        <vt:i4>0</vt:i4>
      </vt:variant>
      <vt:variant>
        <vt:i4>5</vt:i4>
      </vt:variant>
      <vt:variant>
        <vt:lpwstr/>
      </vt:variant>
      <vt:variant>
        <vt:lpwstr>_ENREF_29</vt:lpwstr>
      </vt:variant>
      <vt:variant>
        <vt:i4>4390923</vt:i4>
      </vt:variant>
      <vt:variant>
        <vt:i4>371</vt:i4>
      </vt:variant>
      <vt:variant>
        <vt:i4>0</vt:i4>
      </vt:variant>
      <vt:variant>
        <vt:i4>5</vt:i4>
      </vt:variant>
      <vt:variant>
        <vt:lpwstr/>
      </vt:variant>
      <vt:variant>
        <vt:lpwstr>_ENREF_29</vt:lpwstr>
      </vt:variant>
      <vt:variant>
        <vt:i4>4521995</vt:i4>
      </vt:variant>
      <vt:variant>
        <vt:i4>365</vt:i4>
      </vt:variant>
      <vt:variant>
        <vt:i4>0</vt:i4>
      </vt:variant>
      <vt:variant>
        <vt:i4>5</vt:i4>
      </vt:variant>
      <vt:variant>
        <vt:lpwstr/>
      </vt:variant>
      <vt:variant>
        <vt:lpwstr>_ENREF_42</vt:lpwstr>
      </vt:variant>
      <vt:variant>
        <vt:i4>4390923</vt:i4>
      </vt:variant>
      <vt:variant>
        <vt:i4>362</vt:i4>
      </vt:variant>
      <vt:variant>
        <vt:i4>0</vt:i4>
      </vt:variant>
      <vt:variant>
        <vt:i4>5</vt:i4>
      </vt:variant>
      <vt:variant>
        <vt:lpwstr/>
      </vt:variant>
      <vt:variant>
        <vt:lpwstr>_ENREF_26</vt:lpwstr>
      </vt:variant>
      <vt:variant>
        <vt:i4>4390923</vt:i4>
      </vt:variant>
      <vt:variant>
        <vt:i4>359</vt:i4>
      </vt:variant>
      <vt:variant>
        <vt:i4>0</vt:i4>
      </vt:variant>
      <vt:variant>
        <vt:i4>5</vt:i4>
      </vt:variant>
      <vt:variant>
        <vt:lpwstr/>
      </vt:variant>
      <vt:variant>
        <vt:lpwstr>_ENREF_22</vt:lpwstr>
      </vt:variant>
      <vt:variant>
        <vt:i4>4456459</vt:i4>
      </vt:variant>
      <vt:variant>
        <vt:i4>356</vt:i4>
      </vt:variant>
      <vt:variant>
        <vt:i4>0</vt:i4>
      </vt:variant>
      <vt:variant>
        <vt:i4>5</vt:i4>
      </vt:variant>
      <vt:variant>
        <vt:lpwstr/>
      </vt:variant>
      <vt:variant>
        <vt:lpwstr>_ENREF_56</vt:lpwstr>
      </vt:variant>
      <vt:variant>
        <vt:i4>4194315</vt:i4>
      </vt:variant>
      <vt:variant>
        <vt:i4>353</vt:i4>
      </vt:variant>
      <vt:variant>
        <vt:i4>0</vt:i4>
      </vt:variant>
      <vt:variant>
        <vt:i4>5</vt:i4>
      </vt:variant>
      <vt:variant>
        <vt:lpwstr/>
      </vt:variant>
      <vt:variant>
        <vt:lpwstr>_ENREF_14</vt:lpwstr>
      </vt:variant>
      <vt:variant>
        <vt:i4>4653067</vt:i4>
      </vt:variant>
      <vt:variant>
        <vt:i4>350</vt:i4>
      </vt:variant>
      <vt:variant>
        <vt:i4>0</vt:i4>
      </vt:variant>
      <vt:variant>
        <vt:i4>5</vt:i4>
      </vt:variant>
      <vt:variant>
        <vt:lpwstr/>
      </vt:variant>
      <vt:variant>
        <vt:lpwstr>_ENREF_61</vt:lpwstr>
      </vt:variant>
      <vt:variant>
        <vt:i4>4456459</vt:i4>
      </vt:variant>
      <vt:variant>
        <vt:i4>342</vt:i4>
      </vt:variant>
      <vt:variant>
        <vt:i4>0</vt:i4>
      </vt:variant>
      <vt:variant>
        <vt:i4>5</vt:i4>
      </vt:variant>
      <vt:variant>
        <vt:lpwstr/>
      </vt:variant>
      <vt:variant>
        <vt:lpwstr>_ENREF_55</vt:lpwstr>
      </vt:variant>
      <vt:variant>
        <vt:i4>4784139</vt:i4>
      </vt:variant>
      <vt:variant>
        <vt:i4>336</vt:i4>
      </vt:variant>
      <vt:variant>
        <vt:i4>0</vt:i4>
      </vt:variant>
      <vt:variant>
        <vt:i4>5</vt:i4>
      </vt:variant>
      <vt:variant>
        <vt:lpwstr/>
      </vt:variant>
      <vt:variant>
        <vt:lpwstr>_ENREF_8</vt:lpwstr>
      </vt:variant>
      <vt:variant>
        <vt:i4>4194315</vt:i4>
      </vt:variant>
      <vt:variant>
        <vt:i4>330</vt:i4>
      </vt:variant>
      <vt:variant>
        <vt:i4>0</vt:i4>
      </vt:variant>
      <vt:variant>
        <vt:i4>5</vt:i4>
      </vt:variant>
      <vt:variant>
        <vt:lpwstr/>
      </vt:variant>
      <vt:variant>
        <vt:lpwstr>_ENREF_10</vt:lpwstr>
      </vt:variant>
      <vt:variant>
        <vt:i4>4194315</vt:i4>
      </vt:variant>
      <vt:variant>
        <vt:i4>324</vt:i4>
      </vt:variant>
      <vt:variant>
        <vt:i4>0</vt:i4>
      </vt:variant>
      <vt:variant>
        <vt:i4>5</vt:i4>
      </vt:variant>
      <vt:variant>
        <vt:lpwstr/>
      </vt:variant>
      <vt:variant>
        <vt:lpwstr>_ENREF_10</vt:lpwstr>
      </vt:variant>
      <vt:variant>
        <vt:i4>4390923</vt:i4>
      </vt:variant>
      <vt:variant>
        <vt:i4>318</vt:i4>
      </vt:variant>
      <vt:variant>
        <vt:i4>0</vt:i4>
      </vt:variant>
      <vt:variant>
        <vt:i4>5</vt:i4>
      </vt:variant>
      <vt:variant>
        <vt:lpwstr/>
      </vt:variant>
      <vt:variant>
        <vt:lpwstr>_ENREF_28</vt:lpwstr>
      </vt:variant>
      <vt:variant>
        <vt:i4>4194315</vt:i4>
      </vt:variant>
      <vt:variant>
        <vt:i4>312</vt:i4>
      </vt:variant>
      <vt:variant>
        <vt:i4>0</vt:i4>
      </vt:variant>
      <vt:variant>
        <vt:i4>5</vt:i4>
      </vt:variant>
      <vt:variant>
        <vt:lpwstr/>
      </vt:variant>
      <vt:variant>
        <vt:lpwstr>_ENREF_10</vt:lpwstr>
      </vt:variant>
      <vt:variant>
        <vt:i4>4194315</vt:i4>
      </vt:variant>
      <vt:variant>
        <vt:i4>306</vt:i4>
      </vt:variant>
      <vt:variant>
        <vt:i4>0</vt:i4>
      </vt:variant>
      <vt:variant>
        <vt:i4>5</vt:i4>
      </vt:variant>
      <vt:variant>
        <vt:lpwstr/>
      </vt:variant>
      <vt:variant>
        <vt:lpwstr>_ENREF_11</vt:lpwstr>
      </vt:variant>
      <vt:variant>
        <vt:i4>4194315</vt:i4>
      </vt:variant>
      <vt:variant>
        <vt:i4>300</vt:i4>
      </vt:variant>
      <vt:variant>
        <vt:i4>0</vt:i4>
      </vt:variant>
      <vt:variant>
        <vt:i4>5</vt:i4>
      </vt:variant>
      <vt:variant>
        <vt:lpwstr/>
      </vt:variant>
      <vt:variant>
        <vt:lpwstr>_ENREF_10</vt:lpwstr>
      </vt:variant>
      <vt:variant>
        <vt:i4>4194315</vt:i4>
      </vt:variant>
      <vt:variant>
        <vt:i4>294</vt:i4>
      </vt:variant>
      <vt:variant>
        <vt:i4>0</vt:i4>
      </vt:variant>
      <vt:variant>
        <vt:i4>5</vt:i4>
      </vt:variant>
      <vt:variant>
        <vt:lpwstr/>
      </vt:variant>
      <vt:variant>
        <vt:lpwstr>_ENREF_11</vt:lpwstr>
      </vt:variant>
      <vt:variant>
        <vt:i4>4194315</vt:i4>
      </vt:variant>
      <vt:variant>
        <vt:i4>288</vt:i4>
      </vt:variant>
      <vt:variant>
        <vt:i4>0</vt:i4>
      </vt:variant>
      <vt:variant>
        <vt:i4>5</vt:i4>
      </vt:variant>
      <vt:variant>
        <vt:lpwstr/>
      </vt:variant>
      <vt:variant>
        <vt:lpwstr>_ENREF_11</vt:lpwstr>
      </vt:variant>
      <vt:variant>
        <vt:i4>4456459</vt:i4>
      </vt:variant>
      <vt:variant>
        <vt:i4>282</vt:i4>
      </vt:variant>
      <vt:variant>
        <vt:i4>0</vt:i4>
      </vt:variant>
      <vt:variant>
        <vt:i4>5</vt:i4>
      </vt:variant>
      <vt:variant>
        <vt:lpwstr/>
      </vt:variant>
      <vt:variant>
        <vt:lpwstr>_ENREF_55</vt:lpwstr>
      </vt:variant>
      <vt:variant>
        <vt:i4>4521995</vt:i4>
      </vt:variant>
      <vt:variant>
        <vt:i4>276</vt:i4>
      </vt:variant>
      <vt:variant>
        <vt:i4>0</vt:i4>
      </vt:variant>
      <vt:variant>
        <vt:i4>5</vt:i4>
      </vt:variant>
      <vt:variant>
        <vt:lpwstr/>
      </vt:variant>
      <vt:variant>
        <vt:lpwstr>_ENREF_40</vt:lpwstr>
      </vt:variant>
      <vt:variant>
        <vt:i4>4521995</vt:i4>
      </vt:variant>
      <vt:variant>
        <vt:i4>270</vt:i4>
      </vt:variant>
      <vt:variant>
        <vt:i4>0</vt:i4>
      </vt:variant>
      <vt:variant>
        <vt:i4>5</vt:i4>
      </vt:variant>
      <vt:variant>
        <vt:lpwstr/>
      </vt:variant>
      <vt:variant>
        <vt:lpwstr>_ENREF_4</vt:lpwstr>
      </vt:variant>
      <vt:variant>
        <vt:i4>4325387</vt:i4>
      </vt:variant>
      <vt:variant>
        <vt:i4>264</vt:i4>
      </vt:variant>
      <vt:variant>
        <vt:i4>0</vt:i4>
      </vt:variant>
      <vt:variant>
        <vt:i4>5</vt:i4>
      </vt:variant>
      <vt:variant>
        <vt:lpwstr/>
      </vt:variant>
      <vt:variant>
        <vt:lpwstr>_ENREF_3</vt:lpwstr>
      </vt:variant>
      <vt:variant>
        <vt:i4>4456459</vt:i4>
      </vt:variant>
      <vt:variant>
        <vt:i4>258</vt:i4>
      </vt:variant>
      <vt:variant>
        <vt:i4>0</vt:i4>
      </vt:variant>
      <vt:variant>
        <vt:i4>5</vt:i4>
      </vt:variant>
      <vt:variant>
        <vt:lpwstr/>
      </vt:variant>
      <vt:variant>
        <vt:lpwstr>_ENREF_55</vt:lpwstr>
      </vt:variant>
      <vt:variant>
        <vt:i4>4325387</vt:i4>
      </vt:variant>
      <vt:variant>
        <vt:i4>252</vt:i4>
      </vt:variant>
      <vt:variant>
        <vt:i4>0</vt:i4>
      </vt:variant>
      <vt:variant>
        <vt:i4>5</vt:i4>
      </vt:variant>
      <vt:variant>
        <vt:lpwstr/>
      </vt:variant>
      <vt:variant>
        <vt:lpwstr>_ENREF_3</vt:lpwstr>
      </vt:variant>
      <vt:variant>
        <vt:i4>4653067</vt:i4>
      </vt:variant>
      <vt:variant>
        <vt:i4>246</vt:i4>
      </vt:variant>
      <vt:variant>
        <vt:i4>0</vt:i4>
      </vt:variant>
      <vt:variant>
        <vt:i4>5</vt:i4>
      </vt:variant>
      <vt:variant>
        <vt:lpwstr/>
      </vt:variant>
      <vt:variant>
        <vt:lpwstr>_ENREF_62</vt:lpwstr>
      </vt:variant>
      <vt:variant>
        <vt:i4>4521995</vt:i4>
      </vt:variant>
      <vt:variant>
        <vt:i4>240</vt:i4>
      </vt:variant>
      <vt:variant>
        <vt:i4>0</vt:i4>
      </vt:variant>
      <vt:variant>
        <vt:i4>5</vt:i4>
      </vt:variant>
      <vt:variant>
        <vt:lpwstr/>
      </vt:variant>
      <vt:variant>
        <vt:lpwstr>_ENREF_41</vt:lpwstr>
      </vt:variant>
      <vt:variant>
        <vt:i4>4390923</vt:i4>
      </vt:variant>
      <vt:variant>
        <vt:i4>234</vt:i4>
      </vt:variant>
      <vt:variant>
        <vt:i4>0</vt:i4>
      </vt:variant>
      <vt:variant>
        <vt:i4>5</vt:i4>
      </vt:variant>
      <vt:variant>
        <vt:lpwstr/>
      </vt:variant>
      <vt:variant>
        <vt:lpwstr>_ENREF_25</vt:lpwstr>
      </vt:variant>
      <vt:variant>
        <vt:i4>4456459</vt:i4>
      </vt:variant>
      <vt:variant>
        <vt:i4>228</vt:i4>
      </vt:variant>
      <vt:variant>
        <vt:i4>0</vt:i4>
      </vt:variant>
      <vt:variant>
        <vt:i4>5</vt:i4>
      </vt:variant>
      <vt:variant>
        <vt:lpwstr/>
      </vt:variant>
      <vt:variant>
        <vt:lpwstr>_ENREF_51</vt:lpwstr>
      </vt:variant>
      <vt:variant>
        <vt:i4>4194315</vt:i4>
      </vt:variant>
      <vt:variant>
        <vt:i4>222</vt:i4>
      </vt:variant>
      <vt:variant>
        <vt:i4>0</vt:i4>
      </vt:variant>
      <vt:variant>
        <vt:i4>5</vt:i4>
      </vt:variant>
      <vt:variant>
        <vt:lpwstr/>
      </vt:variant>
      <vt:variant>
        <vt:lpwstr>_ENREF_16</vt:lpwstr>
      </vt:variant>
      <vt:variant>
        <vt:i4>4521995</vt:i4>
      </vt:variant>
      <vt:variant>
        <vt:i4>219</vt:i4>
      </vt:variant>
      <vt:variant>
        <vt:i4>0</vt:i4>
      </vt:variant>
      <vt:variant>
        <vt:i4>5</vt:i4>
      </vt:variant>
      <vt:variant>
        <vt:lpwstr/>
      </vt:variant>
      <vt:variant>
        <vt:lpwstr>_ENREF_48</vt:lpwstr>
      </vt:variant>
      <vt:variant>
        <vt:i4>4390923</vt:i4>
      </vt:variant>
      <vt:variant>
        <vt:i4>213</vt:i4>
      </vt:variant>
      <vt:variant>
        <vt:i4>0</vt:i4>
      </vt:variant>
      <vt:variant>
        <vt:i4>5</vt:i4>
      </vt:variant>
      <vt:variant>
        <vt:lpwstr/>
      </vt:variant>
      <vt:variant>
        <vt:lpwstr>_ENREF_2</vt:lpwstr>
      </vt:variant>
      <vt:variant>
        <vt:i4>4325387</vt:i4>
      </vt:variant>
      <vt:variant>
        <vt:i4>207</vt:i4>
      </vt:variant>
      <vt:variant>
        <vt:i4>0</vt:i4>
      </vt:variant>
      <vt:variant>
        <vt:i4>5</vt:i4>
      </vt:variant>
      <vt:variant>
        <vt:lpwstr/>
      </vt:variant>
      <vt:variant>
        <vt:lpwstr>_ENREF_38</vt:lpwstr>
      </vt:variant>
      <vt:variant>
        <vt:i4>4521995</vt:i4>
      </vt:variant>
      <vt:variant>
        <vt:i4>202</vt:i4>
      </vt:variant>
      <vt:variant>
        <vt:i4>0</vt:i4>
      </vt:variant>
      <vt:variant>
        <vt:i4>5</vt:i4>
      </vt:variant>
      <vt:variant>
        <vt:lpwstr/>
      </vt:variant>
      <vt:variant>
        <vt:lpwstr>_ENREF_49</vt:lpwstr>
      </vt:variant>
      <vt:variant>
        <vt:i4>4521995</vt:i4>
      </vt:variant>
      <vt:variant>
        <vt:i4>198</vt:i4>
      </vt:variant>
      <vt:variant>
        <vt:i4>0</vt:i4>
      </vt:variant>
      <vt:variant>
        <vt:i4>5</vt:i4>
      </vt:variant>
      <vt:variant>
        <vt:lpwstr/>
      </vt:variant>
      <vt:variant>
        <vt:lpwstr>_ENREF_48</vt:lpwstr>
      </vt:variant>
      <vt:variant>
        <vt:i4>4521995</vt:i4>
      </vt:variant>
      <vt:variant>
        <vt:i4>192</vt:i4>
      </vt:variant>
      <vt:variant>
        <vt:i4>0</vt:i4>
      </vt:variant>
      <vt:variant>
        <vt:i4>5</vt:i4>
      </vt:variant>
      <vt:variant>
        <vt:lpwstr/>
      </vt:variant>
      <vt:variant>
        <vt:lpwstr>_ENREF_46</vt:lpwstr>
      </vt:variant>
      <vt:variant>
        <vt:i4>4521995</vt:i4>
      </vt:variant>
      <vt:variant>
        <vt:i4>186</vt:i4>
      </vt:variant>
      <vt:variant>
        <vt:i4>0</vt:i4>
      </vt:variant>
      <vt:variant>
        <vt:i4>5</vt:i4>
      </vt:variant>
      <vt:variant>
        <vt:lpwstr/>
      </vt:variant>
      <vt:variant>
        <vt:lpwstr>_ENREF_43</vt:lpwstr>
      </vt:variant>
      <vt:variant>
        <vt:i4>4456459</vt:i4>
      </vt:variant>
      <vt:variant>
        <vt:i4>183</vt:i4>
      </vt:variant>
      <vt:variant>
        <vt:i4>0</vt:i4>
      </vt:variant>
      <vt:variant>
        <vt:i4>5</vt:i4>
      </vt:variant>
      <vt:variant>
        <vt:lpwstr/>
      </vt:variant>
      <vt:variant>
        <vt:lpwstr>_ENREF_57</vt:lpwstr>
      </vt:variant>
      <vt:variant>
        <vt:i4>4390923</vt:i4>
      </vt:variant>
      <vt:variant>
        <vt:i4>180</vt:i4>
      </vt:variant>
      <vt:variant>
        <vt:i4>0</vt:i4>
      </vt:variant>
      <vt:variant>
        <vt:i4>5</vt:i4>
      </vt:variant>
      <vt:variant>
        <vt:lpwstr/>
      </vt:variant>
      <vt:variant>
        <vt:lpwstr>_ENREF_23</vt:lpwstr>
      </vt:variant>
      <vt:variant>
        <vt:i4>4325387</vt:i4>
      </vt:variant>
      <vt:variant>
        <vt:i4>177</vt:i4>
      </vt:variant>
      <vt:variant>
        <vt:i4>0</vt:i4>
      </vt:variant>
      <vt:variant>
        <vt:i4>5</vt:i4>
      </vt:variant>
      <vt:variant>
        <vt:lpwstr/>
      </vt:variant>
      <vt:variant>
        <vt:lpwstr>_ENREF_38</vt:lpwstr>
      </vt:variant>
      <vt:variant>
        <vt:i4>4653067</vt:i4>
      </vt:variant>
      <vt:variant>
        <vt:i4>169</vt:i4>
      </vt:variant>
      <vt:variant>
        <vt:i4>0</vt:i4>
      </vt:variant>
      <vt:variant>
        <vt:i4>5</vt:i4>
      </vt:variant>
      <vt:variant>
        <vt:lpwstr/>
      </vt:variant>
      <vt:variant>
        <vt:lpwstr>_ENREF_6</vt:lpwstr>
      </vt:variant>
      <vt:variant>
        <vt:i4>4456459</vt:i4>
      </vt:variant>
      <vt:variant>
        <vt:i4>166</vt:i4>
      </vt:variant>
      <vt:variant>
        <vt:i4>0</vt:i4>
      </vt:variant>
      <vt:variant>
        <vt:i4>5</vt:i4>
      </vt:variant>
      <vt:variant>
        <vt:lpwstr/>
      </vt:variant>
      <vt:variant>
        <vt:lpwstr>_ENREF_54</vt:lpwstr>
      </vt:variant>
      <vt:variant>
        <vt:i4>4194315</vt:i4>
      </vt:variant>
      <vt:variant>
        <vt:i4>160</vt:i4>
      </vt:variant>
      <vt:variant>
        <vt:i4>0</vt:i4>
      </vt:variant>
      <vt:variant>
        <vt:i4>5</vt:i4>
      </vt:variant>
      <vt:variant>
        <vt:lpwstr/>
      </vt:variant>
      <vt:variant>
        <vt:lpwstr>_ENREF_17</vt:lpwstr>
      </vt:variant>
      <vt:variant>
        <vt:i4>4456459</vt:i4>
      </vt:variant>
      <vt:variant>
        <vt:i4>154</vt:i4>
      </vt:variant>
      <vt:variant>
        <vt:i4>0</vt:i4>
      </vt:variant>
      <vt:variant>
        <vt:i4>5</vt:i4>
      </vt:variant>
      <vt:variant>
        <vt:lpwstr/>
      </vt:variant>
      <vt:variant>
        <vt:lpwstr>_ENREF_55</vt:lpwstr>
      </vt:variant>
      <vt:variant>
        <vt:i4>4521995</vt:i4>
      </vt:variant>
      <vt:variant>
        <vt:i4>148</vt:i4>
      </vt:variant>
      <vt:variant>
        <vt:i4>0</vt:i4>
      </vt:variant>
      <vt:variant>
        <vt:i4>5</vt:i4>
      </vt:variant>
      <vt:variant>
        <vt:lpwstr/>
      </vt:variant>
      <vt:variant>
        <vt:lpwstr>_ENREF_48</vt:lpwstr>
      </vt:variant>
      <vt:variant>
        <vt:i4>4194315</vt:i4>
      </vt:variant>
      <vt:variant>
        <vt:i4>142</vt:i4>
      </vt:variant>
      <vt:variant>
        <vt:i4>0</vt:i4>
      </vt:variant>
      <vt:variant>
        <vt:i4>5</vt:i4>
      </vt:variant>
      <vt:variant>
        <vt:lpwstr/>
      </vt:variant>
      <vt:variant>
        <vt:lpwstr>_ENREF_19</vt:lpwstr>
      </vt:variant>
      <vt:variant>
        <vt:i4>4521995</vt:i4>
      </vt:variant>
      <vt:variant>
        <vt:i4>136</vt:i4>
      </vt:variant>
      <vt:variant>
        <vt:i4>0</vt:i4>
      </vt:variant>
      <vt:variant>
        <vt:i4>5</vt:i4>
      </vt:variant>
      <vt:variant>
        <vt:lpwstr/>
      </vt:variant>
      <vt:variant>
        <vt:lpwstr>_ENREF_44</vt:lpwstr>
      </vt:variant>
      <vt:variant>
        <vt:i4>4390923</vt:i4>
      </vt:variant>
      <vt:variant>
        <vt:i4>130</vt:i4>
      </vt:variant>
      <vt:variant>
        <vt:i4>0</vt:i4>
      </vt:variant>
      <vt:variant>
        <vt:i4>5</vt:i4>
      </vt:variant>
      <vt:variant>
        <vt:lpwstr/>
      </vt:variant>
      <vt:variant>
        <vt:lpwstr>_ENREF_23</vt:lpwstr>
      </vt:variant>
      <vt:variant>
        <vt:i4>4325387</vt:i4>
      </vt:variant>
      <vt:variant>
        <vt:i4>127</vt:i4>
      </vt:variant>
      <vt:variant>
        <vt:i4>0</vt:i4>
      </vt:variant>
      <vt:variant>
        <vt:i4>5</vt:i4>
      </vt:variant>
      <vt:variant>
        <vt:lpwstr/>
      </vt:variant>
      <vt:variant>
        <vt:lpwstr>_ENREF_38</vt:lpwstr>
      </vt:variant>
      <vt:variant>
        <vt:i4>4325387</vt:i4>
      </vt:variant>
      <vt:variant>
        <vt:i4>121</vt:i4>
      </vt:variant>
      <vt:variant>
        <vt:i4>0</vt:i4>
      </vt:variant>
      <vt:variant>
        <vt:i4>5</vt:i4>
      </vt:variant>
      <vt:variant>
        <vt:lpwstr/>
      </vt:variant>
      <vt:variant>
        <vt:lpwstr>_ENREF_37</vt:lpwstr>
      </vt:variant>
      <vt:variant>
        <vt:i4>4194315</vt:i4>
      </vt:variant>
      <vt:variant>
        <vt:i4>118</vt:i4>
      </vt:variant>
      <vt:variant>
        <vt:i4>0</vt:i4>
      </vt:variant>
      <vt:variant>
        <vt:i4>5</vt:i4>
      </vt:variant>
      <vt:variant>
        <vt:lpwstr/>
      </vt:variant>
      <vt:variant>
        <vt:lpwstr>_ENREF_17</vt:lpwstr>
      </vt:variant>
      <vt:variant>
        <vt:i4>4456459</vt:i4>
      </vt:variant>
      <vt:variant>
        <vt:i4>112</vt:i4>
      </vt:variant>
      <vt:variant>
        <vt:i4>0</vt:i4>
      </vt:variant>
      <vt:variant>
        <vt:i4>5</vt:i4>
      </vt:variant>
      <vt:variant>
        <vt:lpwstr/>
      </vt:variant>
      <vt:variant>
        <vt:lpwstr>_ENREF_52</vt:lpwstr>
      </vt:variant>
      <vt:variant>
        <vt:i4>4456459</vt:i4>
      </vt:variant>
      <vt:variant>
        <vt:i4>106</vt:i4>
      </vt:variant>
      <vt:variant>
        <vt:i4>0</vt:i4>
      </vt:variant>
      <vt:variant>
        <vt:i4>5</vt:i4>
      </vt:variant>
      <vt:variant>
        <vt:lpwstr/>
      </vt:variant>
      <vt:variant>
        <vt:lpwstr>_ENREF_55</vt:lpwstr>
      </vt:variant>
      <vt:variant>
        <vt:i4>4325387</vt:i4>
      </vt:variant>
      <vt:variant>
        <vt:i4>100</vt:i4>
      </vt:variant>
      <vt:variant>
        <vt:i4>0</vt:i4>
      </vt:variant>
      <vt:variant>
        <vt:i4>5</vt:i4>
      </vt:variant>
      <vt:variant>
        <vt:lpwstr/>
      </vt:variant>
      <vt:variant>
        <vt:lpwstr>_ENREF_39</vt:lpwstr>
      </vt:variant>
      <vt:variant>
        <vt:i4>4718603</vt:i4>
      </vt:variant>
      <vt:variant>
        <vt:i4>94</vt:i4>
      </vt:variant>
      <vt:variant>
        <vt:i4>0</vt:i4>
      </vt:variant>
      <vt:variant>
        <vt:i4>5</vt:i4>
      </vt:variant>
      <vt:variant>
        <vt:lpwstr/>
      </vt:variant>
      <vt:variant>
        <vt:lpwstr>_ENREF_9</vt:lpwstr>
      </vt:variant>
      <vt:variant>
        <vt:i4>4456459</vt:i4>
      </vt:variant>
      <vt:variant>
        <vt:i4>88</vt:i4>
      </vt:variant>
      <vt:variant>
        <vt:i4>0</vt:i4>
      </vt:variant>
      <vt:variant>
        <vt:i4>5</vt:i4>
      </vt:variant>
      <vt:variant>
        <vt:lpwstr/>
      </vt:variant>
      <vt:variant>
        <vt:lpwstr>_ENREF_55</vt:lpwstr>
      </vt:variant>
      <vt:variant>
        <vt:i4>4194315</vt:i4>
      </vt:variant>
      <vt:variant>
        <vt:i4>82</vt:i4>
      </vt:variant>
      <vt:variant>
        <vt:i4>0</vt:i4>
      </vt:variant>
      <vt:variant>
        <vt:i4>5</vt:i4>
      </vt:variant>
      <vt:variant>
        <vt:lpwstr/>
      </vt:variant>
      <vt:variant>
        <vt:lpwstr>_ENREF_13</vt:lpwstr>
      </vt:variant>
      <vt:variant>
        <vt:i4>4456459</vt:i4>
      </vt:variant>
      <vt:variant>
        <vt:i4>76</vt:i4>
      </vt:variant>
      <vt:variant>
        <vt:i4>0</vt:i4>
      </vt:variant>
      <vt:variant>
        <vt:i4>5</vt:i4>
      </vt:variant>
      <vt:variant>
        <vt:lpwstr/>
      </vt:variant>
      <vt:variant>
        <vt:lpwstr>_ENREF_56</vt:lpwstr>
      </vt:variant>
      <vt:variant>
        <vt:i4>4325387</vt:i4>
      </vt:variant>
      <vt:variant>
        <vt:i4>73</vt:i4>
      </vt:variant>
      <vt:variant>
        <vt:i4>0</vt:i4>
      </vt:variant>
      <vt:variant>
        <vt:i4>5</vt:i4>
      </vt:variant>
      <vt:variant>
        <vt:lpwstr/>
      </vt:variant>
      <vt:variant>
        <vt:lpwstr>_ENREF_39</vt:lpwstr>
      </vt:variant>
      <vt:variant>
        <vt:i4>4456459</vt:i4>
      </vt:variant>
      <vt:variant>
        <vt:i4>65</vt:i4>
      </vt:variant>
      <vt:variant>
        <vt:i4>0</vt:i4>
      </vt:variant>
      <vt:variant>
        <vt:i4>5</vt:i4>
      </vt:variant>
      <vt:variant>
        <vt:lpwstr/>
      </vt:variant>
      <vt:variant>
        <vt:lpwstr>_ENREF_59</vt:lpwstr>
      </vt:variant>
      <vt:variant>
        <vt:i4>4456459</vt:i4>
      </vt:variant>
      <vt:variant>
        <vt:i4>62</vt:i4>
      </vt:variant>
      <vt:variant>
        <vt:i4>0</vt:i4>
      </vt:variant>
      <vt:variant>
        <vt:i4>5</vt:i4>
      </vt:variant>
      <vt:variant>
        <vt:lpwstr/>
      </vt:variant>
      <vt:variant>
        <vt:lpwstr>_ENREF_58</vt:lpwstr>
      </vt:variant>
      <vt:variant>
        <vt:i4>1507376</vt:i4>
      </vt:variant>
      <vt:variant>
        <vt:i4>53</vt:i4>
      </vt:variant>
      <vt:variant>
        <vt:i4>0</vt:i4>
      </vt:variant>
      <vt:variant>
        <vt:i4>5</vt:i4>
      </vt:variant>
      <vt:variant>
        <vt:lpwstr/>
      </vt:variant>
      <vt:variant>
        <vt:lpwstr>_Toc278294311</vt:lpwstr>
      </vt:variant>
      <vt:variant>
        <vt:i4>1507376</vt:i4>
      </vt:variant>
      <vt:variant>
        <vt:i4>47</vt:i4>
      </vt:variant>
      <vt:variant>
        <vt:i4>0</vt:i4>
      </vt:variant>
      <vt:variant>
        <vt:i4>5</vt:i4>
      </vt:variant>
      <vt:variant>
        <vt:lpwstr/>
      </vt:variant>
      <vt:variant>
        <vt:lpwstr>_Toc278294310</vt:lpwstr>
      </vt:variant>
      <vt:variant>
        <vt:i4>1441840</vt:i4>
      </vt:variant>
      <vt:variant>
        <vt:i4>41</vt:i4>
      </vt:variant>
      <vt:variant>
        <vt:i4>0</vt:i4>
      </vt:variant>
      <vt:variant>
        <vt:i4>5</vt:i4>
      </vt:variant>
      <vt:variant>
        <vt:lpwstr/>
      </vt:variant>
      <vt:variant>
        <vt:lpwstr>_Toc278294309</vt:lpwstr>
      </vt:variant>
      <vt:variant>
        <vt:i4>1441840</vt:i4>
      </vt:variant>
      <vt:variant>
        <vt:i4>35</vt:i4>
      </vt:variant>
      <vt:variant>
        <vt:i4>0</vt:i4>
      </vt:variant>
      <vt:variant>
        <vt:i4>5</vt:i4>
      </vt:variant>
      <vt:variant>
        <vt:lpwstr/>
      </vt:variant>
      <vt:variant>
        <vt:lpwstr>_Toc278294308</vt:lpwstr>
      </vt:variant>
      <vt:variant>
        <vt:i4>1441840</vt:i4>
      </vt:variant>
      <vt:variant>
        <vt:i4>29</vt:i4>
      </vt:variant>
      <vt:variant>
        <vt:i4>0</vt:i4>
      </vt:variant>
      <vt:variant>
        <vt:i4>5</vt:i4>
      </vt:variant>
      <vt:variant>
        <vt:lpwstr/>
      </vt:variant>
      <vt:variant>
        <vt:lpwstr>_Toc278294307</vt:lpwstr>
      </vt:variant>
      <vt:variant>
        <vt:i4>1441840</vt:i4>
      </vt:variant>
      <vt:variant>
        <vt:i4>23</vt:i4>
      </vt:variant>
      <vt:variant>
        <vt:i4>0</vt:i4>
      </vt:variant>
      <vt:variant>
        <vt:i4>5</vt:i4>
      </vt:variant>
      <vt:variant>
        <vt:lpwstr/>
      </vt:variant>
      <vt:variant>
        <vt:lpwstr>_Toc278294306</vt:lpwstr>
      </vt:variant>
      <vt:variant>
        <vt:i4>1441840</vt:i4>
      </vt:variant>
      <vt:variant>
        <vt:i4>17</vt:i4>
      </vt:variant>
      <vt:variant>
        <vt:i4>0</vt:i4>
      </vt:variant>
      <vt:variant>
        <vt:i4>5</vt:i4>
      </vt:variant>
      <vt:variant>
        <vt:lpwstr/>
      </vt:variant>
      <vt:variant>
        <vt:lpwstr>_Toc278294305</vt:lpwstr>
      </vt:variant>
      <vt:variant>
        <vt:i4>1441840</vt:i4>
      </vt:variant>
      <vt:variant>
        <vt:i4>14</vt:i4>
      </vt:variant>
      <vt:variant>
        <vt:i4>0</vt:i4>
      </vt:variant>
      <vt:variant>
        <vt:i4>5</vt:i4>
      </vt:variant>
      <vt:variant>
        <vt:lpwstr/>
      </vt:variant>
      <vt:variant>
        <vt:lpwstr>_Toc278294304</vt:lpwstr>
      </vt:variant>
      <vt:variant>
        <vt:i4>1441840</vt:i4>
      </vt:variant>
      <vt:variant>
        <vt:i4>8</vt:i4>
      </vt:variant>
      <vt:variant>
        <vt:i4>0</vt:i4>
      </vt:variant>
      <vt:variant>
        <vt:i4>5</vt:i4>
      </vt:variant>
      <vt:variant>
        <vt:lpwstr/>
      </vt:variant>
      <vt:variant>
        <vt:lpwstr>_Toc278294303</vt:lpwstr>
      </vt:variant>
      <vt:variant>
        <vt:i4>4325387</vt:i4>
      </vt:variant>
      <vt:variant>
        <vt:i4>2</vt:i4>
      </vt:variant>
      <vt:variant>
        <vt:i4>0</vt:i4>
      </vt:variant>
      <vt:variant>
        <vt:i4>5</vt:i4>
      </vt:variant>
      <vt:variant>
        <vt:lpwstr/>
      </vt:variant>
      <vt:variant>
        <vt:lpwstr>_ENREF_32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Bacon</dc:creator>
  <cp:lastModifiedBy>Joseph Grinnell</cp:lastModifiedBy>
  <cp:revision>3</cp:revision>
  <cp:lastPrinted>2011-05-07T01:00:00Z</cp:lastPrinted>
  <dcterms:created xsi:type="dcterms:W3CDTF">2011-08-11T19:16:00Z</dcterms:created>
  <dcterms:modified xsi:type="dcterms:W3CDTF">2011-08-11T23:59:00Z</dcterms:modified>
</cp:coreProperties>
</file>