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F7312">
      <w:pPr>
        <w:pStyle w:val="Title"/>
        <w:rPr>
          <w:rFonts w:ascii="Arial" w:hAnsi="Arial"/>
          <w:sz w:val="24"/>
        </w:rPr>
      </w:pPr>
      <w:bookmarkStart w:id="0" w:name="_GoBack"/>
      <w:bookmarkEnd w:id="0"/>
      <w:r>
        <w:rPr>
          <w:rFonts w:ascii="Arial" w:hAnsi="Arial"/>
          <w:sz w:val="24"/>
        </w:rPr>
        <w:t>EMFAC Modeling Change Technical Memo</w:t>
      </w:r>
    </w:p>
    <w:p w:rsidR="00000000" w:rsidRDefault="002F7312">
      <w:pPr>
        <w:rPr>
          <w:rFonts w:ascii="Arial" w:hAnsi="Arial"/>
        </w:rPr>
      </w:pPr>
    </w:p>
    <w:p w:rsidR="00000000" w:rsidRDefault="002F7312">
      <w:pPr>
        <w:rPr>
          <w:rFonts w:ascii="Arial" w:hAnsi="Arial"/>
        </w:rPr>
      </w:pPr>
      <w:r>
        <w:rPr>
          <w:rFonts w:ascii="Arial" w:hAnsi="Arial"/>
          <w:b/>
        </w:rPr>
        <w:t>SUBJECT</w:t>
      </w:r>
      <w:r>
        <w:rPr>
          <w:rFonts w:ascii="Arial" w:hAnsi="Arial"/>
        </w:rPr>
        <w:t xml:space="preserve">:  </w:t>
      </w:r>
      <w:r>
        <w:rPr>
          <w:rFonts w:ascii="Arial" w:hAnsi="Arial"/>
        </w:rPr>
        <w:tab/>
        <w:t>INCLUSION OF IDLE EMISSIONS FOR GASOLINE AND DIESEL</w:t>
      </w:r>
    </w:p>
    <w:p w:rsidR="00000000" w:rsidRDefault="002F7312">
      <w:pPr>
        <w:ind w:left="720" w:firstLine="720"/>
        <w:rPr>
          <w:rFonts w:ascii="Arial" w:hAnsi="Arial"/>
        </w:rPr>
      </w:pPr>
      <w:r>
        <w:rPr>
          <w:rFonts w:ascii="Arial" w:hAnsi="Arial"/>
        </w:rPr>
        <w:t>POWERED SCHOOL BUSES</w:t>
      </w:r>
    </w:p>
    <w:p w:rsidR="00000000" w:rsidRDefault="002F7312">
      <w:pPr>
        <w:rPr>
          <w:rFonts w:ascii="Arial" w:hAnsi="Arial"/>
        </w:rPr>
      </w:pPr>
    </w:p>
    <w:p w:rsidR="00000000" w:rsidRDefault="002F7312">
      <w:pPr>
        <w:rPr>
          <w:rFonts w:ascii="Arial" w:hAnsi="Arial"/>
        </w:rPr>
      </w:pPr>
      <w:r>
        <w:rPr>
          <w:rFonts w:ascii="Arial" w:hAnsi="Arial"/>
          <w:b/>
        </w:rPr>
        <w:t>LEAD:</w:t>
      </w:r>
      <w:r>
        <w:rPr>
          <w:rFonts w:ascii="Arial" w:hAnsi="Arial"/>
        </w:rPr>
        <w:t xml:space="preserve"> </w:t>
      </w:r>
      <w:r>
        <w:rPr>
          <w:rFonts w:ascii="Arial" w:hAnsi="Arial"/>
        </w:rPr>
        <w:tab/>
        <w:t>CONNIE LEONG</w:t>
      </w:r>
    </w:p>
    <w:p w:rsidR="00000000" w:rsidRDefault="002F7312">
      <w:pPr>
        <w:rPr>
          <w:rFonts w:ascii="Arial" w:hAnsi="Arial"/>
        </w:rPr>
      </w:pPr>
    </w:p>
    <w:p w:rsidR="00000000" w:rsidRDefault="002F7312">
      <w:pPr>
        <w:pStyle w:val="Heading1"/>
        <w:rPr>
          <w:rFonts w:ascii="Arial" w:hAnsi="Arial"/>
        </w:rPr>
      </w:pPr>
      <w:r>
        <w:rPr>
          <w:rFonts w:ascii="Arial" w:hAnsi="Arial"/>
        </w:rPr>
        <w:t>Summary</w:t>
      </w:r>
    </w:p>
    <w:p w:rsidR="00000000" w:rsidRDefault="002F7312">
      <w:pPr>
        <w:pStyle w:val="Heading1"/>
        <w:rPr>
          <w:rFonts w:ascii="Arial" w:hAnsi="Arial"/>
        </w:rPr>
      </w:pPr>
    </w:p>
    <w:p w:rsidR="00000000" w:rsidRDefault="002F7312">
      <w:pPr>
        <w:pStyle w:val="Heading1"/>
        <w:rPr>
          <w:rFonts w:ascii="Arial" w:hAnsi="Arial"/>
          <w:b w:val="0"/>
          <w:u w:val="none"/>
        </w:rPr>
      </w:pPr>
      <w:r>
        <w:rPr>
          <w:rFonts w:ascii="Arial" w:hAnsi="Arial"/>
          <w:b w:val="0"/>
          <w:u w:val="none"/>
        </w:rPr>
        <w:t xml:space="preserve">Activity and emission factors needed to calculate idle emissions from school buses are now included in </w:t>
      </w:r>
      <w:r>
        <w:rPr>
          <w:rFonts w:ascii="Arial" w:hAnsi="Arial"/>
          <w:b w:val="0"/>
          <w:u w:val="none"/>
        </w:rPr>
        <w:t>EMFAC.  It is assumed that on average school buses idle for eight minutes per trip or approximately 32 minutes per vehicle per day.  A trip is defined as an engine-on to engine-off event and school buses are currently assumed to average four trips per vehi</w:t>
      </w:r>
      <w:r>
        <w:rPr>
          <w:rFonts w:ascii="Arial" w:hAnsi="Arial"/>
          <w:b w:val="0"/>
          <w:u w:val="none"/>
        </w:rPr>
        <w:t>cle per day.  Most school buses fall into the medium-heavy-duty vehicle category.  Therefore, the idle emission factors for school buses are assumed to be the same as for medium heavy-duty vehicles in EMFAC.  The addition of idle emissions for school buses</w:t>
      </w:r>
      <w:r>
        <w:rPr>
          <w:rFonts w:ascii="Arial" w:hAnsi="Arial"/>
          <w:b w:val="0"/>
          <w:u w:val="none"/>
        </w:rPr>
        <w:t xml:space="preserve"> in EMFAC will increase the statewide total on-road vehicle emissions inventory in 2002 by 0.15 tons per day (tpd) of HC, 0.96 tpd of CO, 1.10 tpd of NOx and 0.02 tpd of PM.</w:t>
      </w:r>
    </w:p>
    <w:p w:rsidR="00000000" w:rsidRDefault="002F7312">
      <w:pPr>
        <w:rPr>
          <w:rFonts w:ascii="Arial" w:hAnsi="Arial"/>
        </w:rPr>
      </w:pPr>
    </w:p>
    <w:p w:rsidR="00000000" w:rsidRDefault="002F7312">
      <w:pPr>
        <w:pStyle w:val="Heading1"/>
        <w:rPr>
          <w:rFonts w:ascii="Arial" w:hAnsi="Arial"/>
        </w:rPr>
      </w:pPr>
      <w:r>
        <w:rPr>
          <w:rFonts w:ascii="Arial" w:hAnsi="Arial"/>
        </w:rPr>
        <w:t>Reason for Change</w:t>
      </w:r>
    </w:p>
    <w:p w:rsidR="00000000" w:rsidRDefault="002F7312">
      <w:pPr>
        <w:rPr>
          <w:rFonts w:ascii="Arial" w:hAnsi="Arial"/>
          <w:b/>
          <w:u w:val="single"/>
        </w:rPr>
      </w:pPr>
    </w:p>
    <w:p w:rsidR="00000000" w:rsidRDefault="002F7312">
      <w:pPr>
        <w:rPr>
          <w:rFonts w:ascii="Arial" w:hAnsi="Arial"/>
        </w:rPr>
      </w:pPr>
      <w:r>
        <w:rPr>
          <w:rFonts w:ascii="Arial" w:hAnsi="Arial"/>
        </w:rPr>
        <w:t>Although idle emissions for heavy-duty vehicles were introduce</w:t>
      </w:r>
      <w:r>
        <w:rPr>
          <w:rFonts w:ascii="Arial" w:hAnsi="Arial"/>
        </w:rPr>
        <w:t>d to the inventory in EMFAC2000, no estimates were made for school buses.  Because mitigating emissions from school buses has been raised as both a toxic and criteria pollutant control strategy, staff proposes to include idle emissions from school buses in</w:t>
      </w:r>
      <w:r>
        <w:rPr>
          <w:rFonts w:ascii="Arial" w:hAnsi="Arial"/>
        </w:rPr>
        <w:t xml:space="preserve"> the next update to the emissions inventory.</w:t>
      </w:r>
    </w:p>
    <w:p w:rsidR="00000000" w:rsidRDefault="002F7312">
      <w:pPr>
        <w:rPr>
          <w:rFonts w:ascii="Arial" w:hAnsi="Arial"/>
        </w:rPr>
      </w:pPr>
    </w:p>
    <w:p w:rsidR="00000000" w:rsidRDefault="002F7312">
      <w:pPr>
        <w:rPr>
          <w:rFonts w:ascii="Arial" w:hAnsi="Arial"/>
        </w:rPr>
      </w:pPr>
      <w:r>
        <w:rPr>
          <w:rFonts w:ascii="Arial" w:hAnsi="Arial"/>
        </w:rPr>
        <w:t>Note that the Air Resources Board is currently investigating a control measure to limit school bus idling.  As additional information is developed during this process, additional changes to the emissions estima</w:t>
      </w:r>
      <w:r>
        <w:rPr>
          <w:rFonts w:ascii="Arial" w:hAnsi="Arial"/>
        </w:rPr>
        <w:t>tes may be made.</w:t>
      </w:r>
    </w:p>
    <w:p w:rsidR="00000000" w:rsidRDefault="002F7312">
      <w:pPr>
        <w:rPr>
          <w:rFonts w:ascii="Arial" w:hAnsi="Arial"/>
        </w:rPr>
      </w:pPr>
    </w:p>
    <w:p w:rsidR="00000000" w:rsidRDefault="002F7312">
      <w:pPr>
        <w:pStyle w:val="Heading1"/>
        <w:rPr>
          <w:rFonts w:ascii="Arial" w:hAnsi="Arial"/>
        </w:rPr>
      </w:pPr>
      <w:r>
        <w:rPr>
          <w:rFonts w:ascii="Arial" w:hAnsi="Arial"/>
        </w:rPr>
        <w:t>Methodology</w:t>
      </w:r>
    </w:p>
    <w:p w:rsidR="00000000" w:rsidRDefault="002F7312">
      <w:pPr>
        <w:rPr>
          <w:rFonts w:ascii="Arial" w:hAnsi="Arial"/>
          <w:b/>
          <w:u w:val="single"/>
        </w:rPr>
      </w:pPr>
    </w:p>
    <w:p w:rsidR="00000000" w:rsidRDefault="002F7312">
      <w:pPr>
        <w:rPr>
          <w:rFonts w:ascii="Arial" w:hAnsi="Arial"/>
        </w:rPr>
      </w:pPr>
      <w:r>
        <w:rPr>
          <w:rFonts w:ascii="Arial" w:hAnsi="Arial"/>
        </w:rPr>
        <w:t>EMFAC currently assumes that school buses travel about 13, 000 miles per year, or approximately 40 miles per day.  A typical drive cycle is as follows:</w:t>
      </w:r>
    </w:p>
    <w:p w:rsidR="00000000" w:rsidRDefault="002F7312">
      <w:pPr>
        <w:rPr>
          <w:rFonts w:ascii="Arial" w:hAnsi="Arial"/>
        </w:rPr>
      </w:pPr>
    </w:p>
    <w:p w:rsidR="00000000" w:rsidRDefault="002F7312">
      <w:pPr>
        <w:rPr>
          <w:rFonts w:ascii="Arial" w:hAnsi="Arial"/>
        </w:rPr>
      </w:pPr>
      <w:r>
        <w:rPr>
          <w:rFonts w:ascii="Arial" w:hAnsi="Arial"/>
        </w:rPr>
        <w:t>Morning route</w:t>
      </w:r>
    </w:p>
    <w:p w:rsidR="00000000" w:rsidRDefault="002F7312">
      <w:pPr>
        <w:rPr>
          <w:rFonts w:ascii="Arial" w:hAnsi="Arial"/>
        </w:rPr>
      </w:pPr>
      <w:r>
        <w:rPr>
          <w:rFonts w:ascii="Arial" w:hAnsi="Arial"/>
        </w:rPr>
        <w:t>Bus travels 3 mile from yard to route beginning;</w:t>
      </w:r>
    </w:p>
    <w:p w:rsidR="00000000" w:rsidRDefault="002F7312">
      <w:pPr>
        <w:rPr>
          <w:rFonts w:ascii="Arial" w:hAnsi="Arial"/>
        </w:rPr>
      </w:pPr>
      <w:r>
        <w:rPr>
          <w:rFonts w:ascii="Arial" w:hAnsi="Arial"/>
        </w:rPr>
        <w:t>Bus trave</w:t>
      </w:r>
      <w:r>
        <w:rPr>
          <w:rFonts w:ascii="Arial" w:hAnsi="Arial"/>
        </w:rPr>
        <w:t>ls 17 miles on the morning route;</w:t>
      </w:r>
    </w:p>
    <w:p w:rsidR="00000000" w:rsidRDefault="002F7312">
      <w:pPr>
        <w:rPr>
          <w:rFonts w:ascii="Arial" w:hAnsi="Arial"/>
        </w:rPr>
      </w:pPr>
      <w:r>
        <w:rPr>
          <w:rFonts w:ascii="Arial" w:hAnsi="Arial"/>
        </w:rPr>
        <w:t>Bus arrives at school to drop off students.</w:t>
      </w:r>
    </w:p>
    <w:p w:rsidR="00000000" w:rsidRDefault="002F7312">
      <w:pPr>
        <w:rPr>
          <w:rFonts w:ascii="Arial" w:hAnsi="Arial"/>
        </w:rPr>
      </w:pPr>
    </w:p>
    <w:p w:rsidR="00000000" w:rsidRDefault="002F7312">
      <w:pPr>
        <w:rPr>
          <w:rFonts w:ascii="Arial" w:hAnsi="Arial"/>
        </w:rPr>
      </w:pPr>
      <w:r>
        <w:rPr>
          <w:rFonts w:ascii="Arial" w:hAnsi="Arial"/>
        </w:rPr>
        <w:t>Afternoon route</w:t>
      </w:r>
    </w:p>
    <w:p w:rsidR="00000000" w:rsidRDefault="002F7312">
      <w:pPr>
        <w:rPr>
          <w:rFonts w:ascii="Arial" w:hAnsi="Arial"/>
        </w:rPr>
      </w:pPr>
      <w:r>
        <w:rPr>
          <w:rFonts w:ascii="Arial" w:hAnsi="Arial"/>
        </w:rPr>
        <w:t>Bus travels 3 miles from yard to school;</w:t>
      </w:r>
    </w:p>
    <w:p w:rsidR="00000000" w:rsidRDefault="002F7312">
      <w:pPr>
        <w:rPr>
          <w:rFonts w:ascii="Arial" w:hAnsi="Arial"/>
        </w:rPr>
      </w:pPr>
      <w:r>
        <w:rPr>
          <w:rFonts w:ascii="Arial" w:hAnsi="Arial"/>
        </w:rPr>
        <w:t>Bus picks up students;</w:t>
      </w:r>
    </w:p>
    <w:p w:rsidR="00000000" w:rsidRDefault="002F7312">
      <w:pPr>
        <w:rPr>
          <w:rFonts w:ascii="Arial" w:hAnsi="Arial"/>
        </w:rPr>
      </w:pPr>
      <w:r>
        <w:rPr>
          <w:rFonts w:ascii="Arial" w:hAnsi="Arial"/>
        </w:rPr>
        <w:t>Bus travels 17 miles on afternoon route.</w:t>
      </w:r>
    </w:p>
    <w:p w:rsidR="00000000" w:rsidRDefault="002F7312">
      <w:pPr>
        <w:rPr>
          <w:rFonts w:ascii="Arial" w:hAnsi="Arial"/>
        </w:rPr>
      </w:pPr>
    </w:p>
    <w:p w:rsidR="00000000" w:rsidRDefault="002F7312">
      <w:pPr>
        <w:rPr>
          <w:rFonts w:ascii="Arial" w:hAnsi="Arial"/>
        </w:rPr>
      </w:pPr>
      <w:r>
        <w:rPr>
          <w:rFonts w:ascii="Arial" w:hAnsi="Arial"/>
        </w:rPr>
        <w:t>EMFAC does not currently have the capability to vary th</w:t>
      </w:r>
      <w:r>
        <w:rPr>
          <w:rFonts w:ascii="Arial" w:hAnsi="Arial"/>
        </w:rPr>
        <w:t>e mileage seasonally, so it is assumed to occur throughout the year.  Activity is distributed between 6:00 a.m.-9:00 a.m. for the morning and 3:00 p.m. – 6:00 p.m. for the afternoon.</w:t>
      </w:r>
    </w:p>
    <w:p w:rsidR="00000000" w:rsidRDefault="002F7312">
      <w:pPr>
        <w:rPr>
          <w:rFonts w:ascii="Arial" w:hAnsi="Arial"/>
        </w:rPr>
      </w:pPr>
    </w:p>
    <w:p w:rsidR="00000000" w:rsidRDefault="002F7312">
      <w:pPr>
        <w:rPr>
          <w:rFonts w:ascii="Arial" w:hAnsi="Arial"/>
        </w:rPr>
      </w:pPr>
      <w:r>
        <w:rPr>
          <w:rFonts w:ascii="Arial" w:hAnsi="Arial"/>
        </w:rPr>
        <w:t>EMFAC also currently estimates idle emissions by assuming minutes per tr</w:t>
      </w:r>
      <w:r>
        <w:rPr>
          <w:rFonts w:ascii="Arial" w:hAnsi="Arial"/>
        </w:rPr>
        <w:t>ip at idle multiplied by a gram per minute emission rate.  In a 1992 analysis performed by Valley Research Corporation for the Air Resources Board entitled “On-Road Motor Vehicle Activity Data – Volume I – Bus Population and Activity Pattern”, a “chase car</w:t>
      </w:r>
      <w:r>
        <w:rPr>
          <w:rFonts w:ascii="Arial" w:hAnsi="Arial"/>
        </w:rPr>
        <w:t>” approach was used to determine the speed distribution and idling habits of school buses.</w:t>
      </w:r>
    </w:p>
    <w:p w:rsidR="00000000" w:rsidRDefault="002F7312">
      <w:pPr>
        <w:rPr>
          <w:rFonts w:ascii="Arial" w:hAnsi="Arial"/>
        </w:rPr>
      </w:pPr>
    </w:p>
    <w:p w:rsidR="00000000" w:rsidRDefault="002F7312">
      <w:pPr>
        <w:rPr>
          <w:rFonts w:ascii="Arial" w:hAnsi="Arial"/>
        </w:rPr>
      </w:pPr>
      <w:r>
        <w:rPr>
          <w:rFonts w:ascii="Arial" w:hAnsi="Arial"/>
        </w:rPr>
        <w:t>In this study, fourteen buses operating in both urbanized and small urban communities, and seven buses operating in rural areas, were followed along their normal we</w:t>
      </w:r>
      <w:r>
        <w:rPr>
          <w:rFonts w:ascii="Arial" w:hAnsi="Arial"/>
        </w:rPr>
        <w:t>ekday routes.  On a route weighted average basis, it was determined that the average school bus made 5.75 stops along their typical route and idled for approximately one and one half minutes (1.38) per stop. Therefore 7.94 minutes of idle per route is assu</w:t>
      </w:r>
      <w:r>
        <w:rPr>
          <w:rFonts w:ascii="Arial" w:hAnsi="Arial"/>
        </w:rPr>
        <w:t xml:space="preserve">med (See table below). </w:t>
      </w:r>
    </w:p>
    <w:p w:rsidR="00000000" w:rsidRDefault="002F7312">
      <w:pPr>
        <w:rPr>
          <w:rFonts w:ascii="Arial" w:hAnsi="Arial"/>
        </w:rPr>
      </w:pPr>
    </w:p>
    <w:p w:rsidR="00000000" w:rsidRDefault="002F7312">
      <w:pPr>
        <w:jc w:val="center"/>
        <w:rPr>
          <w:rFonts w:ascii="Arial" w:hAnsi="Arial"/>
          <w:b/>
        </w:rPr>
      </w:pPr>
      <w:r>
        <w:rPr>
          <w:rFonts w:ascii="Arial" w:hAnsi="Arial"/>
          <w:b/>
        </w:rPr>
        <w:t>Table 1</w:t>
      </w:r>
    </w:p>
    <w:p w:rsidR="00000000" w:rsidRDefault="002F7312">
      <w:pPr>
        <w:jc w:val="center"/>
        <w:rPr>
          <w:rFonts w:ascii="Arial" w:hAnsi="Arial"/>
          <w:b/>
        </w:rPr>
      </w:pPr>
      <w:r>
        <w:rPr>
          <w:rFonts w:ascii="Arial" w:hAnsi="Arial"/>
          <w:b/>
        </w:rPr>
        <w:t>School Bus Activity Information</w:t>
      </w:r>
    </w:p>
    <w:p w:rsidR="00000000" w:rsidRDefault="002F7312">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260"/>
        <w:gridCol w:w="1080"/>
        <w:gridCol w:w="1260"/>
        <w:gridCol w:w="1080"/>
        <w:gridCol w:w="1080"/>
        <w:gridCol w:w="1080"/>
        <w:gridCol w:w="1260"/>
      </w:tblGrid>
      <w:tr w:rsidR="00000000">
        <w:tblPrEx>
          <w:tblCellMar>
            <w:top w:w="0" w:type="dxa"/>
            <w:bottom w:w="0" w:type="dxa"/>
          </w:tblCellMar>
        </w:tblPrEx>
        <w:trPr>
          <w:cantSplit/>
        </w:trPr>
        <w:tc>
          <w:tcPr>
            <w:tcW w:w="1548" w:type="dxa"/>
          </w:tcPr>
          <w:p w:rsidR="00000000" w:rsidRDefault="002F7312">
            <w:pPr>
              <w:jc w:val="center"/>
              <w:rPr>
                <w:rFonts w:ascii="Arial" w:hAnsi="Arial"/>
                <w:b/>
              </w:rPr>
            </w:pPr>
          </w:p>
        </w:tc>
        <w:tc>
          <w:tcPr>
            <w:tcW w:w="2340" w:type="dxa"/>
            <w:gridSpan w:val="2"/>
          </w:tcPr>
          <w:p w:rsidR="00000000" w:rsidRDefault="002F7312">
            <w:pPr>
              <w:jc w:val="center"/>
              <w:rPr>
                <w:rFonts w:ascii="Arial" w:hAnsi="Arial"/>
                <w:b/>
              </w:rPr>
            </w:pPr>
            <w:r>
              <w:rPr>
                <w:rFonts w:ascii="Arial" w:hAnsi="Arial"/>
                <w:b/>
              </w:rPr>
              <w:t>Urbanized</w:t>
            </w:r>
          </w:p>
        </w:tc>
        <w:tc>
          <w:tcPr>
            <w:tcW w:w="2340" w:type="dxa"/>
            <w:gridSpan w:val="2"/>
          </w:tcPr>
          <w:p w:rsidR="00000000" w:rsidRDefault="002F7312">
            <w:pPr>
              <w:jc w:val="center"/>
              <w:rPr>
                <w:rFonts w:ascii="Arial" w:hAnsi="Arial"/>
                <w:b/>
              </w:rPr>
            </w:pPr>
            <w:r>
              <w:rPr>
                <w:rFonts w:ascii="Arial" w:hAnsi="Arial"/>
                <w:b/>
              </w:rPr>
              <w:t>Small Urban</w:t>
            </w:r>
          </w:p>
        </w:tc>
        <w:tc>
          <w:tcPr>
            <w:tcW w:w="2160" w:type="dxa"/>
            <w:gridSpan w:val="2"/>
          </w:tcPr>
          <w:p w:rsidR="00000000" w:rsidRDefault="002F7312">
            <w:pPr>
              <w:jc w:val="center"/>
              <w:rPr>
                <w:rFonts w:ascii="Arial" w:hAnsi="Arial"/>
                <w:b/>
              </w:rPr>
            </w:pPr>
            <w:r>
              <w:rPr>
                <w:rFonts w:ascii="Arial" w:hAnsi="Arial"/>
                <w:b/>
              </w:rPr>
              <w:t>Rural</w:t>
            </w:r>
          </w:p>
        </w:tc>
        <w:tc>
          <w:tcPr>
            <w:tcW w:w="1260" w:type="dxa"/>
          </w:tcPr>
          <w:p w:rsidR="00000000" w:rsidRDefault="002F7312">
            <w:pPr>
              <w:jc w:val="center"/>
              <w:rPr>
                <w:rFonts w:ascii="Arial" w:hAnsi="Arial"/>
              </w:rPr>
            </w:pPr>
          </w:p>
        </w:tc>
      </w:tr>
      <w:tr w:rsidR="00000000">
        <w:tblPrEx>
          <w:tblCellMar>
            <w:top w:w="0" w:type="dxa"/>
            <w:bottom w:w="0" w:type="dxa"/>
          </w:tblCellMar>
        </w:tblPrEx>
        <w:tc>
          <w:tcPr>
            <w:tcW w:w="1548" w:type="dxa"/>
          </w:tcPr>
          <w:p w:rsidR="00000000" w:rsidRDefault="002F7312">
            <w:pPr>
              <w:jc w:val="center"/>
              <w:rPr>
                <w:rFonts w:ascii="Arial" w:hAnsi="Arial"/>
                <w:b/>
              </w:rPr>
            </w:pPr>
          </w:p>
        </w:tc>
        <w:tc>
          <w:tcPr>
            <w:tcW w:w="1260" w:type="dxa"/>
          </w:tcPr>
          <w:p w:rsidR="00000000" w:rsidRDefault="002F7312">
            <w:pPr>
              <w:jc w:val="center"/>
              <w:rPr>
                <w:rFonts w:ascii="Arial" w:hAnsi="Arial"/>
                <w:b/>
                <w:sz w:val="22"/>
              </w:rPr>
            </w:pPr>
            <w:r>
              <w:rPr>
                <w:rFonts w:ascii="Arial" w:hAnsi="Arial"/>
                <w:b/>
                <w:sz w:val="22"/>
              </w:rPr>
              <w:t>Week- Day AM</w:t>
            </w:r>
          </w:p>
        </w:tc>
        <w:tc>
          <w:tcPr>
            <w:tcW w:w="1080" w:type="dxa"/>
          </w:tcPr>
          <w:p w:rsidR="00000000" w:rsidRDefault="002F7312">
            <w:pPr>
              <w:jc w:val="center"/>
              <w:rPr>
                <w:rFonts w:ascii="Arial" w:hAnsi="Arial"/>
                <w:b/>
                <w:sz w:val="22"/>
              </w:rPr>
            </w:pPr>
            <w:r>
              <w:rPr>
                <w:rFonts w:ascii="Arial" w:hAnsi="Arial"/>
                <w:b/>
                <w:sz w:val="22"/>
              </w:rPr>
              <w:t>Week-</w:t>
            </w:r>
          </w:p>
          <w:p w:rsidR="00000000" w:rsidRDefault="002F7312">
            <w:pPr>
              <w:jc w:val="center"/>
              <w:rPr>
                <w:rFonts w:ascii="Arial" w:hAnsi="Arial"/>
                <w:b/>
                <w:sz w:val="22"/>
              </w:rPr>
            </w:pPr>
            <w:r>
              <w:rPr>
                <w:rFonts w:ascii="Arial" w:hAnsi="Arial"/>
                <w:b/>
                <w:sz w:val="22"/>
              </w:rPr>
              <w:t>Day PM</w:t>
            </w:r>
          </w:p>
        </w:tc>
        <w:tc>
          <w:tcPr>
            <w:tcW w:w="1260" w:type="dxa"/>
          </w:tcPr>
          <w:p w:rsidR="00000000" w:rsidRDefault="002F7312">
            <w:pPr>
              <w:jc w:val="center"/>
              <w:rPr>
                <w:rFonts w:ascii="Arial" w:hAnsi="Arial"/>
                <w:b/>
                <w:sz w:val="22"/>
              </w:rPr>
            </w:pPr>
            <w:r>
              <w:rPr>
                <w:rFonts w:ascii="Arial" w:hAnsi="Arial"/>
                <w:b/>
                <w:sz w:val="22"/>
              </w:rPr>
              <w:t>Week-</w:t>
            </w:r>
          </w:p>
          <w:p w:rsidR="00000000" w:rsidRDefault="002F7312">
            <w:pPr>
              <w:jc w:val="center"/>
              <w:rPr>
                <w:rFonts w:ascii="Arial" w:hAnsi="Arial"/>
                <w:b/>
                <w:sz w:val="22"/>
              </w:rPr>
            </w:pPr>
            <w:r>
              <w:rPr>
                <w:rFonts w:ascii="Arial" w:hAnsi="Arial"/>
                <w:b/>
                <w:sz w:val="22"/>
              </w:rPr>
              <w:t>Day AM</w:t>
            </w:r>
          </w:p>
        </w:tc>
        <w:tc>
          <w:tcPr>
            <w:tcW w:w="1080" w:type="dxa"/>
          </w:tcPr>
          <w:p w:rsidR="00000000" w:rsidRDefault="002F7312">
            <w:pPr>
              <w:jc w:val="center"/>
              <w:rPr>
                <w:rFonts w:ascii="Arial" w:hAnsi="Arial"/>
                <w:b/>
                <w:sz w:val="22"/>
              </w:rPr>
            </w:pPr>
            <w:r>
              <w:rPr>
                <w:rFonts w:ascii="Arial" w:hAnsi="Arial"/>
                <w:b/>
                <w:sz w:val="22"/>
              </w:rPr>
              <w:t>Week-</w:t>
            </w:r>
          </w:p>
          <w:p w:rsidR="00000000" w:rsidRDefault="002F7312">
            <w:pPr>
              <w:jc w:val="center"/>
              <w:rPr>
                <w:rFonts w:ascii="Arial" w:hAnsi="Arial"/>
                <w:b/>
                <w:sz w:val="22"/>
              </w:rPr>
            </w:pPr>
            <w:r>
              <w:rPr>
                <w:rFonts w:ascii="Arial" w:hAnsi="Arial"/>
                <w:b/>
                <w:sz w:val="22"/>
              </w:rPr>
              <w:t>Day PM</w:t>
            </w:r>
          </w:p>
        </w:tc>
        <w:tc>
          <w:tcPr>
            <w:tcW w:w="1080" w:type="dxa"/>
          </w:tcPr>
          <w:p w:rsidR="00000000" w:rsidRDefault="002F7312">
            <w:pPr>
              <w:jc w:val="center"/>
              <w:rPr>
                <w:rFonts w:ascii="Arial" w:hAnsi="Arial"/>
                <w:b/>
                <w:sz w:val="22"/>
              </w:rPr>
            </w:pPr>
            <w:r>
              <w:rPr>
                <w:rFonts w:ascii="Arial" w:hAnsi="Arial"/>
                <w:b/>
                <w:sz w:val="22"/>
              </w:rPr>
              <w:t>Week-</w:t>
            </w:r>
          </w:p>
          <w:p w:rsidR="00000000" w:rsidRDefault="002F7312">
            <w:pPr>
              <w:jc w:val="center"/>
              <w:rPr>
                <w:rFonts w:ascii="Arial" w:hAnsi="Arial"/>
                <w:b/>
                <w:sz w:val="22"/>
              </w:rPr>
            </w:pPr>
            <w:r>
              <w:rPr>
                <w:rFonts w:ascii="Arial" w:hAnsi="Arial"/>
                <w:b/>
                <w:sz w:val="22"/>
              </w:rPr>
              <w:t>Day AM</w:t>
            </w:r>
          </w:p>
        </w:tc>
        <w:tc>
          <w:tcPr>
            <w:tcW w:w="1080" w:type="dxa"/>
          </w:tcPr>
          <w:p w:rsidR="00000000" w:rsidRDefault="002F7312">
            <w:pPr>
              <w:jc w:val="center"/>
              <w:rPr>
                <w:rFonts w:ascii="Arial" w:hAnsi="Arial"/>
                <w:b/>
                <w:sz w:val="22"/>
              </w:rPr>
            </w:pPr>
            <w:r>
              <w:rPr>
                <w:rFonts w:ascii="Arial" w:hAnsi="Arial"/>
                <w:b/>
                <w:sz w:val="22"/>
              </w:rPr>
              <w:t>Week-</w:t>
            </w:r>
          </w:p>
          <w:p w:rsidR="00000000" w:rsidRDefault="002F7312">
            <w:pPr>
              <w:jc w:val="center"/>
              <w:rPr>
                <w:rFonts w:ascii="Arial" w:hAnsi="Arial"/>
                <w:b/>
                <w:sz w:val="22"/>
              </w:rPr>
            </w:pPr>
            <w:r>
              <w:rPr>
                <w:rFonts w:ascii="Arial" w:hAnsi="Arial"/>
                <w:b/>
                <w:sz w:val="22"/>
              </w:rPr>
              <w:t>Day PM</w:t>
            </w:r>
          </w:p>
        </w:tc>
        <w:tc>
          <w:tcPr>
            <w:tcW w:w="1260" w:type="dxa"/>
          </w:tcPr>
          <w:p w:rsidR="00000000" w:rsidRDefault="002F7312">
            <w:pPr>
              <w:jc w:val="center"/>
              <w:rPr>
                <w:rFonts w:ascii="Arial" w:hAnsi="Arial"/>
                <w:b/>
                <w:sz w:val="22"/>
              </w:rPr>
            </w:pPr>
            <w:r>
              <w:rPr>
                <w:rFonts w:ascii="Arial" w:hAnsi="Arial"/>
                <w:b/>
                <w:sz w:val="22"/>
              </w:rPr>
              <w:t>Weighted Average</w:t>
            </w:r>
          </w:p>
        </w:tc>
      </w:tr>
      <w:tr w:rsidR="00000000">
        <w:tblPrEx>
          <w:tblCellMar>
            <w:top w:w="0" w:type="dxa"/>
            <w:bottom w:w="0" w:type="dxa"/>
          </w:tblCellMar>
        </w:tblPrEx>
        <w:tc>
          <w:tcPr>
            <w:tcW w:w="1548" w:type="dxa"/>
          </w:tcPr>
          <w:p w:rsidR="00000000" w:rsidRDefault="002F7312">
            <w:pPr>
              <w:rPr>
                <w:rFonts w:ascii="Arial" w:hAnsi="Arial"/>
                <w:b/>
              </w:rPr>
            </w:pPr>
            <w:r>
              <w:rPr>
                <w:rFonts w:ascii="Arial" w:hAnsi="Arial"/>
                <w:b/>
              </w:rPr>
              <w:t># of Routes</w:t>
            </w:r>
          </w:p>
        </w:tc>
        <w:tc>
          <w:tcPr>
            <w:tcW w:w="1260" w:type="dxa"/>
            <w:vAlign w:val="center"/>
          </w:tcPr>
          <w:p w:rsidR="00000000" w:rsidRDefault="002F7312">
            <w:pPr>
              <w:jc w:val="center"/>
              <w:rPr>
                <w:rFonts w:ascii="Arial" w:hAnsi="Arial"/>
              </w:rPr>
            </w:pPr>
            <w:r>
              <w:rPr>
                <w:rFonts w:ascii="Arial" w:hAnsi="Arial"/>
              </w:rPr>
              <w:t>14</w:t>
            </w:r>
          </w:p>
        </w:tc>
        <w:tc>
          <w:tcPr>
            <w:tcW w:w="1080" w:type="dxa"/>
            <w:vAlign w:val="center"/>
          </w:tcPr>
          <w:p w:rsidR="00000000" w:rsidRDefault="002F7312">
            <w:pPr>
              <w:jc w:val="center"/>
              <w:rPr>
                <w:rFonts w:ascii="Arial" w:hAnsi="Arial"/>
              </w:rPr>
            </w:pPr>
            <w:r>
              <w:rPr>
                <w:rFonts w:ascii="Arial" w:hAnsi="Arial"/>
              </w:rPr>
              <w:t>14</w:t>
            </w:r>
          </w:p>
        </w:tc>
        <w:tc>
          <w:tcPr>
            <w:tcW w:w="1260" w:type="dxa"/>
            <w:vAlign w:val="center"/>
          </w:tcPr>
          <w:p w:rsidR="00000000" w:rsidRDefault="002F7312">
            <w:pPr>
              <w:jc w:val="center"/>
              <w:rPr>
                <w:rFonts w:ascii="Arial" w:hAnsi="Arial"/>
              </w:rPr>
            </w:pPr>
            <w:r>
              <w:rPr>
                <w:rFonts w:ascii="Arial" w:hAnsi="Arial"/>
              </w:rPr>
              <w:t>14</w:t>
            </w:r>
          </w:p>
        </w:tc>
        <w:tc>
          <w:tcPr>
            <w:tcW w:w="1080" w:type="dxa"/>
            <w:vAlign w:val="center"/>
          </w:tcPr>
          <w:p w:rsidR="00000000" w:rsidRDefault="002F7312">
            <w:pPr>
              <w:jc w:val="center"/>
              <w:rPr>
                <w:rFonts w:ascii="Arial" w:hAnsi="Arial"/>
              </w:rPr>
            </w:pPr>
            <w:r>
              <w:rPr>
                <w:rFonts w:ascii="Arial" w:hAnsi="Arial"/>
              </w:rPr>
              <w:t>14</w:t>
            </w:r>
          </w:p>
        </w:tc>
        <w:tc>
          <w:tcPr>
            <w:tcW w:w="1080" w:type="dxa"/>
            <w:vAlign w:val="center"/>
          </w:tcPr>
          <w:p w:rsidR="00000000" w:rsidRDefault="002F7312">
            <w:pPr>
              <w:jc w:val="center"/>
              <w:rPr>
                <w:rFonts w:ascii="Arial" w:hAnsi="Arial"/>
              </w:rPr>
            </w:pPr>
            <w:r>
              <w:rPr>
                <w:rFonts w:ascii="Arial" w:hAnsi="Arial"/>
              </w:rPr>
              <w:t>7</w:t>
            </w:r>
          </w:p>
        </w:tc>
        <w:tc>
          <w:tcPr>
            <w:tcW w:w="1080" w:type="dxa"/>
            <w:vAlign w:val="center"/>
          </w:tcPr>
          <w:p w:rsidR="00000000" w:rsidRDefault="002F7312">
            <w:pPr>
              <w:jc w:val="center"/>
              <w:rPr>
                <w:rFonts w:ascii="Arial" w:hAnsi="Arial"/>
              </w:rPr>
            </w:pPr>
            <w:r>
              <w:rPr>
                <w:rFonts w:ascii="Arial" w:hAnsi="Arial"/>
              </w:rPr>
              <w:t>7</w:t>
            </w:r>
          </w:p>
        </w:tc>
        <w:tc>
          <w:tcPr>
            <w:tcW w:w="1260" w:type="dxa"/>
            <w:vAlign w:val="center"/>
          </w:tcPr>
          <w:p w:rsidR="00000000" w:rsidRDefault="002F7312">
            <w:pPr>
              <w:jc w:val="center"/>
              <w:rPr>
                <w:rFonts w:ascii="Arial" w:hAnsi="Arial"/>
              </w:rPr>
            </w:pPr>
          </w:p>
        </w:tc>
      </w:tr>
      <w:tr w:rsidR="00000000">
        <w:tblPrEx>
          <w:tblCellMar>
            <w:top w:w="0" w:type="dxa"/>
            <w:bottom w:w="0" w:type="dxa"/>
          </w:tblCellMar>
        </w:tblPrEx>
        <w:tc>
          <w:tcPr>
            <w:tcW w:w="1548" w:type="dxa"/>
          </w:tcPr>
          <w:p w:rsidR="00000000" w:rsidRDefault="002F7312">
            <w:pPr>
              <w:rPr>
                <w:rFonts w:ascii="Arial" w:hAnsi="Arial"/>
                <w:b/>
              </w:rPr>
            </w:pPr>
            <w:r>
              <w:rPr>
                <w:rFonts w:ascii="Arial" w:hAnsi="Arial"/>
                <w:b/>
              </w:rPr>
              <w:t>Average Distance</w:t>
            </w:r>
          </w:p>
          <w:p w:rsidR="00000000" w:rsidRDefault="002F7312">
            <w:pPr>
              <w:rPr>
                <w:rFonts w:ascii="Arial" w:hAnsi="Arial"/>
                <w:b/>
              </w:rPr>
            </w:pPr>
            <w:r>
              <w:rPr>
                <w:rFonts w:ascii="Arial" w:hAnsi="Arial"/>
                <w:b/>
              </w:rPr>
              <w:t>in miles</w:t>
            </w:r>
          </w:p>
        </w:tc>
        <w:tc>
          <w:tcPr>
            <w:tcW w:w="1260" w:type="dxa"/>
            <w:vAlign w:val="center"/>
          </w:tcPr>
          <w:p w:rsidR="00000000" w:rsidRDefault="002F7312">
            <w:pPr>
              <w:jc w:val="center"/>
              <w:rPr>
                <w:rFonts w:ascii="Arial" w:hAnsi="Arial"/>
              </w:rPr>
            </w:pPr>
            <w:r>
              <w:rPr>
                <w:rFonts w:ascii="Arial" w:hAnsi="Arial"/>
              </w:rPr>
              <w:t>8.2</w:t>
            </w:r>
          </w:p>
        </w:tc>
        <w:tc>
          <w:tcPr>
            <w:tcW w:w="1080" w:type="dxa"/>
            <w:vAlign w:val="center"/>
          </w:tcPr>
          <w:p w:rsidR="00000000" w:rsidRDefault="002F7312">
            <w:pPr>
              <w:jc w:val="center"/>
              <w:rPr>
                <w:rFonts w:ascii="Arial" w:hAnsi="Arial"/>
              </w:rPr>
            </w:pPr>
            <w:r>
              <w:rPr>
                <w:rFonts w:ascii="Arial" w:hAnsi="Arial"/>
              </w:rPr>
              <w:t>7.</w:t>
            </w:r>
            <w:r>
              <w:rPr>
                <w:rFonts w:ascii="Arial" w:hAnsi="Arial"/>
              </w:rPr>
              <w:t>8</w:t>
            </w:r>
          </w:p>
        </w:tc>
        <w:tc>
          <w:tcPr>
            <w:tcW w:w="1260" w:type="dxa"/>
            <w:vAlign w:val="center"/>
          </w:tcPr>
          <w:p w:rsidR="00000000" w:rsidRDefault="002F7312">
            <w:pPr>
              <w:jc w:val="center"/>
              <w:rPr>
                <w:rFonts w:ascii="Arial" w:hAnsi="Arial"/>
              </w:rPr>
            </w:pPr>
            <w:r>
              <w:rPr>
                <w:rFonts w:ascii="Arial" w:hAnsi="Arial"/>
              </w:rPr>
              <w:t>7.3</w:t>
            </w:r>
          </w:p>
        </w:tc>
        <w:tc>
          <w:tcPr>
            <w:tcW w:w="1080" w:type="dxa"/>
            <w:vAlign w:val="center"/>
          </w:tcPr>
          <w:p w:rsidR="00000000" w:rsidRDefault="002F7312">
            <w:pPr>
              <w:jc w:val="center"/>
              <w:rPr>
                <w:rFonts w:ascii="Arial" w:hAnsi="Arial"/>
              </w:rPr>
            </w:pPr>
            <w:r>
              <w:rPr>
                <w:rFonts w:ascii="Arial" w:hAnsi="Arial"/>
              </w:rPr>
              <w:t>7.6</w:t>
            </w:r>
          </w:p>
        </w:tc>
        <w:tc>
          <w:tcPr>
            <w:tcW w:w="1080" w:type="dxa"/>
            <w:vAlign w:val="center"/>
          </w:tcPr>
          <w:p w:rsidR="00000000" w:rsidRDefault="002F7312">
            <w:pPr>
              <w:jc w:val="center"/>
              <w:rPr>
                <w:rFonts w:ascii="Arial" w:hAnsi="Arial"/>
              </w:rPr>
            </w:pPr>
            <w:r>
              <w:rPr>
                <w:rFonts w:ascii="Arial" w:hAnsi="Arial"/>
              </w:rPr>
              <w:t>11.7</w:t>
            </w:r>
          </w:p>
        </w:tc>
        <w:tc>
          <w:tcPr>
            <w:tcW w:w="1080" w:type="dxa"/>
            <w:vAlign w:val="center"/>
          </w:tcPr>
          <w:p w:rsidR="00000000" w:rsidRDefault="002F7312">
            <w:pPr>
              <w:jc w:val="center"/>
              <w:rPr>
                <w:rFonts w:ascii="Arial" w:hAnsi="Arial"/>
              </w:rPr>
            </w:pPr>
            <w:r>
              <w:rPr>
                <w:rFonts w:ascii="Arial" w:hAnsi="Arial"/>
              </w:rPr>
              <w:t>10.4</w:t>
            </w:r>
          </w:p>
        </w:tc>
        <w:tc>
          <w:tcPr>
            <w:tcW w:w="1260" w:type="dxa"/>
            <w:vAlign w:val="center"/>
          </w:tcPr>
          <w:p w:rsidR="00000000" w:rsidRDefault="002F7312">
            <w:pPr>
              <w:jc w:val="center"/>
              <w:rPr>
                <w:rFonts w:ascii="Arial" w:hAnsi="Arial"/>
              </w:rPr>
            </w:pPr>
            <w:r>
              <w:rPr>
                <w:rFonts w:ascii="Arial" w:hAnsi="Arial"/>
              </w:rPr>
              <w:t>8.39</w:t>
            </w:r>
          </w:p>
        </w:tc>
      </w:tr>
      <w:tr w:rsidR="00000000">
        <w:tblPrEx>
          <w:tblCellMar>
            <w:top w:w="0" w:type="dxa"/>
            <w:bottom w:w="0" w:type="dxa"/>
          </w:tblCellMar>
        </w:tblPrEx>
        <w:tc>
          <w:tcPr>
            <w:tcW w:w="1548" w:type="dxa"/>
          </w:tcPr>
          <w:p w:rsidR="00000000" w:rsidRDefault="002F7312">
            <w:pPr>
              <w:rPr>
                <w:rFonts w:ascii="Arial" w:hAnsi="Arial"/>
                <w:b/>
              </w:rPr>
            </w:pPr>
            <w:r>
              <w:rPr>
                <w:rFonts w:ascii="Arial" w:hAnsi="Arial"/>
                <w:b/>
              </w:rPr>
              <w:t>Average Duration</w:t>
            </w:r>
          </w:p>
          <w:p w:rsidR="00000000" w:rsidRDefault="002F7312">
            <w:pPr>
              <w:rPr>
                <w:rFonts w:ascii="Arial" w:hAnsi="Arial"/>
                <w:b/>
              </w:rPr>
            </w:pPr>
            <w:r>
              <w:rPr>
                <w:rFonts w:ascii="Arial" w:hAnsi="Arial"/>
                <w:b/>
              </w:rPr>
              <w:t>in minutes</w:t>
            </w:r>
          </w:p>
        </w:tc>
        <w:tc>
          <w:tcPr>
            <w:tcW w:w="1260" w:type="dxa"/>
            <w:vAlign w:val="center"/>
          </w:tcPr>
          <w:p w:rsidR="00000000" w:rsidRDefault="002F7312">
            <w:pPr>
              <w:jc w:val="center"/>
              <w:rPr>
                <w:rFonts w:ascii="Arial" w:hAnsi="Arial"/>
              </w:rPr>
            </w:pPr>
            <w:r>
              <w:rPr>
                <w:rFonts w:ascii="Arial" w:hAnsi="Arial"/>
              </w:rPr>
              <w:t>29.5</w:t>
            </w:r>
          </w:p>
        </w:tc>
        <w:tc>
          <w:tcPr>
            <w:tcW w:w="1080" w:type="dxa"/>
            <w:vAlign w:val="center"/>
          </w:tcPr>
          <w:p w:rsidR="00000000" w:rsidRDefault="002F7312">
            <w:pPr>
              <w:jc w:val="center"/>
              <w:rPr>
                <w:rFonts w:ascii="Arial" w:hAnsi="Arial"/>
              </w:rPr>
            </w:pPr>
            <w:r>
              <w:rPr>
                <w:rFonts w:ascii="Arial" w:hAnsi="Arial"/>
              </w:rPr>
              <w:t>27.4</w:t>
            </w:r>
          </w:p>
        </w:tc>
        <w:tc>
          <w:tcPr>
            <w:tcW w:w="1260" w:type="dxa"/>
            <w:vAlign w:val="center"/>
          </w:tcPr>
          <w:p w:rsidR="00000000" w:rsidRDefault="002F7312">
            <w:pPr>
              <w:jc w:val="center"/>
              <w:rPr>
                <w:rFonts w:ascii="Arial" w:hAnsi="Arial"/>
              </w:rPr>
            </w:pPr>
            <w:r>
              <w:rPr>
                <w:rFonts w:ascii="Arial" w:hAnsi="Arial"/>
              </w:rPr>
              <w:t>25.6</w:t>
            </w:r>
          </w:p>
        </w:tc>
        <w:tc>
          <w:tcPr>
            <w:tcW w:w="1080" w:type="dxa"/>
            <w:vAlign w:val="center"/>
          </w:tcPr>
          <w:p w:rsidR="00000000" w:rsidRDefault="002F7312">
            <w:pPr>
              <w:jc w:val="center"/>
              <w:rPr>
                <w:rFonts w:ascii="Arial" w:hAnsi="Arial"/>
              </w:rPr>
            </w:pPr>
            <w:r>
              <w:rPr>
                <w:rFonts w:ascii="Arial" w:hAnsi="Arial"/>
              </w:rPr>
              <w:t>25.9</w:t>
            </w:r>
          </w:p>
        </w:tc>
        <w:tc>
          <w:tcPr>
            <w:tcW w:w="1080" w:type="dxa"/>
            <w:vAlign w:val="center"/>
          </w:tcPr>
          <w:p w:rsidR="00000000" w:rsidRDefault="002F7312">
            <w:pPr>
              <w:jc w:val="center"/>
              <w:rPr>
                <w:rFonts w:ascii="Arial" w:hAnsi="Arial"/>
              </w:rPr>
            </w:pPr>
            <w:r>
              <w:rPr>
                <w:rFonts w:ascii="Arial" w:hAnsi="Arial"/>
              </w:rPr>
              <w:t>25.4</w:t>
            </w:r>
          </w:p>
        </w:tc>
        <w:tc>
          <w:tcPr>
            <w:tcW w:w="1080" w:type="dxa"/>
            <w:vAlign w:val="center"/>
          </w:tcPr>
          <w:p w:rsidR="00000000" w:rsidRDefault="002F7312">
            <w:pPr>
              <w:jc w:val="center"/>
              <w:rPr>
                <w:rFonts w:ascii="Arial" w:hAnsi="Arial"/>
              </w:rPr>
            </w:pPr>
            <w:r>
              <w:rPr>
                <w:rFonts w:ascii="Arial" w:hAnsi="Arial"/>
              </w:rPr>
              <w:t>28.0</w:t>
            </w:r>
          </w:p>
        </w:tc>
        <w:tc>
          <w:tcPr>
            <w:tcW w:w="1260" w:type="dxa"/>
            <w:vAlign w:val="center"/>
          </w:tcPr>
          <w:p w:rsidR="00000000" w:rsidRDefault="002F7312">
            <w:pPr>
              <w:jc w:val="center"/>
              <w:rPr>
                <w:rFonts w:ascii="Arial" w:hAnsi="Arial"/>
              </w:rPr>
            </w:pPr>
            <w:r>
              <w:rPr>
                <w:rFonts w:ascii="Arial" w:hAnsi="Arial"/>
              </w:rPr>
              <w:t>27.02</w:t>
            </w:r>
          </w:p>
        </w:tc>
      </w:tr>
      <w:tr w:rsidR="00000000">
        <w:tblPrEx>
          <w:tblCellMar>
            <w:top w:w="0" w:type="dxa"/>
            <w:bottom w:w="0" w:type="dxa"/>
          </w:tblCellMar>
        </w:tblPrEx>
        <w:tc>
          <w:tcPr>
            <w:tcW w:w="1548" w:type="dxa"/>
          </w:tcPr>
          <w:p w:rsidR="00000000" w:rsidRDefault="002F7312">
            <w:pPr>
              <w:rPr>
                <w:rFonts w:ascii="Arial" w:hAnsi="Arial"/>
                <w:b/>
              </w:rPr>
            </w:pPr>
            <w:r>
              <w:rPr>
                <w:rFonts w:ascii="Arial" w:hAnsi="Arial"/>
                <w:b/>
              </w:rPr>
              <w:t>Average Speed in</w:t>
            </w:r>
          </w:p>
          <w:p w:rsidR="00000000" w:rsidRDefault="002F7312">
            <w:pPr>
              <w:rPr>
                <w:rFonts w:ascii="Arial" w:hAnsi="Arial"/>
                <w:b/>
              </w:rPr>
            </w:pPr>
            <w:r>
              <w:rPr>
                <w:rFonts w:ascii="Arial" w:hAnsi="Arial"/>
                <w:b/>
              </w:rPr>
              <w:t>Miles/hour</w:t>
            </w:r>
          </w:p>
        </w:tc>
        <w:tc>
          <w:tcPr>
            <w:tcW w:w="1260" w:type="dxa"/>
            <w:vAlign w:val="center"/>
          </w:tcPr>
          <w:p w:rsidR="00000000" w:rsidRDefault="002F7312">
            <w:pPr>
              <w:jc w:val="center"/>
              <w:rPr>
                <w:rFonts w:ascii="Arial" w:hAnsi="Arial"/>
              </w:rPr>
            </w:pPr>
            <w:r>
              <w:rPr>
                <w:rFonts w:ascii="Arial" w:hAnsi="Arial"/>
              </w:rPr>
              <w:t>16.3</w:t>
            </w:r>
          </w:p>
        </w:tc>
        <w:tc>
          <w:tcPr>
            <w:tcW w:w="1080" w:type="dxa"/>
            <w:vAlign w:val="center"/>
          </w:tcPr>
          <w:p w:rsidR="00000000" w:rsidRDefault="002F7312">
            <w:pPr>
              <w:jc w:val="center"/>
              <w:rPr>
                <w:rFonts w:ascii="Arial" w:hAnsi="Arial"/>
              </w:rPr>
            </w:pPr>
            <w:r>
              <w:rPr>
                <w:rFonts w:ascii="Arial" w:hAnsi="Arial"/>
              </w:rPr>
              <w:t>17.5</w:t>
            </w:r>
          </w:p>
        </w:tc>
        <w:tc>
          <w:tcPr>
            <w:tcW w:w="1260" w:type="dxa"/>
            <w:vAlign w:val="center"/>
          </w:tcPr>
          <w:p w:rsidR="00000000" w:rsidRDefault="002F7312">
            <w:pPr>
              <w:jc w:val="center"/>
              <w:rPr>
                <w:rFonts w:ascii="Arial" w:hAnsi="Arial"/>
              </w:rPr>
            </w:pPr>
            <w:r>
              <w:rPr>
                <w:rFonts w:ascii="Arial" w:hAnsi="Arial"/>
              </w:rPr>
              <w:t>16.4</w:t>
            </w:r>
          </w:p>
        </w:tc>
        <w:tc>
          <w:tcPr>
            <w:tcW w:w="1080" w:type="dxa"/>
            <w:vAlign w:val="center"/>
          </w:tcPr>
          <w:p w:rsidR="00000000" w:rsidRDefault="002F7312">
            <w:pPr>
              <w:jc w:val="center"/>
              <w:rPr>
                <w:rFonts w:ascii="Arial" w:hAnsi="Arial"/>
              </w:rPr>
            </w:pPr>
            <w:r>
              <w:rPr>
                <w:rFonts w:ascii="Arial" w:hAnsi="Arial"/>
              </w:rPr>
              <w:t>17.0</w:t>
            </w:r>
          </w:p>
        </w:tc>
        <w:tc>
          <w:tcPr>
            <w:tcW w:w="1080" w:type="dxa"/>
            <w:vAlign w:val="center"/>
          </w:tcPr>
          <w:p w:rsidR="00000000" w:rsidRDefault="002F7312">
            <w:pPr>
              <w:jc w:val="center"/>
              <w:rPr>
                <w:rFonts w:ascii="Arial" w:hAnsi="Arial"/>
              </w:rPr>
            </w:pPr>
            <w:r>
              <w:rPr>
                <w:rFonts w:ascii="Arial" w:hAnsi="Arial"/>
              </w:rPr>
              <w:t>27.1</w:t>
            </w:r>
          </w:p>
        </w:tc>
        <w:tc>
          <w:tcPr>
            <w:tcW w:w="1080" w:type="dxa"/>
            <w:vAlign w:val="center"/>
          </w:tcPr>
          <w:p w:rsidR="00000000" w:rsidRDefault="002F7312">
            <w:pPr>
              <w:jc w:val="center"/>
              <w:rPr>
                <w:rFonts w:ascii="Arial" w:hAnsi="Arial"/>
              </w:rPr>
            </w:pPr>
            <w:r>
              <w:rPr>
                <w:rFonts w:ascii="Arial" w:hAnsi="Arial"/>
              </w:rPr>
              <w:t>22.6</w:t>
            </w:r>
          </w:p>
        </w:tc>
        <w:tc>
          <w:tcPr>
            <w:tcW w:w="1260" w:type="dxa"/>
            <w:vAlign w:val="center"/>
          </w:tcPr>
          <w:p w:rsidR="00000000" w:rsidRDefault="002F7312">
            <w:pPr>
              <w:jc w:val="center"/>
              <w:rPr>
                <w:rFonts w:ascii="Arial" w:hAnsi="Arial"/>
              </w:rPr>
            </w:pPr>
            <w:r>
              <w:rPr>
                <w:rFonts w:ascii="Arial" w:hAnsi="Arial"/>
              </w:rPr>
              <w:t>18.41</w:t>
            </w:r>
          </w:p>
        </w:tc>
      </w:tr>
      <w:tr w:rsidR="00000000">
        <w:tblPrEx>
          <w:tblCellMar>
            <w:top w:w="0" w:type="dxa"/>
            <w:bottom w:w="0" w:type="dxa"/>
          </w:tblCellMar>
        </w:tblPrEx>
        <w:tc>
          <w:tcPr>
            <w:tcW w:w="1548" w:type="dxa"/>
          </w:tcPr>
          <w:p w:rsidR="00000000" w:rsidRDefault="002F7312">
            <w:pPr>
              <w:rPr>
                <w:rFonts w:ascii="Arial" w:hAnsi="Arial"/>
                <w:b/>
              </w:rPr>
            </w:pPr>
            <w:r>
              <w:rPr>
                <w:rFonts w:ascii="Arial" w:hAnsi="Arial"/>
                <w:b/>
              </w:rPr>
              <w:t># of Stops per Route</w:t>
            </w:r>
          </w:p>
        </w:tc>
        <w:tc>
          <w:tcPr>
            <w:tcW w:w="1260" w:type="dxa"/>
            <w:vAlign w:val="center"/>
          </w:tcPr>
          <w:p w:rsidR="00000000" w:rsidRDefault="002F7312">
            <w:pPr>
              <w:jc w:val="center"/>
              <w:rPr>
                <w:rFonts w:ascii="Arial" w:hAnsi="Arial"/>
              </w:rPr>
            </w:pPr>
            <w:r>
              <w:rPr>
                <w:rFonts w:ascii="Arial" w:hAnsi="Arial"/>
              </w:rPr>
              <w:t>4.0</w:t>
            </w:r>
          </w:p>
        </w:tc>
        <w:tc>
          <w:tcPr>
            <w:tcW w:w="1080" w:type="dxa"/>
            <w:vAlign w:val="center"/>
          </w:tcPr>
          <w:p w:rsidR="00000000" w:rsidRDefault="002F7312">
            <w:pPr>
              <w:jc w:val="center"/>
              <w:rPr>
                <w:rFonts w:ascii="Arial" w:hAnsi="Arial"/>
              </w:rPr>
            </w:pPr>
            <w:r>
              <w:rPr>
                <w:rFonts w:ascii="Arial" w:hAnsi="Arial"/>
              </w:rPr>
              <w:t>3.6</w:t>
            </w:r>
          </w:p>
        </w:tc>
        <w:tc>
          <w:tcPr>
            <w:tcW w:w="1260" w:type="dxa"/>
            <w:vAlign w:val="center"/>
          </w:tcPr>
          <w:p w:rsidR="00000000" w:rsidRDefault="002F7312">
            <w:pPr>
              <w:jc w:val="center"/>
              <w:rPr>
                <w:rFonts w:ascii="Arial" w:hAnsi="Arial"/>
              </w:rPr>
            </w:pPr>
            <w:r>
              <w:rPr>
                <w:rFonts w:ascii="Arial" w:hAnsi="Arial"/>
              </w:rPr>
              <w:t>6.0</w:t>
            </w:r>
          </w:p>
        </w:tc>
        <w:tc>
          <w:tcPr>
            <w:tcW w:w="1080" w:type="dxa"/>
            <w:vAlign w:val="center"/>
          </w:tcPr>
          <w:p w:rsidR="00000000" w:rsidRDefault="002F7312">
            <w:pPr>
              <w:jc w:val="center"/>
              <w:rPr>
                <w:rFonts w:ascii="Arial" w:hAnsi="Arial"/>
              </w:rPr>
            </w:pPr>
            <w:r>
              <w:rPr>
                <w:rFonts w:ascii="Arial" w:hAnsi="Arial"/>
              </w:rPr>
              <w:t>7.0</w:t>
            </w:r>
          </w:p>
        </w:tc>
        <w:tc>
          <w:tcPr>
            <w:tcW w:w="1080" w:type="dxa"/>
            <w:vAlign w:val="center"/>
          </w:tcPr>
          <w:p w:rsidR="00000000" w:rsidRDefault="002F7312">
            <w:pPr>
              <w:jc w:val="center"/>
              <w:rPr>
                <w:rFonts w:ascii="Arial" w:hAnsi="Arial"/>
              </w:rPr>
            </w:pPr>
            <w:r>
              <w:rPr>
                <w:rFonts w:ascii="Arial" w:hAnsi="Arial"/>
              </w:rPr>
              <w:t>6.7</w:t>
            </w:r>
          </w:p>
        </w:tc>
        <w:tc>
          <w:tcPr>
            <w:tcW w:w="1080" w:type="dxa"/>
            <w:vAlign w:val="center"/>
          </w:tcPr>
          <w:p w:rsidR="00000000" w:rsidRDefault="002F7312">
            <w:pPr>
              <w:jc w:val="center"/>
              <w:rPr>
                <w:rFonts w:ascii="Arial" w:hAnsi="Arial"/>
              </w:rPr>
            </w:pPr>
            <w:r>
              <w:rPr>
                <w:rFonts w:ascii="Arial" w:hAnsi="Arial"/>
              </w:rPr>
              <w:t>9.6</w:t>
            </w:r>
          </w:p>
        </w:tc>
        <w:tc>
          <w:tcPr>
            <w:tcW w:w="1260" w:type="dxa"/>
            <w:vAlign w:val="center"/>
          </w:tcPr>
          <w:p w:rsidR="00000000" w:rsidRDefault="002F7312">
            <w:pPr>
              <w:jc w:val="center"/>
              <w:rPr>
                <w:rFonts w:ascii="Arial" w:hAnsi="Arial"/>
              </w:rPr>
            </w:pPr>
            <w:r>
              <w:rPr>
                <w:rFonts w:ascii="Arial" w:hAnsi="Arial"/>
              </w:rPr>
              <w:t>5.75</w:t>
            </w:r>
          </w:p>
        </w:tc>
      </w:tr>
      <w:tr w:rsidR="00000000">
        <w:tblPrEx>
          <w:tblCellMar>
            <w:top w:w="0" w:type="dxa"/>
            <w:bottom w:w="0" w:type="dxa"/>
          </w:tblCellMar>
        </w:tblPrEx>
        <w:tc>
          <w:tcPr>
            <w:tcW w:w="1548" w:type="dxa"/>
          </w:tcPr>
          <w:p w:rsidR="00000000" w:rsidRDefault="002F7312">
            <w:pPr>
              <w:rPr>
                <w:rFonts w:ascii="Arial" w:hAnsi="Arial"/>
                <w:b/>
              </w:rPr>
            </w:pPr>
            <w:r>
              <w:rPr>
                <w:rFonts w:ascii="Arial" w:hAnsi="Arial"/>
                <w:b/>
              </w:rPr>
              <w:t>% Time</w:t>
            </w:r>
          </w:p>
          <w:p w:rsidR="00000000" w:rsidRDefault="002F7312">
            <w:pPr>
              <w:rPr>
                <w:rFonts w:ascii="Arial" w:hAnsi="Arial"/>
                <w:b/>
              </w:rPr>
            </w:pPr>
            <w:r>
              <w:rPr>
                <w:rFonts w:ascii="Arial" w:hAnsi="Arial"/>
                <w:b/>
              </w:rPr>
              <w:t>at Idle</w:t>
            </w:r>
          </w:p>
        </w:tc>
        <w:tc>
          <w:tcPr>
            <w:tcW w:w="1260" w:type="dxa"/>
            <w:vAlign w:val="center"/>
          </w:tcPr>
          <w:p w:rsidR="00000000" w:rsidRDefault="002F7312">
            <w:pPr>
              <w:jc w:val="center"/>
              <w:rPr>
                <w:rFonts w:ascii="Arial" w:hAnsi="Arial"/>
              </w:rPr>
            </w:pPr>
            <w:r>
              <w:rPr>
                <w:rFonts w:ascii="Arial" w:hAnsi="Arial"/>
              </w:rPr>
              <w:t>19</w:t>
            </w:r>
          </w:p>
        </w:tc>
        <w:tc>
          <w:tcPr>
            <w:tcW w:w="1080" w:type="dxa"/>
            <w:vAlign w:val="center"/>
          </w:tcPr>
          <w:p w:rsidR="00000000" w:rsidRDefault="002F7312">
            <w:pPr>
              <w:jc w:val="center"/>
              <w:rPr>
                <w:rFonts w:ascii="Arial" w:hAnsi="Arial"/>
              </w:rPr>
            </w:pPr>
            <w:r>
              <w:rPr>
                <w:rFonts w:ascii="Arial" w:hAnsi="Arial"/>
              </w:rPr>
              <w:t>31</w:t>
            </w:r>
          </w:p>
        </w:tc>
        <w:tc>
          <w:tcPr>
            <w:tcW w:w="1260" w:type="dxa"/>
            <w:vAlign w:val="center"/>
          </w:tcPr>
          <w:p w:rsidR="00000000" w:rsidRDefault="002F7312">
            <w:pPr>
              <w:jc w:val="center"/>
              <w:rPr>
                <w:rFonts w:ascii="Arial" w:hAnsi="Arial"/>
              </w:rPr>
            </w:pPr>
            <w:r>
              <w:rPr>
                <w:rFonts w:ascii="Arial" w:hAnsi="Arial"/>
              </w:rPr>
              <w:t>31</w:t>
            </w:r>
          </w:p>
        </w:tc>
        <w:tc>
          <w:tcPr>
            <w:tcW w:w="1080" w:type="dxa"/>
            <w:vAlign w:val="center"/>
          </w:tcPr>
          <w:p w:rsidR="00000000" w:rsidRDefault="002F7312">
            <w:pPr>
              <w:jc w:val="center"/>
              <w:rPr>
                <w:rFonts w:ascii="Arial" w:hAnsi="Arial"/>
              </w:rPr>
            </w:pPr>
            <w:r>
              <w:rPr>
                <w:rFonts w:ascii="Arial" w:hAnsi="Arial"/>
              </w:rPr>
              <w:t>31</w:t>
            </w:r>
          </w:p>
        </w:tc>
        <w:tc>
          <w:tcPr>
            <w:tcW w:w="1080" w:type="dxa"/>
            <w:vAlign w:val="center"/>
          </w:tcPr>
          <w:p w:rsidR="00000000" w:rsidRDefault="002F7312">
            <w:pPr>
              <w:jc w:val="center"/>
              <w:rPr>
                <w:rFonts w:ascii="Arial" w:hAnsi="Arial"/>
              </w:rPr>
            </w:pPr>
            <w:r>
              <w:rPr>
                <w:rFonts w:ascii="Arial" w:hAnsi="Arial"/>
              </w:rPr>
              <w:t>19</w:t>
            </w:r>
          </w:p>
        </w:tc>
        <w:tc>
          <w:tcPr>
            <w:tcW w:w="1080" w:type="dxa"/>
            <w:vAlign w:val="center"/>
          </w:tcPr>
          <w:p w:rsidR="00000000" w:rsidRDefault="002F7312">
            <w:pPr>
              <w:jc w:val="center"/>
              <w:rPr>
                <w:rFonts w:ascii="Arial" w:hAnsi="Arial"/>
              </w:rPr>
            </w:pPr>
            <w:r>
              <w:rPr>
                <w:rFonts w:ascii="Arial" w:hAnsi="Arial"/>
              </w:rPr>
              <w:t>22</w:t>
            </w:r>
          </w:p>
        </w:tc>
        <w:tc>
          <w:tcPr>
            <w:tcW w:w="1260" w:type="dxa"/>
            <w:vAlign w:val="center"/>
          </w:tcPr>
          <w:p w:rsidR="00000000" w:rsidRDefault="002F7312">
            <w:pPr>
              <w:jc w:val="center"/>
              <w:rPr>
                <w:rFonts w:ascii="Arial" w:hAnsi="Arial"/>
              </w:rPr>
            </w:pPr>
            <w:r>
              <w:rPr>
                <w:rFonts w:ascii="Arial" w:hAnsi="Arial"/>
              </w:rPr>
              <w:t>26.5</w:t>
            </w:r>
          </w:p>
        </w:tc>
      </w:tr>
      <w:tr w:rsidR="00000000">
        <w:tblPrEx>
          <w:tblCellMar>
            <w:top w:w="0" w:type="dxa"/>
            <w:bottom w:w="0" w:type="dxa"/>
          </w:tblCellMar>
        </w:tblPrEx>
        <w:tc>
          <w:tcPr>
            <w:tcW w:w="1548" w:type="dxa"/>
          </w:tcPr>
          <w:p w:rsidR="00000000" w:rsidRDefault="002F7312">
            <w:pPr>
              <w:rPr>
                <w:rFonts w:ascii="Arial" w:hAnsi="Arial"/>
                <w:b/>
              </w:rPr>
            </w:pPr>
            <w:r>
              <w:rPr>
                <w:rFonts w:ascii="Arial" w:hAnsi="Arial"/>
                <w:b/>
              </w:rPr>
              <w:t>Idle in mi</w:t>
            </w:r>
            <w:r>
              <w:rPr>
                <w:rFonts w:ascii="Arial" w:hAnsi="Arial"/>
                <w:b/>
              </w:rPr>
              <w:t>ns</w:t>
            </w:r>
          </w:p>
          <w:p w:rsidR="00000000" w:rsidRDefault="002F7312">
            <w:pPr>
              <w:rPr>
                <w:rFonts w:ascii="Arial" w:hAnsi="Arial"/>
                <w:b/>
              </w:rPr>
            </w:pPr>
            <w:r>
              <w:rPr>
                <w:rFonts w:ascii="Arial" w:hAnsi="Arial"/>
                <w:b/>
              </w:rPr>
              <w:t>per Stop</w:t>
            </w:r>
          </w:p>
        </w:tc>
        <w:tc>
          <w:tcPr>
            <w:tcW w:w="1260" w:type="dxa"/>
            <w:vAlign w:val="center"/>
          </w:tcPr>
          <w:p w:rsidR="00000000" w:rsidRDefault="002F7312">
            <w:pPr>
              <w:jc w:val="center"/>
              <w:rPr>
                <w:rFonts w:ascii="Arial" w:hAnsi="Arial"/>
              </w:rPr>
            </w:pPr>
            <w:r>
              <w:rPr>
                <w:rFonts w:ascii="Arial" w:hAnsi="Arial"/>
              </w:rPr>
              <w:t>1.40</w:t>
            </w:r>
          </w:p>
        </w:tc>
        <w:tc>
          <w:tcPr>
            <w:tcW w:w="1080" w:type="dxa"/>
            <w:vAlign w:val="center"/>
          </w:tcPr>
          <w:p w:rsidR="00000000" w:rsidRDefault="002F7312">
            <w:pPr>
              <w:jc w:val="center"/>
              <w:rPr>
                <w:rFonts w:ascii="Arial" w:hAnsi="Arial"/>
              </w:rPr>
            </w:pPr>
            <w:r>
              <w:rPr>
                <w:rFonts w:ascii="Arial" w:hAnsi="Arial"/>
              </w:rPr>
              <w:t>2.36</w:t>
            </w:r>
          </w:p>
        </w:tc>
        <w:tc>
          <w:tcPr>
            <w:tcW w:w="1260" w:type="dxa"/>
            <w:vAlign w:val="center"/>
          </w:tcPr>
          <w:p w:rsidR="00000000" w:rsidRDefault="002F7312">
            <w:pPr>
              <w:jc w:val="center"/>
              <w:rPr>
                <w:rFonts w:ascii="Arial" w:hAnsi="Arial"/>
              </w:rPr>
            </w:pPr>
            <w:r>
              <w:rPr>
                <w:rFonts w:ascii="Arial" w:hAnsi="Arial"/>
              </w:rPr>
              <w:t>1.32</w:t>
            </w:r>
          </w:p>
        </w:tc>
        <w:tc>
          <w:tcPr>
            <w:tcW w:w="1080" w:type="dxa"/>
            <w:vAlign w:val="center"/>
          </w:tcPr>
          <w:p w:rsidR="00000000" w:rsidRDefault="002F7312">
            <w:pPr>
              <w:jc w:val="center"/>
              <w:rPr>
                <w:rFonts w:ascii="Arial" w:hAnsi="Arial"/>
              </w:rPr>
            </w:pPr>
            <w:r>
              <w:rPr>
                <w:rFonts w:ascii="Arial" w:hAnsi="Arial"/>
              </w:rPr>
              <w:t>1.15</w:t>
            </w:r>
          </w:p>
        </w:tc>
        <w:tc>
          <w:tcPr>
            <w:tcW w:w="1080" w:type="dxa"/>
            <w:vAlign w:val="center"/>
          </w:tcPr>
          <w:p w:rsidR="00000000" w:rsidRDefault="002F7312">
            <w:pPr>
              <w:jc w:val="center"/>
              <w:rPr>
                <w:rFonts w:ascii="Arial" w:hAnsi="Arial"/>
              </w:rPr>
            </w:pPr>
            <w:r>
              <w:rPr>
                <w:rFonts w:ascii="Arial" w:hAnsi="Arial"/>
              </w:rPr>
              <w:t>0.72</w:t>
            </w:r>
          </w:p>
        </w:tc>
        <w:tc>
          <w:tcPr>
            <w:tcW w:w="1080" w:type="dxa"/>
            <w:vAlign w:val="center"/>
          </w:tcPr>
          <w:p w:rsidR="00000000" w:rsidRDefault="002F7312">
            <w:pPr>
              <w:jc w:val="center"/>
              <w:rPr>
                <w:rFonts w:ascii="Arial" w:hAnsi="Arial"/>
              </w:rPr>
            </w:pPr>
            <w:r>
              <w:rPr>
                <w:rFonts w:ascii="Arial" w:hAnsi="Arial"/>
              </w:rPr>
              <w:t>0.64</w:t>
            </w:r>
          </w:p>
        </w:tc>
        <w:tc>
          <w:tcPr>
            <w:tcW w:w="1260" w:type="dxa"/>
            <w:vAlign w:val="center"/>
          </w:tcPr>
          <w:p w:rsidR="00000000" w:rsidRDefault="002F7312">
            <w:pPr>
              <w:jc w:val="center"/>
              <w:rPr>
                <w:rFonts w:ascii="Arial" w:hAnsi="Arial"/>
              </w:rPr>
            </w:pPr>
            <w:r>
              <w:rPr>
                <w:rFonts w:ascii="Arial" w:hAnsi="Arial"/>
              </w:rPr>
              <w:t>1.38</w:t>
            </w:r>
          </w:p>
        </w:tc>
      </w:tr>
    </w:tbl>
    <w:p w:rsidR="00000000" w:rsidRDefault="002F7312">
      <w:pPr>
        <w:rPr>
          <w:rFonts w:ascii="Arial" w:hAnsi="Arial"/>
        </w:rPr>
      </w:pPr>
    </w:p>
    <w:p w:rsidR="00000000" w:rsidRDefault="002F7312">
      <w:pPr>
        <w:rPr>
          <w:rFonts w:ascii="Arial" w:hAnsi="Arial"/>
          <w:b/>
        </w:rPr>
      </w:pPr>
      <w:r>
        <w:rPr>
          <w:rFonts w:ascii="Arial" w:hAnsi="Arial"/>
          <w:b/>
        </w:rPr>
        <w:t>Example of Weighting Methodology:</w:t>
      </w:r>
    </w:p>
    <w:p w:rsidR="00000000" w:rsidRDefault="002F7312">
      <w:pPr>
        <w:rPr>
          <w:rFonts w:ascii="Arial" w:hAnsi="Arial"/>
        </w:rPr>
      </w:pPr>
      <w:r>
        <w:rPr>
          <w:rFonts w:ascii="Arial" w:hAnsi="Arial"/>
        </w:rPr>
        <w:t>Stops/Route = 14routes*4stops+14routes*3.6stops+14routes*6stops+14routes*7stops+7routes*6.7stops+7routes*9.6stops / 14+14+14+14+7+7routes = 5.75 stops/route</w:t>
      </w:r>
    </w:p>
    <w:p w:rsidR="00000000" w:rsidRDefault="002F7312">
      <w:pPr>
        <w:rPr>
          <w:rFonts w:ascii="Arial" w:hAnsi="Arial"/>
        </w:rPr>
      </w:pPr>
    </w:p>
    <w:p w:rsidR="00000000" w:rsidRDefault="002F7312">
      <w:pPr>
        <w:rPr>
          <w:rFonts w:ascii="Arial" w:hAnsi="Arial"/>
        </w:rPr>
      </w:pPr>
      <w:r>
        <w:rPr>
          <w:rFonts w:ascii="Arial" w:hAnsi="Arial"/>
        </w:rPr>
        <w:t>Although not ex</w:t>
      </w:r>
      <w:r>
        <w:rPr>
          <w:rFonts w:ascii="Arial" w:hAnsi="Arial"/>
        </w:rPr>
        <w:t>pressly covered in the report, it is reasonable to assume that school buses experience other idling events.  These events include initial warm up of the engine and daily safety inspection, early bus waiting, idling at stoplights and in traffic, and loading</w:t>
      </w:r>
      <w:r>
        <w:rPr>
          <w:rFonts w:ascii="Arial" w:hAnsi="Arial"/>
        </w:rPr>
        <w:t xml:space="preserve"> and unloading passengers at school. Therefore, staff suggests doubling the estimate of idling.  The resulting estimate is 32 minutes of idle per bus per day.  This is consistent with the Air Resources Board’s Risk Management Plan for Diesel Fueled Engines</w:t>
      </w:r>
      <w:r>
        <w:rPr>
          <w:rFonts w:ascii="Arial" w:hAnsi="Arial"/>
        </w:rPr>
        <w:t xml:space="preserve"> and Vehicles where it is stated that school buses were observed to idle between four and forty minutes per day.</w:t>
      </w:r>
    </w:p>
    <w:p w:rsidR="00000000" w:rsidRDefault="002F7312">
      <w:pPr>
        <w:rPr>
          <w:rFonts w:ascii="Arial" w:hAnsi="Arial"/>
        </w:rPr>
      </w:pPr>
    </w:p>
    <w:p w:rsidR="00000000" w:rsidRDefault="002F7312">
      <w:pPr>
        <w:rPr>
          <w:rFonts w:ascii="Arial" w:hAnsi="Arial"/>
        </w:rPr>
      </w:pPr>
      <w:r>
        <w:rPr>
          <w:rFonts w:ascii="Arial" w:hAnsi="Arial"/>
        </w:rPr>
        <w:t>In summary, total idle time per day is calculated as follows:</w:t>
      </w:r>
    </w:p>
    <w:p w:rsidR="00000000" w:rsidRDefault="002F7312">
      <w:pPr>
        <w:rPr>
          <w:rFonts w:ascii="Arial" w:hAnsi="Arial"/>
        </w:rPr>
      </w:pPr>
    </w:p>
    <w:p w:rsidR="00000000" w:rsidRDefault="002F7312">
      <w:pPr>
        <w:rPr>
          <w:rFonts w:ascii="Arial" w:hAnsi="Arial"/>
        </w:rPr>
      </w:pPr>
      <w:r>
        <w:rPr>
          <w:rFonts w:ascii="Arial" w:hAnsi="Arial"/>
        </w:rPr>
        <w:t xml:space="preserve">Pick </w:t>
      </w:r>
      <w:proofErr w:type="gramStart"/>
      <w:r>
        <w:rPr>
          <w:rFonts w:ascii="Arial" w:hAnsi="Arial"/>
        </w:rPr>
        <w:t>Up</w:t>
      </w:r>
      <w:proofErr w:type="gramEnd"/>
      <w:r>
        <w:rPr>
          <w:rFonts w:ascii="Arial" w:hAnsi="Arial"/>
        </w:rPr>
        <w:t xml:space="preserve"> Students 1.38 min. idle per stop*5.75 stops per route = 7.94 min. idle </w:t>
      </w:r>
      <w:r>
        <w:rPr>
          <w:rFonts w:ascii="Arial" w:hAnsi="Arial"/>
        </w:rPr>
        <w:t>per morning route</w:t>
      </w:r>
    </w:p>
    <w:p w:rsidR="00000000" w:rsidRDefault="002F7312">
      <w:pPr>
        <w:rPr>
          <w:rFonts w:ascii="Arial" w:hAnsi="Arial"/>
        </w:rPr>
      </w:pPr>
      <w:r>
        <w:rPr>
          <w:rFonts w:ascii="Arial" w:hAnsi="Arial"/>
        </w:rPr>
        <w:t xml:space="preserve">Drop </w:t>
      </w:r>
      <w:proofErr w:type="gramStart"/>
      <w:r>
        <w:rPr>
          <w:rFonts w:ascii="Arial" w:hAnsi="Arial"/>
        </w:rPr>
        <w:t>Off</w:t>
      </w:r>
      <w:proofErr w:type="gramEnd"/>
      <w:r>
        <w:rPr>
          <w:rFonts w:ascii="Arial" w:hAnsi="Arial"/>
        </w:rPr>
        <w:t xml:space="preserve"> Students 1.38 min. idle per stop*5.75 stops per route = 7.94 min. idle per afternoon route</w:t>
      </w:r>
    </w:p>
    <w:p w:rsidR="00000000" w:rsidRDefault="002F7312">
      <w:pPr>
        <w:rPr>
          <w:rFonts w:ascii="Arial" w:hAnsi="Arial"/>
        </w:rPr>
      </w:pPr>
      <w:r>
        <w:rPr>
          <w:rFonts w:ascii="Arial" w:hAnsi="Arial"/>
        </w:rPr>
        <w:t>An additional 15.88 minutes per day for “other idle” events</w:t>
      </w:r>
    </w:p>
    <w:p w:rsidR="00000000" w:rsidRDefault="002F7312">
      <w:pPr>
        <w:rPr>
          <w:rFonts w:ascii="Arial" w:hAnsi="Arial"/>
        </w:rPr>
      </w:pPr>
    </w:p>
    <w:p w:rsidR="00000000" w:rsidRDefault="002F7312">
      <w:pPr>
        <w:pStyle w:val="Heading3"/>
      </w:pPr>
      <w:r>
        <w:t>Total Idle time per day = 31.76 minutes per day</w:t>
      </w:r>
    </w:p>
    <w:p w:rsidR="00000000" w:rsidRDefault="002F7312">
      <w:pPr>
        <w:rPr>
          <w:rFonts w:ascii="Arial" w:hAnsi="Arial"/>
        </w:rPr>
      </w:pPr>
    </w:p>
    <w:p w:rsidR="00000000" w:rsidRDefault="002F7312">
      <w:pPr>
        <w:rPr>
          <w:rFonts w:ascii="Arial" w:hAnsi="Arial"/>
        </w:rPr>
      </w:pPr>
    </w:p>
    <w:p w:rsidR="00000000" w:rsidRDefault="002F7312">
      <w:pPr>
        <w:pStyle w:val="Heading1"/>
        <w:rPr>
          <w:rFonts w:ascii="Arial" w:hAnsi="Arial"/>
        </w:rPr>
      </w:pPr>
      <w:r>
        <w:rPr>
          <w:rFonts w:ascii="Arial" w:hAnsi="Arial"/>
        </w:rPr>
        <w:t>Methodology Revised for Sch</w:t>
      </w:r>
      <w:r>
        <w:rPr>
          <w:rFonts w:ascii="Arial" w:hAnsi="Arial"/>
        </w:rPr>
        <w:t>ool Buses</w:t>
      </w:r>
    </w:p>
    <w:p w:rsidR="00000000" w:rsidRDefault="002F7312">
      <w:pPr>
        <w:rPr>
          <w:rFonts w:ascii="Arial" w:hAnsi="Arial"/>
        </w:rPr>
      </w:pPr>
    </w:p>
    <w:p w:rsidR="00000000" w:rsidRDefault="002F7312">
      <w:pPr>
        <w:rPr>
          <w:rFonts w:ascii="Arial" w:hAnsi="Arial"/>
        </w:rPr>
      </w:pPr>
      <w:r>
        <w:rPr>
          <w:rFonts w:ascii="Arial" w:hAnsi="Arial"/>
        </w:rPr>
        <w:t xml:space="preserve">We recommend that EMFAC be modified to incorporate idle activity for both gasoline and diesel school buses. </w:t>
      </w:r>
    </w:p>
    <w:p w:rsidR="00000000" w:rsidRDefault="002F7312">
      <w:pPr>
        <w:rPr>
          <w:rFonts w:ascii="Arial" w:hAnsi="Arial"/>
        </w:rPr>
      </w:pPr>
    </w:p>
    <w:p w:rsidR="00000000" w:rsidRDefault="002F7312">
      <w:pPr>
        <w:pStyle w:val="Heading1"/>
        <w:rPr>
          <w:rFonts w:ascii="Arial" w:hAnsi="Arial"/>
        </w:rPr>
      </w:pPr>
      <w:r>
        <w:rPr>
          <w:rFonts w:ascii="Arial" w:hAnsi="Arial"/>
        </w:rPr>
        <w:t>Total Idle Time</w:t>
      </w:r>
    </w:p>
    <w:p w:rsidR="00000000" w:rsidRDefault="002F7312">
      <w:pPr>
        <w:rPr>
          <w:rFonts w:ascii="Arial" w:hAnsi="Arial"/>
        </w:rPr>
      </w:pPr>
    </w:p>
    <w:p w:rsidR="00000000" w:rsidRDefault="002F7312">
      <w:pPr>
        <w:rPr>
          <w:rFonts w:ascii="Arial" w:hAnsi="Arial"/>
        </w:rPr>
      </w:pPr>
      <w:r>
        <w:rPr>
          <w:rFonts w:ascii="Arial" w:hAnsi="Arial"/>
        </w:rPr>
        <w:t>Buses are currently assumed to make four trips per vehicle per day.  As stated earlier, EMFAC currently has no estimat</w:t>
      </w:r>
      <w:r>
        <w:rPr>
          <w:rFonts w:ascii="Arial" w:hAnsi="Arial"/>
        </w:rPr>
        <w:t>e for school bus idle. Staff suggests that all trips (100%) be assumed to have 7.94 minutes of idle (31.76 min / 4.0 trips).</w:t>
      </w:r>
    </w:p>
    <w:p w:rsidR="00000000" w:rsidRDefault="002F7312">
      <w:pPr>
        <w:rPr>
          <w:rFonts w:ascii="Arial" w:hAnsi="Arial"/>
        </w:rPr>
      </w:pPr>
    </w:p>
    <w:p w:rsidR="00000000" w:rsidRDefault="002F7312">
      <w:pPr>
        <w:rPr>
          <w:rFonts w:ascii="Arial" w:hAnsi="Arial"/>
        </w:rPr>
      </w:pPr>
      <w:r>
        <w:rPr>
          <w:rFonts w:ascii="Arial" w:hAnsi="Arial"/>
        </w:rPr>
        <w:t xml:space="preserve">In EMFAC, idle activity is tracked by the duration of the event.  This matrix is structured by minute from 1 to 5 minutes, and by </w:t>
      </w:r>
      <w:r>
        <w:rPr>
          <w:rFonts w:ascii="Arial" w:hAnsi="Arial"/>
        </w:rPr>
        <w:t>five minutes intervals up to one hour.  Therefore, no 7.95 minute idle interval exists within the model.  To properly assign idle to each trip, a 41%, 59% split between the 5 min. and 10 min. should be assumed for each trip (5min*0.41+10min*0.59 = 7.95 min</w:t>
      </w:r>
      <w:r>
        <w:rPr>
          <w:rFonts w:ascii="Arial" w:hAnsi="Arial"/>
        </w:rPr>
        <w:t>.).</w:t>
      </w:r>
    </w:p>
    <w:p w:rsidR="00000000" w:rsidRDefault="002F7312">
      <w:pPr>
        <w:rPr>
          <w:rFonts w:ascii="Arial" w:hAnsi="Arial"/>
        </w:rPr>
      </w:pPr>
    </w:p>
    <w:p w:rsidR="00000000" w:rsidRDefault="002F7312">
      <w:pPr>
        <w:rPr>
          <w:rFonts w:ascii="Arial" w:hAnsi="Arial"/>
        </w:rPr>
      </w:pPr>
    </w:p>
    <w:p w:rsidR="00000000" w:rsidRDefault="002F7312">
      <w:pPr>
        <w:rPr>
          <w:rFonts w:ascii="Arial" w:hAnsi="Arial"/>
        </w:rPr>
      </w:pPr>
    </w:p>
    <w:p w:rsidR="00000000" w:rsidRDefault="002F7312">
      <w:pPr>
        <w:rPr>
          <w:rFonts w:ascii="Arial" w:hAnsi="Arial"/>
        </w:rPr>
      </w:pPr>
    </w:p>
    <w:p w:rsidR="00000000" w:rsidRDefault="002F7312">
      <w:pPr>
        <w:rPr>
          <w:rFonts w:ascii="Arial" w:hAnsi="Arial"/>
        </w:rPr>
      </w:pPr>
    </w:p>
    <w:p w:rsidR="00000000" w:rsidRDefault="002F7312">
      <w:pPr>
        <w:rPr>
          <w:rFonts w:ascii="Arial" w:hAnsi="Arial"/>
        </w:rPr>
      </w:pPr>
    </w:p>
    <w:p w:rsidR="00000000" w:rsidRDefault="002F7312">
      <w:pPr>
        <w:rPr>
          <w:rFonts w:ascii="Arial" w:hAnsi="Arial"/>
        </w:rPr>
      </w:pPr>
    </w:p>
    <w:p w:rsidR="00000000" w:rsidRDefault="002F7312">
      <w:pPr>
        <w:rPr>
          <w:rFonts w:ascii="Arial" w:hAnsi="Arial"/>
        </w:rPr>
      </w:pPr>
    </w:p>
    <w:p w:rsidR="00000000" w:rsidRDefault="002F7312">
      <w:pPr>
        <w:rPr>
          <w:rFonts w:ascii="Arial" w:hAnsi="Arial"/>
        </w:rPr>
      </w:pPr>
    </w:p>
    <w:p w:rsidR="00000000" w:rsidRDefault="002F7312">
      <w:pPr>
        <w:pStyle w:val="Heading1"/>
        <w:rPr>
          <w:rFonts w:ascii="Arial" w:hAnsi="Arial"/>
        </w:rPr>
      </w:pPr>
      <w:r>
        <w:rPr>
          <w:rFonts w:ascii="Arial" w:hAnsi="Arial"/>
        </w:rPr>
        <w:lastRenderedPageBreak/>
        <w:t>Emissions Impact</w:t>
      </w:r>
    </w:p>
    <w:p w:rsidR="00000000" w:rsidRDefault="002F7312">
      <w:pPr>
        <w:rPr>
          <w:rFonts w:ascii="Arial" w:hAnsi="Arial"/>
          <w:b/>
          <w:u w:val="single"/>
        </w:rPr>
      </w:pPr>
    </w:p>
    <w:p w:rsidR="00000000" w:rsidRDefault="002F7312">
      <w:pPr>
        <w:rPr>
          <w:rFonts w:ascii="Arial" w:hAnsi="Arial"/>
        </w:rPr>
      </w:pPr>
      <w:r>
        <w:rPr>
          <w:rFonts w:ascii="Arial" w:hAnsi="Arial"/>
        </w:rPr>
        <w:t>Table 2 below shows the increase in statewide emissions due to the addition of adding idle for school buses, statewide in 2002.</w:t>
      </w:r>
    </w:p>
    <w:p w:rsidR="00000000" w:rsidRDefault="002F7312">
      <w:pPr>
        <w:rPr>
          <w:rFonts w:ascii="Arial" w:hAnsi="Arial"/>
        </w:rPr>
      </w:pPr>
    </w:p>
    <w:p w:rsidR="00000000" w:rsidRDefault="002F7312">
      <w:pPr>
        <w:jc w:val="center"/>
        <w:rPr>
          <w:rFonts w:ascii="Arial" w:hAnsi="Arial"/>
          <w:b/>
        </w:rPr>
      </w:pPr>
      <w:r>
        <w:rPr>
          <w:rFonts w:ascii="Arial" w:hAnsi="Arial"/>
          <w:b/>
        </w:rPr>
        <w:t>Table 2.</w:t>
      </w:r>
    </w:p>
    <w:p w:rsidR="00000000" w:rsidRDefault="002F7312">
      <w:pPr>
        <w:pStyle w:val="Heading2"/>
        <w:rPr>
          <w:rFonts w:ascii="Arial" w:hAnsi="Arial"/>
        </w:rPr>
      </w:pPr>
      <w:r>
        <w:rPr>
          <w:rFonts w:ascii="Arial" w:hAnsi="Arial"/>
        </w:rPr>
        <w:t>Estimated Emissions Impact</w:t>
      </w:r>
    </w:p>
    <w:p w:rsidR="00000000" w:rsidRDefault="002F7312">
      <w:pPr>
        <w:jc w:val="cente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952"/>
      </w:tblGrid>
      <w:tr w:rsidR="00000000">
        <w:tblPrEx>
          <w:tblCellMar>
            <w:top w:w="0" w:type="dxa"/>
            <w:bottom w:w="0" w:type="dxa"/>
          </w:tblCellMar>
        </w:tblPrEx>
        <w:tc>
          <w:tcPr>
            <w:tcW w:w="2952" w:type="dxa"/>
          </w:tcPr>
          <w:p w:rsidR="00000000" w:rsidRDefault="002F7312">
            <w:pPr>
              <w:jc w:val="center"/>
              <w:rPr>
                <w:rFonts w:ascii="Arial" w:hAnsi="Arial"/>
                <w:b/>
              </w:rPr>
            </w:pPr>
          </w:p>
        </w:tc>
        <w:tc>
          <w:tcPr>
            <w:tcW w:w="2952" w:type="dxa"/>
          </w:tcPr>
          <w:p w:rsidR="00000000" w:rsidRDefault="002F7312">
            <w:pPr>
              <w:jc w:val="center"/>
              <w:rPr>
                <w:rFonts w:ascii="Arial" w:hAnsi="Arial"/>
                <w:b/>
              </w:rPr>
            </w:pPr>
            <w:r>
              <w:rPr>
                <w:rFonts w:ascii="Arial" w:hAnsi="Arial"/>
                <w:b/>
              </w:rPr>
              <w:t>Gasoline School Buses</w:t>
            </w:r>
          </w:p>
        </w:tc>
        <w:tc>
          <w:tcPr>
            <w:tcW w:w="2952" w:type="dxa"/>
          </w:tcPr>
          <w:p w:rsidR="00000000" w:rsidRDefault="002F7312">
            <w:pPr>
              <w:jc w:val="center"/>
              <w:rPr>
                <w:rFonts w:ascii="Arial" w:hAnsi="Arial"/>
                <w:b/>
              </w:rPr>
            </w:pPr>
            <w:r>
              <w:rPr>
                <w:rFonts w:ascii="Arial" w:hAnsi="Arial"/>
                <w:b/>
              </w:rPr>
              <w:t>Diesel School Buses</w:t>
            </w:r>
          </w:p>
        </w:tc>
      </w:tr>
      <w:tr w:rsidR="00000000">
        <w:tblPrEx>
          <w:tblCellMar>
            <w:top w:w="0" w:type="dxa"/>
            <w:bottom w:w="0" w:type="dxa"/>
          </w:tblCellMar>
        </w:tblPrEx>
        <w:tc>
          <w:tcPr>
            <w:tcW w:w="2952" w:type="dxa"/>
          </w:tcPr>
          <w:p w:rsidR="00000000" w:rsidRDefault="002F7312">
            <w:pPr>
              <w:rPr>
                <w:rFonts w:ascii="Arial" w:hAnsi="Arial"/>
                <w:b/>
              </w:rPr>
            </w:pPr>
            <w:r>
              <w:rPr>
                <w:rFonts w:ascii="Arial" w:hAnsi="Arial"/>
                <w:b/>
              </w:rPr>
              <w:t>Vehicles</w:t>
            </w:r>
          </w:p>
        </w:tc>
        <w:tc>
          <w:tcPr>
            <w:tcW w:w="2952" w:type="dxa"/>
          </w:tcPr>
          <w:p w:rsidR="00000000" w:rsidRDefault="002F7312">
            <w:pPr>
              <w:jc w:val="center"/>
              <w:rPr>
                <w:rFonts w:ascii="Arial" w:hAnsi="Arial"/>
              </w:rPr>
            </w:pPr>
            <w:r>
              <w:rPr>
                <w:rFonts w:ascii="Arial" w:hAnsi="Arial"/>
              </w:rPr>
              <w:t>6,633</w:t>
            </w:r>
          </w:p>
        </w:tc>
        <w:tc>
          <w:tcPr>
            <w:tcW w:w="2952" w:type="dxa"/>
          </w:tcPr>
          <w:p w:rsidR="00000000" w:rsidRDefault="002F7312">
            <w:pPr>
              <w:jc w:val="center"/>
              <w:rPr>
                <w:rFonts w:ascii="Arial" w:hAnsi="Arial"/>
              </w:rPr>
            </w:pPr>
            <w:r>
              <w:rPr>
                <w:rFonts w:ascii="Arial" w:hAnsi="Arial"/>
              </w:rPr>
              <w:t>23,233</w:t>
            </w:r>
          </w:p>
        </w:tc>
      </w:tr>
      <w:tr w:rsidR="00000000">
        <w:tblPrEx>
          <w:tblCellMar>
            <w:top w:w="0" w:type="dxa"/>
            <w:bottom w:w="0" w:type="dxa"/>
          </w:tblCellMar>
        </w:tblPrEx>
        <w:tc>
          <w:tcPr>
            <w:tcW w:w="2952" w:type="dxa"/>
          </w:tcPr>
          <w:p w:rsidR="00000000" w:rsidRDefault="002F7312">
            <w:pPr>
              <w:rPr>
                <w:rFonts w:ascii="Arial" w:hAnsi="Arial"/>
                <w:b/>
              </w:rPr>
            </w:pPr>
            <w:r>
              <w:rPr>
                <w:rFonts w:ascii="Arial" w:hAnsi="Arial"/>
                <w:b/>
              </w:rPr>
              <w:t>Trips/Vehicle-Day</w:t>
            </w:r>
          </w:p>
        </w:tc>
        <w:tc>
          <w:tcPr>
            <w:tcW w:w="2952" w:type="dxa"/>
          </w:tcPr>
          <w:p w:rsidR="00000000" w:rsidRDefault="002F7312">
            <w:pPr>
              <w:jc w:val="center"/>
              <w:rPr>
                <w:rFonts w:ascii="Arial" w:hAnsi="Arial"/>
              </w:rPr>
            </w:pPr>
            <w:r>
              <w:rPr>
                <w:rFonts w:ascii="Arial" w:hAnsi="Arial"/>
              </w:rPr>
              <w:t>4</w:t>
            </w:r>
          </w:p>
        </w:tc>
        <w:tc>
          <w:tcPr>
            <w:tcW w:w="2952" w:type="dxa"/>
          </w:tcPr>
          <w:p w:rsidR="00000000" w:rsidRDefault="002F7312">
            <w:pPr>
              <w:jc w:val="center"/>
              <w:rPr>
                <w:rFonts w:ascii="Arial" w:hAnsi="Arial"/>
              </w:rPr>
            </w:pPr>
            <w:r>
              <w:rPr>
                <w:rFonts w:ascii="Arial" w:hAnsi="Arial"/>
              </w:rPr>
              <w:t>4</w:t>
            </w:r>
          </w:p>
        </w:tc>
      </w:tr>
      <w:tr w:rsidR="00000000">
        <w:tblPrEx>
          <w:tblCellMar>
            <w:top w:w="0" w:type="dxa"/>
            <w:bottom w:w="0" w:type="dxa"/>
          </w:tblCellMar>
        </w:tblPrEx>
        <w:tc>
          <w:tcPr>
            <w:tcW w:w="2952" w:type="dxa"/>
          </w:tcPr>
          <w:p w:rsidR="00000000" w:rsidRDefault="002F7312">
            <w:pPr>
              <w:rPr>
                <w:rFonts w:ascii="Arial" w:hAnsi="Arial"/>
                <w:b/>
              </w:rPr>
            </w:pPr>
            <w:r>
              <w:rPr>
                <w:rFonts w:ascii="Arial" w:hAnsi="Arial"/>
                <w:b/>
              </w:rPr>
              <w:t>Minutes of Idle/Trip</w:t>
            </w:r>
          </w:p>
        </w:tc>
        <w:tc>
          <w:tcPr>
            <w:tcW w:w="2952" w:type="dxa"/>
          </w:tcPr>
          <w:p w:rsidR="00000000" w:rsidRDefault="002F7312">
            <w:pPr>
              <w:jc w:val="center"/>
              <w:rPr>
                <w:rFonts w:ascii="Arial" w:hAnsi="Arial"/>
              </w:rPr>
            </w:pPr>
            <w:r>
              <w:rPr>
                <w:rFonts w:ascii="Arial" w:hAnsi="Arial"/>
              </w:rPr>
              <w:t>7.98</w:t>
            </w:r>
          </w:p>
        </w:tc>
        <w:tc>
          <w:tcPr>
            <w:tcW w:w="2952" w:type="dxa"/>
          </w:tcPr>
          <w:p w:rsidR="00000000" w:rsidRDefault="002F7312">
            <w:pPr>
              <w:jc w:val="center"/>
              <w:rPr>
                <w:rFonts w:ascii="Arial" w:hAnsi="Arial"/>
              </w:rPr>
            </w:pPr>
            <w:r>
              <w:rPr>
                <w:rFonts w:ascii="Arial" w:hAnsi="Arial"/>
              </w:rPr>
              <w:t>7.98</w:t>
            </w:r>
          </w:p>
        </w:tc>
      </w:tr>
      <w:tr w:rsidR="00000000">
        <w:tblPrEx>
          <w:tblCellMar>
            <w:top w:w="0" w:type="dxa"/>
            <w:bottom w:w="0" w:type="dxa"/>
          </w:tblCellMar>
        </w:tblPrEx>
        <w:tc>
          <w:tcPr>
            <w:tcW w:w="2952" w:type="dxa"/>
          </w:tcPr>
          <w:p w:rsidR="00000000" w:rsidRDefault="002F7312">
            <w:pPr>
              <w:rPr>
                <w:rFonts w:ascii="Arial" w:hAnsi="Arial"/>
                <w:b/>
              </w:rPr>
            </w:pPr>
            <w:r>
              <w:rPr>
                <w:rFonts w:ascii="Arial" w:hAnsi="Arial"/>
                <w:b/>
              </w:rPr>
              <w:t>*Grams/Minute HC</w:t>
            </w:r>
          </w:p>
        </w:tc>
        <w:tc>
          <w:tcPr>
            <w:tcW w:w="2952" w:type="dxa"/>
          </w:tcPr>
          <w:p w:rsidR="00000000" w:rsidRDefault="002F7312">
            <w:pPr>
              <w:jc w:val="center"/>
              <w:rPr>
                <w:rFonts w:ascii="Arial" w:hAnsi="Arial"/>
              </w:rPr>
            </w:pPr>
            <w:r>
              <w:rPr>
                <w:rFonts w:ascii="Arial" w:hAnsi="Arial"/>
              </w:rPr>
              <w:t>0.45</w:t>
            </w:r>
          </w:p>
        </w:tc>
        <w:tc>
          <w:tcPr>
            <w:tcW w:w="2952" w:type="dxa"/>
          </w:tcPr>
          <w:p w:rsidR="00000000" w:rsidRDefault="002F7312">
            <w:pPr>
              <w:jc w:val="center"/>
              <w:rPr>
                <w:rFonts w:ascii="Arial" w:hAnsi="Arial"/>
              </w:rPr>
            </w:pPr>
            <w:r>
              <w:rPr>
                <w:rFonts w:ascii="Arial" w:hAnsi="Arial"/>
              </w:rPr>
              <w:t>0.06</w:t>
            </w:r>
          </w:p>
        </w:tc>
      </w:tr>
      <w:tr w:rsidR="00000000">
        <w:tblPrEx>
          <w:tblCellMar>
            <w:top w:w="0" w:type="dxa"/>
            <w:bottom w:w="0" w:type="dxa"/>
          </w:tblCellMar>
        </w:tblPrEx>
        <w:tc>
          <w:tcPr>
            <w:tcW w:w="2952" w:type="dxa"/>
          </w:tcPr>
          <w:p w:rsidR="00000000" w:rsidRDefault="002F7312">
            <w:pPr>
              <w:rPr>
                <w:rFonts w:ascii="Arial" w:hAnsi="Arial"/>
                <w:b/>
              </w:rPr>
            </w:pPr>
            <w:r>
              <w:rPr>
                <w:rFonts w:ascii="Arial" w:hAnsi="Arial"/>
                <w:b/>
              </w:rPr>
              <w:t>*Grams/Minute CO</w:t>
            </w:r>
          </w:p>
        </w:tc>
        <w:tc>
          <w:tcPr>
            <w:tcW w:w="2952" w:type="dxa"/>
          </w:tcPr>
          <w:p w:rsidR="00000000" w:rsidRDefault="002F7312">
            <w:pPr>
              <w:jc w:val="center"/>
              <w:rPr>
                <w:rFonts w:ascii="Arial" w:hAnsi="Arial"/>
              </w:rPr>
            </w:pPr>
            <w:r>
              <w:rPr>
                <w:rFonts w:ascii="Arial" w:hAnsi="Arial"/>
              </w:rPr>
              <w:t>2.58</w:t>
            </w:r>
          </w:p>
        </w:tc>
        <w:tc>
          <w:tcPr>
            <w:tcW w:w="2952" w:type="dxa"/>
          </w:tcPr>
          <w:p w:rsidR="00000000" w:rsidRDefault="002F7312">
            <w:pPr>
              <w:jc w:val="center"/>
              <w:rPr>
                <w:rFonts w:ascii="Arial" w:hAnsi="Arial"/>
              </w:rPr>
            </w:pPr>
            <w:r>
              <w:rPr>
                <w:rFonts w:ascii="Arial" w:hAnsi="Arial"/>
              </w:rPr>
              <w:t>0.44</w:t>
            </w:r>
          </w:p>
        </w:tc>
      </w:tr>
      <w:tr w:rsidR="00000000">
        <w:tblPrEx>
          <w:tblCellMar>
            <w:top w:w="0" w:type="dxa"/>
            <w:bottom w:w="0" w:type="dxa"/>
          </w:tblCellMar>
        </w:tblPrEx>
        <w:tc>
          <w:tcPr>
            <w:tcW w:w="2952" w:type="dxa"/>
          </w:tcPr>
          <w:p w:rsidR="00000000" w:rsidRDefault="002F7312">
            <w:pPr>
              <w:rPr>
                <w:rFonts w:ascii="Arial" w:hAnsi="Arial"/>
                <w:b/>
              </w:rPr>
            </w:pPr>
            <w:r>
              <w:rPr>
                <w:rFonts w:ascii="Arial" w:hAnsi="Arial"/>
                <w:b/>
              </w:rPr>
              <w:t>*Grams/Minute NOx</w:t>
            </w:r>
          </w:p>
        </w:tc>
        <w:tc>
          <w:tcPr>
            <w:tcW w:w="2952" w:type="dxa"/>
          </w:tcPr>
          <w:p w:rsidR="00000000" w:rsidRDefault="002F7312">
            <w:pPr>
              <w:jc w:val="center"/>
              <w:rPr>
                <w:rFonts w:ascii="Arial" w:hAnsi="Arial"/>
              </w:rPr>
            </w:pPr>
            <w:r>
              <w:rPr>
                <w:rFonts w:ascii="Arial" w:hAnsi="Arial"/>
              </w:rPr>
              <w:t>0.03</w:t>
            </w:r>
          </w:p>
        </w:tc>
        <w:tc>
          <w:tcPr>
            <w:tcW w:w="2952" w:type="dxa"/>
          </w:tcPr>
          <w:p w:rsidR="00000000" w:rsidRDefault="002F7312">
            <w:pPr>
              <w:jc w:val="center"/>
              <w:rPr>
                <w:rFonts w:ascii="Arial" w:hAnsi="Arial"/>
              </w:rPr>
            </w:pPr>
            <w:r>
              <w:rPr>
                <w:rFonts w:ascii="Arial" w:hAnsi="Arial"/>
              </w:rPr>
              <w:t>1.35</w:t>
            </w:r>
          </w:p>
        </w:tc>
      </w:tr>
      <w:tr w:rsidR="00000000">
        <w:tblPrEx>
          <w:tblCellMar>
            <w:top w:w="0" w:type="dxa"/>
            <w:bottom w:w="0" w:type="dxa"/>
          </w:tblCellMar>
        </w:tblPrEx>
        <w:tc>
          <w:tcPr>
            <w:tcW w:w="2952" w:type="dxa"/>
          </w:tcPr>
          <w:p w:rsidR="00000000" w:rsidRDefault="002F7312">
            <w:pPr>
              <w:rPr>
                <w:rFonts w:ascii="Arial" w:hAnsi="Arial"/>
                <w:b/>
              </w:rPr>
            </w:pPr>
            <w:r>
              <w:rPr>
                <w:rFonts w:ascii="Arial" w:hAnsi="Arial"/>
                <w:b/>
              </w:rPr>
              <w:t>*Grams/Minute PM</w:t>
            </w:r>
          </w:p>
        </w:tc>
        <w:tc>
          <w:tcPr>
            <w:tcW w:w="2952" w:type="dxa"/>
          </w:tcPr>
          <w:p w:rsidR="00000000" w:rsidRDefault="002F7312">
            <w:pPr>
              <w:jc w:val="center"/>
              <w:rPr>
                <w:rFonts w:ascii="Arial" w:hAnsi="Arial"/>
              </w:rPr>
            </w:pPr>
            <w:r>
              <w:rPr>
                <w:rFonts w:ascii="Arial" w:hAnsi="Arial"/>
              </w:rPr>
              <w:t>0.00</w:t>
            </w:r>
          </w:p>
        </w:tc>
        <w:tc>
          <w:tcPr>
            <w:tcW w:w="2952" w:type="dxa"/>
          </w:tcPr>
          <w:p w:rsidR="00000000" w:rsidRDefault="002F7312">
            <w:pPr>
              <w:jc w:val="center"/>
              <w:rPr>
                <w:rFonts w:ascii="Arial" w:hAnsi="Arial"/>
              </w:rPr>
            </w:pPr>
            <w:r>
              <w:rPr>
                <w:rFonts w:ascii="Arial" w:hAnsi="Arial"/>
              </w:rPr>
              <w:t>0.03</w:t>
            </w:r>
          </w:p>
        </w:tc>
      </w:tr>
      <w:tr w:rsidR="00000000">
        <w:tblPrEx>
          <w:tblCellMar>
            <w:top w:w="0" w:type="dxa"/>
            <w:bottom w:w="0" w:type="dxa"/>
          </w:tblCellMar>
        </w:tblPrEx>
        <w:tc>
          <w:tcPr>
            <w:tcW w:w="2952" w:type="dxa"/>
          </w:tcPr>
          <w:p w:rsidR="00000000" w:rsidRDefault="002F7312">
            <w:pPr>
              <w:rPr>
                <w:rFonts w:ascii="Arial" w:hAnsi="Arial"/>
                <w:b/>
              </w:rPr>
            </w:pPr>
          </w:p>
        </w:tc>
        <w:tc>
          <w:tcPr>
            <w:tcW w:w="2952" w:type="dxa"/>
          </w:tcPr>
          <w:p w:rsidR="00000000" w:rsidRDefault="002F7312">
            <w:pPr>
              <w:jc w:val="center"/>
              <w:rPr>
                <w:rFonts w:ascii="Arial" w:hAnsi="Arial"/>
              </w:rPr>
            </w:pPr>
          </w:p>
        </w:tc>
        <w:tc>
          <w:tcPr>
            <w:tcW w:w="2952" w:type="dxa"/>
          </w:tcPr>
          <w:p w:rsidR="00000000" w:rsidRDefault="002F7312">
            <w:pPr>
              <w:jc w:val="center"/>
              <w:rPr>
                <w:rFonts w:ascii="Arial" w:hAnsi="Arial"/>
              </w:rPr>
            </w:pPr>
          </w:p>
        </w:tc>
      </w:tr>
      <w:tr w:rsidR="00000000">
        <w:tblPrEx>
          <w:tblCellMar>
            <w:top w:w="0" w:type="dxa"/>
            <w:bottom w:w="0" w:type="dxa"/>
          </w:tblCellMar>
        </w:tblPrEx>
        <w:tc>
          <w:tcPr>
            <w:tcW w:w="2952" w:type="dxa"/>
          </w:tcPr>
          <w:p w:rsidR="00000000" w:rsidRDefault="002F7312">
            <w:pPr>
              <w:rPr>
                <w:rFonts w:ascii="Arial" w:hAnsi="Arial"/>
                <w:b/>
              </w:rPr>
            </w:pPr>
            <w:r>
              <w:rPr>
                <w:rFonts w:ascii="Arial" w:hAnsi="Arial"/>
                <w:b/>
              </w:rPr>
              <w:t>Tons per Day HC</w:t>
            </w:r>
          </w:p>
        </w:tc>
        <w:tc>
          <w:tcPr>
            <w:tcW w:w="2952" w:type="dxa"/>
          </w:tcPr>
          <w:p w:rsidR="00000000" w:rsidRDefault="002F7312">
            <w:pPr>
              <w:jc w:val="center"/>
              <w:rPr>
                <w:rFonts w:ascii="Arial" w:hAnsi="Arial"/>
                <w:b/>
              </w:rPr>
            </w:pPr>
            <w:r>
              <w:rPr>
                <w:rFonts w:ascii="Arial" w:hAnsi="Arial"/>
                <w:b/>
              </w:rPr>
              <w:t>0.10</w:t>
            </w:r>
          </w:p>
        </w:tc>
        <w:tc>
          <w:tcPr>
            <w:tcW w:w="2952" w:type="dxa"/>
          </w:tcPr>
          <w:p w:rsidR="00000000" w:rsidRDefault="002F7312">
            <w:pPr>
              <w:jc w:val="center"/>
              <w:rPr>
                <w:rFonts w:ascii="Arial" w:hAnsi="Arial"/>
                <w:b/>
              </w:rPr>
            </w:pPr>
            <w:r>
              <w:rPr>
                <w:rFonts w:ascii="Arial" w:hAnsi="Arial"/>
                <w:b/>
              </w:rPr>
              <w:t>0.05</w:t>
            </w:r>
          </w:p>
        </w:tc>
      </w:tr>
      <w:tr w:rsidR="00000000">
        <w:tblPrEx>
          <w:tblCellMar>
            <w:top w:w="0" w:type="dxa"/>
            <w:bottom w:w="0" w:type="dxa"/>
          </w:tblCellMar>
        </w:tblPrEx>
        <w:tc>
          <w:tcPr>
            <w:tcW w:w="2952" w:type="dxa"/>
          </w:tcPr>
          <w:p w:rsidR="00000000" w:rsidRDefault="002F7312">
            <w:pPr>
              <w:rPr>
                <w:rFonts w:ascii="Arial" w:hAnsi="Arial"/>
                <w:b/>
              </w:rPr>
            </w:pPr>
            <w:r>
              <w:rPr>
                <w:rFonts w:ascii="Arial" w:hAnsi="Arial"/>
                <w:b/>
              </w:rPr>
              <w:t>Tons per Day CO</w:t>
            </w:r>
          </w:p>
        </w:tc>
        <w:tc>
          <w:tcPr>
            <w:tcW w:w="2952" w:type="dxa"/>
          </w:tcPr>
          <w:p w:rsidR="00000000" w:rsidRDefault="002F7312">
            <w:pPr>
              <w:jc w:val="center"/>
              <w:rPr>
                <w:rFonts w:ascii="Arial" w:hAnsi="Arial"/>
                <w:b/>
              </w:rPr>
            </w:pPr>
            <w:r>
              <w:rPr>
                <w:rFonts w:ascii="Arial" w:hAnsi="Arial"/>
                <w:b/>
              </w:rPr>
              <w:t>0.60</w:t>
            </w:r>
          </w:p>
        </w:tc>
        <w:tc>
          <w:tcPr>
            <w:tcW w:w="2952" w:type="dxa"/>
          </w:tcPr>
          <w:p w:rsidR="00000000" w:rsidRDefault="002F7312">
            <w:pPr>
              <w:jc w:val="center"/>
              <w:rPr>
                <w:rFonts w:ascii="Arial" w:hAnsi="Arial"/>
                <w:b/>
              </w:rPr>
            </w:pPr>
            <w:r>
              <w:rPr>
                <w:rFonts w:ascii="Arial" w:hAnsi="Arial"/>
                <w:b/>
              </w:rPr>
              <w:t>0.36</w:t>
            </w:r>
          </w:p>
        </w:tc>
      </w:tr>
      <w:tr w:rsidR="00000000">
        <w:tblPrEx>
          <w:tblCellMar>
            <w:top w:w="0" w:type="dxa"/>
            <w:bottom w:w="0" w:type="dxa"/>
          </w:tblCellMar>
        </w:tblPrEx>
        <w:tc>
          <w:tcPr>
            <w:tcW w:w="2952" w:type="dxa"/>
          </w:tcPr>
          <w:p w:rsidR="00000000" w:rsidRDefault="002F7312">
            <w:pPr>
              <w:rPr>
                <w:rFonts w:ascii="Arial" w:hAnsi="Arial"/>
                <w:b/>
              </w:rPr>
            </w:pPr>
            <w:r>
              <w:rPr>
                <w:rFonts w:ascii="Arial" w:hAnsi="Arial"/>
                <w:b/>
              </w:rPr>
              <w:t>Tons per Day N</w:t>
            </w:r>
            <w:r>
              <w:rPr>
                <w:rFonts w:ascii="Arial" w:hAnsi="Arial"/>
                <w:b/>
              </w:rPr>
              <w:t>O</w:t>
            </w:r>
            <w:r>
              <w:rPr>
                <w:rFonts w:ascii="Arial" w:hAnsi="Arial"/>
                <w:b/>
              </w:rPr>
              <w:t>x</w:t>
            </w:r>
          </w:p>
        </w:tc>
        <w:tc>
          <w:tcPr>
            <w:tcW w:w="2952" w:type="dxa"/>
          </w:tcPr>
          <w:p w:rsidR="00000000" w:rsidRDefault="002F7312">
            <w:pPr>
              <w:jc w:val="center"/>
              <w:rPr>
                <w:rFonts w:ascii="Arial" w:hAnsi="Arial"/>
                <w:b/>
              </w:rPr>
            </w:pPr>
            <w:r>
              <w:rPr>
                <w:rFonts w:ascii="Arial" w:hAnsi="Arial"/>
                <w:b/>
              </w:rPr>
              <w:t>0.01</w:t>
            </w:r>
          </w:p>
        </w:tc>
        <w:tc>
          <w:tcPr>
            <w:tcW w:w="2952" w:type="dxa"/>
          </w:tcPr>
          <w:p w:rsidR="00000000" w:rsidRDefault="002F7312">
            <w:pPr>
              <w:jc w:val="center"/>
              <w:rPr>
                <w:rFonts w:ascii="Arial" w:hAnsi="Arial"/>
                <w:b/>
              </w:rPr>
            </w:pPr>
            <w:r>
              <w:rPr>
                <w:rFonts w:ascii="Arial" w:hAnsi="Arial"/>
                <w:b/>
              </w:rPr>
              <w:t>1.10</w:t>
            </w:r>
          </w:p>
        </w:tc>
      </w:tr>
      <w:tr w:rsidR="00000000">
        <w:tblPrEx>
          <w:tblCellMar>
            <w:top w:w="0" w:type="dxa"/>
            <w:bottom w:w="0" w:type="dxa"/>
          </w:tblCellMar>
        </w:tblPrEx>
        <w:tc>
          <w:tcPr>
            <w:tcW w:w="2952" w:type="dxa"/>
          </w:tcPr>
          <w:p w:rsidR="00000000" w:rsidRDefault="002F7312">
            <w:pPr>
              <w:rPr>
                <w:rFonts w:ascii="Arial" w:hAnsi="Arial"/>
                <w:b/>
              </w:rPr>
            </w:pPr>
            <w:r>
              <w:rPr>
                <w:rFonts w:ascii="Arial" w:hAnsi="Arial"/>
                <w:b/>
              </w:rPr>
              <w:t>Tons per Day PM</w:t>
            </w:r>
          </w:p>
        </w:tc>
        <w:tc>
          <w:tcPr>
            <w:tcW w:w="2952" w:type="dxa"/>
          </w:tcPr>
          <w:p w:rsidR="00000000" w:rsidRDefault="002F7312">
            <w:pPr>
              <w:jc w:val="center"/>
              <w:rPr>
                <w:rFonts w:ascii="Arial" w:hAnsi="Arial"/>
                <w:b/>
              </w:rPr>
            </w:pPr>
            <w:r>
              <w:rPr>
                <w:rFonts w:ascii="Arial" w:hAnsi="Arial"/>
                <w:b/>
              </w:rPr>
              <w:t>0.00</w:t>
            </w:r>
          </w:p>
        </w:tc>
        <w:tc>
          <w:tcPr>
            <w:tcW w:w="2952" w:type="dxa"/>
          </w:tcPr>
          <w:p w:rsidR="00000000" w:rsidRDefault="002F7312">
            <w:pPr>
              <w:jc w:val="center"/>
              <w:rPr>
                <w:rFonts w:ascii="Arial" w:hAnsi="Arial"/>
                <w:b/>
              </w:rPr>
            </w:pPr>
            <w:r>
              <w:rPr>
                <w:rFonts w:ascii="Arial" w:hAnsi="Arial"/>
                <w:b/>
              </w:rPr>
              <w:t>0.02</w:t>
            </w:r>
          </w:p>
        </w:tc>
      </w:tr>
    </w:tbl>
    <w:p w:rsidR="00000000" w:rsidRDefault="002F7312">
      <w:pPr>
        <w:rPr>
          <w:rFonts w:ascii="Arial" w:hAnsi="Arial"/>
        </w:rPr>
      </w:pPr>
    </w:p>
    <w:p w:rsidR="00000000" w:rsidRDefault="002F7312">
      <w:pPr>
        <w:rPr>
          <w:rFonts w:ascii="Arial" w:hAnsi="Arial"/>
        </w:rPr>
      </w:pPr>
      <w:r>
        <w:rPr>
          <w:rFonts w:ascii="Arial" w:hAnsi="Arial"/>
        </w:rPr>
        <w:t>*Model year weighted medium-heavy-duty idle emission rates</w:t>
      </w:r>
    </w:p>
    <w:p w:rsidR="00000000" w:rsidRDefault="002F7312">
      <w:pPr>
        <w:rPr>
          <w:rFonts w:ascii="Arial" w:hAnsi="Arial"/>
        </w:rPr>
      </w:pPr>
    </w:p>
    <w:p w:rsidR="00000000" w:rsidRDefault="002F7312">
      <w:pPr>
        <w:rPr>
          <w:rFonts w:ascii="Arial" w:hAnsi="Arial"/>
        </w:rPr>
      </w:pPr>
      <w:r>
        <w:rPr>
          <w:rFonts w:ascii="Arial" w:hAnsi="Arial"/>
        </w:rPr>
        <w:t xml:space="preserve">Idle emissions in tons per day are product of vehicle population, trips per vehicle day, </w:t>
      </w:r>
      <w:proofErr w:type="gramStart"/>
      <w:r>
        <w:rPr>
          <w:rFonts w:ascii="Arial" w:hAnsi="Arial"/>
        </w:rPr>
        <w:t>minutes</w:t>
      </w:r>
      <w:proofErr w:type="gramEnd"/>
      <w:r>
        <w:rPr>
          <w:rFonts w:ascii="Arial" w:hAnsi="Arial"/>
        </w:rPr>
        <w:t xml:space="preserve"> of idle per trip and emission rate in grams per minute converted</w:t>
      </w:r>
      <w:r>
        <w:t xml:space="preserve"> </w:t>
      </w:r>
      <w:r>
        <w:t xml:space="preserve">to </w:t>
      </w:r>
      <w:r>
        <w:rPr>
          <w:rFonts w:ascii="Arial" w:hAnsi="Arial"/>
        </w:rPr>
        <w:t>tons per day.</w:t>
      </w:r>
    </w:p>
    <w:p w:rsidR="00000000" w:rsidRDefault="002F7312">
      <w:pPr>
        <w:rPr>
          <w:rFonts w:ascii="Arial" w:hAnsi="Arial"/>
        </w:rPr>
      </w:pPr>
    </w:p>
    <w:p w:rsidR="00000000" w:rsidRDefault="002F7312">
      <w:pPr>
        <w:rPr>
          <w:rFonts w:ascii="Arial" w:hAnsi="Arial"/>
        </w:rPr>
      </w:pPr>
      <w:r>
        <w:rPr>
          <w:rFonts w:ascii="Arial" w:hAnsi="Arial"/>
        </w:rPr>
        <w:t xml:space="preserve">It is important to note that the current version of EMFAC calculates inventories for those vehicles powered by gasoline, diesel or electricity.  Although many school buses are known to utilize compressed natural gas (CNG), these vehicles </w:t>
      </w:r>
      <w:r>
        <w:rPr>
          <w:rFonts w:ascii="Arial" w:hAnsi="Arial"/>
        </w:rPr>
        <w:t xml:space="preserve">are not currently included in the emissions inventory. </w:t>
      </w:r>
    </w:p>
    <w:p w:rsidR="00000000" w:rsidRDefault="002F7312">
      <w:pPr>
        <w:rPr>
          <w:rFonts w:ascii="Arial" w:hAnsi="Arial"/>
        </w:rPr>
      </w:pPr>
    </w:p>
    <w:p w:rsidR="00000000" w:rsidRDefault="002F7312">
      <w:pPr>
        <w:rPr>
          <w:rFonts w:ascii="Arial" w:hAnsi="Arial"/>
        </w:rPr>
      </w:pPr>
    </w:p>
    <w:sectPr w:rsidR="00000000">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F7312">
      <w:r>
        <w:separator/>
      </w:r>
    </w:p>
  </w:endnote>
  <w:endnote w:type="continuationSeparator" w:id="0">
    <w:p w:rsidR="00000000" w:rsidRDefault="002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F7312">
    <w:pPr>
      <w:pStyle w:val="Footer"/>
      <w:rPr>
        <w:rFonts w:ascii="Arial" w:hAnsi="Arial"/>
      </w:rPr>
    </w:pPr>
    <w:r>
      <w:rPr>
        <w:rStyle w:val="PageNumber"/>
        <w:rFonts w:ascii="Arial" w:hAnsi="Arial"/>
      </w:rPr>
      <w:t>8/16/02</w:t>
    </w:r>
    <w:r>
      <w:rPr>
        <w:rStyle w:val="PageNumber"/>
        <w:rFonts w:ascii="Arial" w:hAnsi="Arial"/>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1</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F7312">
      <w:r>
        <w:separator/>
      </w:r>
    </w:p>
  </w:footnote>
  <w:footnote w:type="continuationSeparator" w:id="0">
    <w:p w:rsidR="00000000" w:rsidRDefault="002F7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21F07"/>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12"/>
    <w:rsid w:val="002F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2AD45D-0548-465B-A939-688FD677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rFonts w:ascii="Arial" w:hAnsi="Arial"/>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62596F79FF16458478AA5407A28088" ma:contentTypeVersion="12" ma:contentTypeDescription="Create a new document." ma:contentTypeScope="" ma:versionID="33605029501731b7fed990c15a5b4e3f">
  <xsd:schema xmlns:xsd="http://www.w3.org/2001/XMLSchema" xmlns:xs="http://www.w3.org/2001/XMLSchema" xmlns:p="http://schemas.microsoft.com/office/2006/metadata/properties" xmlns:ns2="1892c88b-af11-4f4f-b11e-1d4779dd99f9" xmlns:ns3="ef1e6234-cbf6-4f84-a69a-3c15c6ea4a0b" targetNamespace="http://schemas.microsoft.com/office/2006/metadata/properties" ma:root="true" ma:fieldsID="c713124ce777f306e1612889fb36be86" ns2:_="" ns3:_="">
    <xsd:import namespace="1892c88b-af11-4f4f-b11e-1d4779dd99f9"/>
    <xsd:import namespace="ef1e6234-cbf6-4f84-a69a-3c15c6ea4a0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2c88b-af11-4f4f-b11e-1d4779dd9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1e6234-cbf6-4f84-a69a-3c15c6ea4a0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fb9097f-4166-4761-ae00-7b1d2f08a6bc}" ma:internalName="TaxCatchAll" ma:showField="CatchAllData" ma:web="ef1e6234-cbf6-4f84-a69a-3c15c6ea4a0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71D903-E9B6-4BC2-97EB-6E14285B2585}"/>
</file>

<file path=customXml/itemProps2.xml><?xml version="1.0" encoding="utf-8"?>
<ds:datastoreItem xmlns:ds="http://schemas.openxmlformats.org/officeDocument/2006/customXml" ds:itemID="{7A6C7C4A-5BE4-4302-AD83-25122852416A}"/>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EMFAC Modeling Change Technical Memo</vt:lpstr>
    </vt:vector>
  </TitlesOfParts>
  <Company>California Air Resources Board</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EMFAC Modeling Change Technical Memo</dc:title>
  <dc:subject/>
  <dc:creator>Preferred Customer</dc:creator>
  <cp:keywords/>
  <dc:description/>
  <cp:lastModifiedBy>Avlani, Pranay@ARB</cp:lastModifiedBy>
  <cp:revision>2</cp:revision>
  <cp:lastPrinted>2002-08-12T16:55:00Z</cp:lastPrinted>
  <dcterms:created xsi:type="dcterms:W3CDTF">2020-05-27T02:27:00Z</dcterms:created>
  <dcterms:modified xsi:type="dcterms:W3CDTF">2020-05-27T02:27:00Z</dcterms:modified>
</cp:coreProperties>
</file>