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03D17">
      <w:pPr>
        <w:pStyle w:val="Title"/>
      </w:pPr>
      <w:bookmarkStart w:id="0" w:name="_GoBack"/>
      <w:bookmarkEnd w:id="0"/>
      <w:r>
        <w:t>EMFAC Modeling Change Technical Memo</w:t>
      </w:r>
    </w:p>
    <w:p w:rsidR="00000000" w:rsidRDefault="00B03D17"/>
    <w:p w:rsidR="00000000" w:rsidRDefault="00B03D17">
      <w:r>
        <w:t xml:space="preserve"> </w:t>
      </w:r>
    </w:p>
    <w:p w:rsidR="00000000" w:rsidRDefault="00B03D17">
      <w:r>
        <w:rPr>
          <w:b/>
        </w:rPr>
        <w:t>SUBJECT:</w:t>
      </w:r>
      <w:r>
        <w:t xml:space="preserve">  EVAP TECH FRACTIONS FOR MY 2003+ PC AND LDT1</w:t>
      </w:r>
    </w:p>
    <w:p w:rsidR="00000000" w:rsidRDefault="00B03D17"/>
    <w:p w:rsidR="00000000" w:rsidRDefault="00B03D17">
      <w:r>
        <w:rPr>
          <w:b/>
        </w:rPr>
        <w:t>LEAD:</w:t>
      </w:r>
      <w:r>
        <w:t xml:space="preserve"> BEN HANCOCK</w:t>
      </w:r>
    </w:p>
    <w:p w:rsidR="00000000" w:rsidRDefault="00B03D17"/>
    <w:p w:rsidR="00000000" w:rsidRDefault="00B03D17"/>
    <w:p w:rsidR="00000000" w:rsidRDefault="00B03D17">
      <w:pPr>
        <w:pStyle w:val="Heading1"/>
      </w:pPr>
      <w:r>
        <w:t>SUMMARY</w:t>
      </w:r>
    </w:p>
    <w:p w:rsidR="00000000" w:rsidRDefault="00B03D17"/>
    <w:p w:rsidR="00000000" w:rsidRDefault="00B03D17">
      <w:r>
        <w:t>In November of 1998, the California Air Resources Board adopted staff’s Low Emission Vehicle II (LEVII) proposal which calls for lo</w:t>
      </w:r>
      <w:r>
        <w:t>wer exhaust and evaporative emissions standards for all new passenger cars, light-duty and medium-duty trucks beginning in 2004.  Based on these regulations, the emission rates for the affected technology groups and their corresponding implementation sched</w:t>
      </w:r>
      <w:r>
        <w:t>ules were updated in EMFAC2000 for both exhaust and evaporative processes.</w:t>
      </w:r>
    </w:p>
    <w:p w:rsidR="00000000" w:rsidRDefault="00B03D17"/>
    <w:p w:rsidR="00000000" w:rsidRDefault="00B03D17">
      <w:r>
        <w:t xml:space="preserve">After the release of EMFAC2000, the ARB adopted additional programs that required that additional changes be made to the model.  These programs included modifications to the ARB’s </w:t>
      </w:r>
      <w:r>
        <w:t>Zero-Emission Vehicle Program (ZEV) and the adoption of some portions of the federal Tier 2 Program.  These changes affected exhaust and evaporative emissions for all Light-duty Autos (LDA), Light-duty Trucks (LDT), and Medium-duty trucks (MDT) less than 8</w:t>
      </w:r>
      <w:r>
        <w:t xml:space="preserve">500 pounds.  </w:t>
      </w:r>
    </w:p>
    <w:p w:rsidR="00000000" w:rsidRDefault="00B03D17"/>
    <w:p w:rsidR="00000000" w:rsidRDefault="00B03D17">
      <w:r>
        <w:t>While the changes resulting from these programs were incorporated into EMFAC2001</w:t>
      </w:r>
      <w:r>
        <w:rPr>
          <w:rStyle w:val="FootnoteReference"/>
        </w:rPr>
        <w:footnoteReference w:id="1"/>
      </w:r>
      <w:r>
        <w:t xml:space="preserve"> for the exhaust processes, implementation schedules were not updated for the evaporative technology groups.  Therefore, the implementation schedules for the ev</w:t>
      </w:r>
      <w:r>
        <w:t>aporative technology groups are being revised to properly reflect the above mentioned program changes.</w:t>
      </w:r>
    </w:p>
    <w:p w:rsidR="00000000" w:rsidRDefault="00B03D17"/>
    <w:p w:rsidR="00000000" w:rsidRDefault="00B03D17">
      <w:r>
        <w:t>Staff of the Mobile Source Control Division (MSCD) who oversee these programs have created implementation schedules that reflect these changes.  While t</w:t>
      </w:r>
      <w:r>
        <w:t>hese program modifications mainly focused on exhaust emissions, the changes indirectly affect the implementation of the evaporative standards.  Specifically, the changes in the ZEV mandate and the incorporation of portions of the federal program into LEVII</w:t>
      </w:r>
      <w:r>
        <w:t xml:space="preserve"> dictate the percentages of PZEVs and ZEVs sold by the manufacturers.  For this reason, the incorporation of the evaporative standards must be made consistent with the exhaust implementation schedule.  </w:t>
      </w:r>
    </w:p>
    <w:p w:rsidR="00000000" w:rsidRDefault="00B03D17"/>
    <w:p w:rsidR="00000000" w:rsidRDefault="00B03D17">
      <w:r>
        <w:t>Table 1 provides the revised evaporative implementat</w:t>
      </w:r>
      <w:r>
        <w:t>ion schedule for all Light-Duty Automobiles and Class 1 Light-Duty Trucks (less than 3750 lbs.).  The above-mentioned programs do not affect evaporative emissions for LDT2 and MDT vehicles.  The schedules for these vehicle classes, therefore, do not need t</w:t>
      </w:r>
      <w:r>
        <w:t>o be revised.</w:t>
      </w:r>
    </w:p>
    <w:p w:rsidR="00000000" w:rsidRDefault="00B03D17"/>
    <w:p w:rsidR="00000000" w:rsidRDefault="00B03D17">
      <w:pPr>
        <w:keepNext/>
        <w:jc w:val="center"/>
        <w:rPr>
          <w:b/>
        </w:rPr>
      </w:pPr>
      <w:r>
        <w:rPr>
          <w:b/>
        </w:rPr>
        <w:lastRenderedPageBreak/>
        <w:t>Table 1.  Revised Evaporative Implementation Schedule</w:t>
      </w:r>
    </w:p>
    <w:p w:rsidR="00000000" w:rsidRDefault="00B03D17">
      <w:pPr>
        <w:keepNext/>
        <w:jc w:val="center"/>
        <w:rPr>
          <w:b/>
        </w:rPr>
      </w:pPr>
      <w:r>
        <w:rPr>
          <w:b/>
        </w:rPr>
        <w:t>Passenger Cars and Light-Duty Truck 1</w:t>
      </w:r>
    </w:p>
    <w:p w:rsidR="00000000" w:rsidRDefault="00B03D17">
      <w:r>
        <w:tab/>
      </w:r>
    </w:p>
    <w:tbl>
      <w:tblPr>
        <w:tblW w:w="0" w:type="auto"/>
        <w:tblInd w:w="1630" w:type="dxa"/>
        <w:tblLayout w:type="fixed"/>
        <w:tblCellMar>
          <w:left w:w="0" w:type="dxa"/>
          <w:right w:w="0" w:type="dxa"/>
        </w:tblCellMar>
        <w:tblLook w:val="0000" w:firstRow="0" w:lastRow="0" w:firstColumn="0" w:lastColumn="0" w:noHBand="0" w:noVBand="0"/>
      </w:tblPr>
      <w:tblGrid>
        <w:gridCol w:w="1036"/>
        <w:gridCol w:w="1160"/>
        <w:gridCol w:w="1174"/>
        <w:gridCol w:w="1423"/>
        <w:gridCol w:w="967"/>
      </w:tblGrid>
      <w:tr w:rsidR="00000000">
        <w:tblPrEx>
          <w:tblCellMar>
            <w:top w:w="0" w:type="dxa"/>
            <w:left w:w="0" w:type="dxa"/>
            <w:bottom w:w="0" w:type="dxa"/>
            <w:right w:w="0" w:type="dxa"/>
          </w:tblCellMar>
        </w:tblPrEx>
        <w:trPr>
          <w:trHeight w:val="282"/>
        </w:trPr>
        <w:tc>
          <w:tcPr>
            <w:tcW w:w="1036" w:type="dxa"/>
            <w:tcBorders>
              <w:top w:val="single" w:sz="8" w:space="0" w:color="auto"/>
              <w:left w:val="single" w:sz="8" w:space="0" w:color="auto"/>
              <w:bottom w:val="single" w:sz="4" w:space="0" w:color="auto"/>
              <w:right w:val="single" w:sz="4" w:space="0" w:color="auto"/>
            </w:tcBorders>
            <w:vAlign w:val="center"/>
          </w:tcPr>
          <w:p w:rsidR="00000000" w:rsidRDefault="00B03D17">
            <w:pPr>
              <w:jc w:val="center"/>
              <w:rPr>
                <w:rFonts w:eastAsia="Arial Unicode MS"/>
                <w:sz w:val="20"/>
              </w:rPr>
            </w:pPr>
            <w:r>
              <w:rPr>
                <w:sz w:val="20"/>
              </w:rPr>
              <w:t>Model Yr</w:t>
            </w:r>
          </w:p>
        </w:tc>
        <w:tc>
          <w:tcPr>
            <w:tcW w:w="1160" w:type="dxa"/>
            <w:tcBorders>
              <w:top w:val="single" w:sz="8" w:space="0" w:color="auto"/>
              <w:left w:val="nil"/>
              <w:bottom w:val="single" w:sz="4" w:space="0" w:color="auto"/>
              <w:right w:val="nil"/>
            </w:tcBorders>
            <w:vAlign w:val="center"/>
          </w:tcPr>
          <w:p w:rsidR="00000000" w:rsidRDefault="00B03D17">
            <w:pPr>
              <w:jc w:val="center"/>
              <w:rPr>
                <w:sz w:val="20"/>
              </w:rPr>
            </w:pPr>
            <w:r>
              <w:rPr>
                <w:sz w:val="20"/>
              </w:rPr>
              <w:t>Enhanced</w:t>
            </w:r>
          </w:p>
          <w:p w:rsidR="00000000" w:rsidRDefault="00B03D17">
            <w:pPr>
              <w:jc w:val="center"/>
              <w:rPr>
                <w:rFonts w:eastAsia="Arial Unicode MS"/>
                <w:sz w:val="20"/>
              </w:rPr>
            </w:pPr>
            <w:r>
              <w:rPr>
                <w:sz w:val="20"/>
              </w:rPr>
              <w:t>Evap</w:t>
            </w:r>
          </w:p>
        </w:tc>
        <w:tc>
          <w:tcPr>
            <w:tcW w:w="1174" w:type="dxa"/>
            <w:tcBorders>
              <w:top w:val="single" w:sz="8" w:space="0" w:color="auto"/>
              <w:left w:val="nil"/>
              <w:bottom w:val="single" w:sz="4" w:space="0" w:color="auto"/>
              <w:right w:val="nil"/>
            </w:tcBorders>
            <w:vAlign w:val="center"/>
          </w:tcPr>
          <w:p w:rsidR="00000000" w:rsidRDefault="00B03D17">
            <w:pPr>
              <w:jc w:val="center"/>
              <w:rPr>
                <w:sz w:val="20"/>
              </w:rPr>
            </w:pPr>
            <w:r>
              <w:rPr>
                <w:sz w:val="20"/>
              </w:rPr>
              <w:t>Near-Zero</w:t>
            </w:r>
          </w:p>
          <w:p w:rsidR="00000000" w:rsidRDefault="00B03D17">
            <w:pPr>
              <w:jc w:val="center"/>
              <w:rPr>
                <w:rFonts w:eastAsia="Arial Unicode MS"/>
                <w:sz w:val="20"/>
              </w:rPr>
            </w:pPr>
            <w:r>
              <w:rPr>
                <w:sz w:val="20"/>
              </w:rPr>
              <w:t>Evap</w:t>
            </w:r>
          </w:p>
        </w:tc>
        <w:tc>
          <w:tcPr>
            <w:tcW w:w="1423" w:type="dxa"/>
            <w:tcBorders>
              <w:top w:val="single" w:sz="8" w:space="0" w:color="auto"/>
              <w:left w:val="nil"/>
              <w:bottom w:val="single" w:sz="4" w:space="0" w:color="auto"/>
              <w:right w:val="nil"/>
            </w:tcBorders>
            <w:vAlign w:val="center"/>
          </w:tcPr>
          <w:p w:rsidR="00000000" w:rsidRDefault="00B03D17">
            <w:pPr>
              <w:jc w:val="center"/>
              <w:rPr>
                <w:rFonts w:eastAsia="Arial Unicode MS"/>
                <w:sz w:val="20"/>
              </w:rPr>
            </w:pPr>
            <w:r>
              <w:rPr>
                <w:sz w:val="20"/>
              </w:rPr>
              <w:t>Partial ZEVs</w:t>
            </w:r>
          </w:p>
        </w:tc>
        <w:tc>
          <w:tcPr>
            <w:tcW w:w="967" w:type="dxa"/>
            <w:tcBorders>
              <w:top w:val="single" w:sz="8" w:space="0" w:color="auto"/>
              <w:left w:val="nil"/>
              <w:bottom w:val="single" w:sz="4" w:space="0" w:color="auto"/>
              <w:right w:val="single" w:sz="8" w:space="0" w:color="auto"/>
            </w:tcBorders>
            <w:vAlign w:val="center"/>
          </w:tcPr>
          <w:p w:rsidR="00000000" w:rsidRDefault="00B03D17">
            <w:pPr>
              <w:jc w:val="center"/>
              <w:rPr>
                <w:rFonts w:eastAsia="Arial Unicode MS"/>
                <w:sz w:val="20"/>
              </w:rPr>
            </w:pPr>
            <w:r>
              <w:rPr>
                <w:sz w:val="20"/>
              </w:rPr>
              <w:t>ZEVs</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2003</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90.3%</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9.3%</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0.4%</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2004</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81.1%</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18.5%</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0.4%</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2005</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7.8%</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64.5%</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27.3%</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0.4%</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2006</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w:t>
            </w:r>
            <w:r>
              <w:rPr>
                <w:sz w:val="20"/>
              </w:rPr>
              <w:t>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63.5%</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36.0%</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0.5%</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2007</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59.1%</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40.3%</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0.6%</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2008</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54.6%</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44.8%</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0.6%</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2009</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49.0%</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50.1%</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0.9%</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2010</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44.4%</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54.6%</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1.0%</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2011</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39.9%</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59.1%</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1.0%</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2012</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34.2%</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64.4%</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1.4%</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2013</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34.2%</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64.4%</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1.4%</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2014</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34.2%</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64.4%</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1.4%</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2015</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3</w:t>
            </w:r>
            <w:r>
              <w:rPr>
                <w:sz w:val="20"/>
              </w:rPr>
              <w:t>1.1%</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67.0%</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1.9%</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2016</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31.1%</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67.0%</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1.9%</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2017</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31.1%</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67.0%</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1.9%</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2018</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28.0%</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69.6%</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2.4%</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nil"/>
              <w:right w:val="single" w:sz="4" w:space="0" w:color="auto"/>
            </w:tcBorders>
            <w:vAlign w:val="center"/>
          </w:tcPr>
          <w:p w:rsidR="00000000" w:rsidRDefault="00B03D17">
            <w:pPr>
              <w:jc w:val="center"/>
              <w:rPr>
                <w:rFonts w:eastAsia="Arial Unicode MS"/>
                <w:sz w:val="20"/>
              </w:rPr>
            </w:pPr>
            <w:r>
              <w:rPr>
                <w:sz w:val="20"/>
              </w:rPr>
              <w:t>2019</w:t>
            </w:r>
          </w:p>
        </w:tc>
        <w:tc>
          <w:tcPr>
            <w:tcW w:w="1160" w:type="dxa"/>
            <w:tcBorders>
              <w:top w:val="nil"/>
              <w:left w:val="nil"/>
              <w:bottom w:val="nil"/>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nil"/>
              <w:right w:val="nil"/>
            </w:tcBorders>
            <w:vAlign w:val="center"/>
          </w:tcPr>
          <w:p w:rsidR="00000000" w:rsidRDefault="00B03D17">
            <w:pPr>
              <w:jc w:val="center"/>
              <w:rPr>
                <w:rFonts w:eastAsia="Arial Unicode MS"/>
                <w:sz w:val="20"/>
              </w:rPr>
            </w:pPr>
            <w:r>
              <w:rPr>
                <w:sz w:val="20"/>
              </w:rPr>
              <w:t>28.0%</w:t>
            </w:r>
          </w:p>
        </w:tc>
        <w:tc>
          <w:tcPr>
            <w:tcW w:w="1423" w:type="dxa"/>
            <w:tcBorders>
              <w:top w:val="nil"/>
              <w:left w:val="nil"/>
              <w:bottom w:val="nil"/>
              <w:right w:val="nil"/>
            </w:tcBorders>
            <w:vAlign w:val="center"/>
          </w:tcPr>
          <w:p w:rsidR="00000000" w:rsidRDefault="00B03D17">
            <w:pPr>
              <w:jc w:val="center"/>
              <w:rPr>
                <w:rFonts w:eastAsia="Arial Unicode MS"/>
                <w:sz w:val="20"/>
              </w:rPr>
            </w:pPr>
            <w:r>
              <w:rPr>
                <w:sz w:val="20"/>
              </w:rPr>
              <w:t>69.6%</w:t>
            </w:r>
          </w:p>
        </w:tc>
        <w:tc>
          <w:tcPr>
            <w:tcW w:w="967" w:type="dxa"/>
            <w:tcBorders>
              <w:top w:val="nil"/>
              <w:left w:val="nil"/>
              <w:bottom w:val="nil"/>
              <w:right w:val="single" w:sz="8" w:space="0" w:color="auto"/>
            </w:tcBorders>
            <w:vAlign w:val="center"/>
          </w:tcPr>
          <w:p w:rsidR="00000000" w:rsidRDefault="00B03D17">
            <w:pPr>
              <w:jc w:val="center"/>
              <w:rPr>
                <w:rFonts w:eastAsia="Arial Unicode MS"/>
                <w:sz w:val="20"/>
              </w:rPr>
            </w:pPr>
            <w:r>
              <w:rPr>
                <w:sz w:val="20"/>
              </w:rPr>
              <w:t>2.4%</w:t>
            </w:r>
          </w:p>
        </w:tc>
      </w:tr>
      <w:tr w:rsidR="00000000">
        <w:tblPrEx>
          <w:tblCellMar>
            <w:top w:w="0" w:type="dxa"/>
            <w:left w:w="0" w:type="dxa"/>
            <w:bottom w:w="0" w:type="dxa"/>
            <w:right w:w="0" w:type="dxa"/>
          </w:tblCellMar>
        </w:tblPrEx>
        <w:trPr>
          <w:trHeight w:val="282"/>
        </w:trPr>
        <w:tc>
          <w:tcPr>
            <w:tcW w:w="1036" w:type="dxa"/>
            <w:tcBorders>
              <w:top w:val="nil"/>
              <w:left w:val="single" w:sz="8" w:space="0" w:color="auto"/>
              <w:bottom w:val="single" w:sz="8" w:space="0" w:color="auto"/>
              <w:right w:val="single" w:sz="4" w:space="0" w:color="auto"/>
            </w:tcBorders>
            <w:vAlign w:val="center"/>
          </w:tcPr>
          <w:p w:rsidR="00000000" w:rsidRDefault="00B03D17">
            <w:pPr>
              <w:jc w:val="center"/>
              <w:rPr>
                <w:rFonts w:eastAsia="Arial Unicode MS"/>
                <w:sz w:val="20"/>
              </w:rPr>
            </w:pPr>
            <w:r>
              <w:rPr>
                <w:sz w:val="20"/>
              </w:rPr>
              <w:t>2020</w:t>
            </w:r>
          </w:p>
        </w:tc>
        <w:tc>
          <w:tcPr>
            <w:tcW w:w="1160" w:type="dxa"/>
            <w:tcBorders>
              <w:top w:val="nil"/>
              <w:left w:val="nil"/>
              <w:bottom w:val="single" w:sz="8" w:space="0" w:color="auto"/>
              <w:right w:val="nil"/>
            </w:tcBorders>
            <w:vAlign w:val="center"/>
          </w:tcPr>
          <w:p w:rsidR="00000000" w:rsidRDefault="00B03D17">
            <w:pPr>
              <w:jc w:val="center"/>
              <w:rPr>
                <w:rFonts w:eastAsia="Arial Unicode MS"/>
                <w:sz w:val="20"/>
              </w:rPr>
            </w:pPr>
            <w:r>
              <w:rPr>
                <w:sz w:val="20"/>
              </w:rPr>
              <w:t>0.0%</w:t>
            </w:r>
          </w:p>
        </w:tc>
        <w:tc>
          <w:tcPr>
            <w:tcW w:w="1174" w:type="dxa"/>
            <w:tcBorders>
              <w:top w:val="nil"/>
              <w:left w:val="nil"/>
              <w:bottom w:val="single" w:sz="8" w:space="0" w:color="auto"/>
              <w:right w:val="nil"/>
            </w:tcBorders>
            <w:vAlign w:val="center"/>
          </w:tcPr>
          <w:p w:rsidR="00000000" w:rsidRDefault="00B03D17">
            <w:pPr>
              <w:jc w:val="center"/>
              <w:rPr>
                <w:rFonts w:eastAsia="Arial Unicode MS"/>
                <w:sz w:val="20"/>
              </w:rPr>
            </w:pPr>
            <w:r>
              <w:rPr>
                <w:sz w:val="20"/>
              </w:rPr>
              <w:t>28.0%</w:t>
            </w:r>
          </w:p>
        </w:tc>
        <w:tc>
          <w:tcPr>
            <w:tcW w:w="1423" w:type="dxa"/>
            <w:tcBorders>
              <w:top w:val="nil"/>
              <w:left w:val="nil"/>
              <w:bottom w:val="single" w:sz="8" w:space="0" w:color="auto"/>
              <w:right w:val="nil"/>
            </w:tcBorders>
            <w:vAlign w:val="center"/>
          </w:tcPr>
          <w:p w:rsidR="00000000" w:rsidRDefault="00B03D17">
            <w:pPr>
              <w:jc w:val="center"/>
              <w:rPr>
                <w:rFonts w:eastAsia="Arial Unicode MS"/>
                <w:sz w:val="20"/>
              </w:rPr>
            </w:pPr>
            <w:r>
              <w:rPr>
                <w:sz w:val="20"/>
              </w:rPr>
              <w:t>69.6%</w:t>
            </w:r>
          </w:p>
        </w:tc>
        <w:tc>
          <w:tcPr>
            <w:tcW w:w="967" w:type="dxa"/>
            <w:tcBorders>
              <w:top w:val="nil"/>
              <w:left w:val="nil"/>
              <w:bottom w:val="single" w:sz="8" w:space="0" w:color="auto"/>
              <w:right w:val="single" w:sz="8" w:space="0" w:color="auto"/>
            </w:tcBorders>
            <w:vAlign w:val="center"/>
          </w:tcPr>
          <w:p w:rsidR="00000000" w:rsidRDefault="00B03D17">
            <w:pPr>
              <w:jc w:val="center"/>
              <w:rPr>
                <w:rFonts w:eastAsia="Arial Unicode MS"/>
                <w:sz w:val="20"/>
              </w:rPr>
            </w:pPr>
            <w:r>
              <w:rPr>
                <w:sz w:val="20"/>
              </w:rPr>
              <w:t>2.4%</w:t>
            </w:r>
          </w:p>
        </w:tc>
      </w:tr>
    </w:tbl>
    <w:p w:rsidR="00000000" w:rsidRDefault="00B03D17">
      <w:pPr>
        <w:jc w:val="center"/>
      </w:pPr>
    </w:p>
    <w:p w:rsidR="00000000" w:rsidRDefault="00B03D17"/>
    <w:p w:rsidR="00000000" w:rsidRDefault="00B03D17">
      <w:r>
        <w:t>The change in evaporative technology fraction to shift more toward zero-evaporative-emission cars</w:t>
      </w:r>
      <w:r>
        <w:t xml:space="preserve"> will result in a decrease of 0.1 tpd in 2010 (0.02% of the total onroad exhaust and evaporative ROG emissions that year).  The effect will increase every year as more and more zero-evaporative vehicles are sold.  In 2030 the effect is estimated to be a 10</w:t>
      </w:r>
      <w:r>
        <w:t>-tpd decrease of evaporative HC emissions out of 140 tpd that year of total evaporative emissions and 73 tpd that year of exhaust HC emissions.</w:t>
      </w:r>
    </w:p>
    <w:p w:rsidR="00000000" w:rsidRDefault="00B03D17"/>
    <w:p w:rsidR="00000000" w:rsidRDefault="00B03D17">
      <w:pPr>
        <w:pStyle w:val="Heading1"/>
      </w:pPr>
      <w:r>
        <w:t>NEED FOR REVISION</w:t>
      </w:r>
    </w:p>
    <w:p w:rsidR="00000000" w:rsidRDefault="00B03D17">
      <w:pPr>
        <w:keepNext/>
      </w:pPr>
    </w:p>
    <w:p w:rsidR="00000000" w:rsidRDefault="00B03D17">
      <w:pPr>
        <w:pStyle w:val="Heading1"/>
        <w:keepNext w:val="0"/>
        <w:rPr>
          <w:b w:val="0"/>
          <w:u w:val="none"/>
        </w:rPr>
      </w:pPr>
      <w:r>
        <w:rPr>
          <w:b w:val="0"/>
          <w:u w:val="none"/>
        </w:rPr>
        <w:t>As part of a review of CARB’s ZEV and LEVII programs, we noted a discrepancy between the exh</w:t>
      </w:r>
      <w:r>
        <w:rPr>
          <w:b w:val="0"/>
          <w:u w:val="none"/>
        </w:rPr>
        <w:t xml:space="preserve">aust and evaporative technology fractions with respect to PZEVs.  After consulting with staff from MSCD, it was determined that the evaporative technology fractions did not reflect their current expectations. </w:t>
      </w:r>
    </w:p>
    <w:p w:rsidR="00000000" w:rsidRDefault="00B03D17">
      <w:pPr>
        <w:pStyle w:val="Heading1"/>
        <w:keepNext w:val="0"/>
        <w:rPr>
          <w:b w:val="0"/>
          <w:u w:val="none"/>
        </w:rPr>
      </w:pPr>
    </w:p>
    <w:p w:rsidR="00000000" w:rsidRDefault="00B03D17">
      <w:pPr>
        <w:pStyle w:val="Heading1"/>
        <w:keepNext w:val="0"/>
        <w:rPr>
          <w:b w:val="0"/>
          <w:u w:val="none"/>
        </w:rPr>
      </w:pPr>
      <w:r>
        <w:rPr>
          <w:b w:val="0"/>
          <w:u w:val="none"/>
        </w:rPr>
        <w:t>Therefore, the evaporative technology fractio</w:t>
      </w:r>
      <w:r>
        <w:rPr>
          <w:b w:val="0"/>
          <w:u w:val="none"/>
        </w:rPr>
        <w:t>ns will be adjusted to be consistent with the exhaust technology fractions.  The new desired technology fractions are shown in Table 1.  The existing technology fractions are shown in Table 2.  It can be seen in Table 2 that the number or fraction of PZEVs</w:t>
      </w:r>
      <w:r>
        <w:rPr>
          <w:b w:val="0"/>
          <w:u w:val="none"/>
        </w:rPr>
        <w:t xml:space="preserve"> (vehicles meeting the zero-evaporative emission standards) will be increased six to eight-fold at the expense of vehicles meeting the near-zero evaporative emission standards.</w:t>
      </w:r>
    </w:p>
    <w:p w:rsidR="00000000" w:rsidRDefault="00B03D17"/>
    <w:p w:rsidR="00000000" w:rsidRDefault="00B03D17">
      <w:pPr>
        <w:jc w:val="center"/>
      </w:pPr>
      <w:r>
        <w:lastRenderedPageBreak/>
        <w:t xml:space="preserve">Table 2.  </w:t>
      </w:r>
    </w:p>
    <w:p w:rsidR="00000000" w:rsidRDefault="00B03D17">
      <w:pPr>
        <w:jc w:val="center"/>
      </w:pPr>
      <w:r>
        <w:t>Existing (7/2001) Evap Technology Fractions</w:t>
      </w:r>
    </w:p>
    <w:p w:rsidR="00000000" w:rsidRDefault="00B03D17"/>
    <w:tbl>
      <w:tblPr>
        <w:tblW w:w="0" w:type="auto"/>
        <w:tblLayout w:type="fixed"/>
        <w:tblCellMar>
          <w:left w:w="30" w:type="dxa"/>
          <w:right w:w="30" w:type="dxa"/>
        </w:tblCellMar>
        <w:tblLook w:val="0000" w:firstRow="0" w:lastRow="0" w:firstColumn="0" w:lastColumn="0" w:noHBand="0" w:noVBand="0"/>
      </w:tblPr>
      <w:tblGrid>
        <w:gridCol w:w="1010"/>
        <w:gridCol w:w="1263"/>
        <w:gridCol w:w="1073"/>
        <w:gridCol w:w="1010"/>
        <w:gridCol w:w="1010"/>
        <w:gridCol w:w="1342"/>
        <w:gridCol w:w="1010"/>
        <w:gridCol w:w="1011"/>
        <w:gridCol w:w="1010"/>
      </w:tblGrid>
      <w:tr w:rsidR="00000000">
        <w:tblPrEx>
          <w:tblCellMar>
            <w:top w:w="0" w:type="dxa"/>
            <w:bottom w:w="0" w:type="dxa"/>
          </w:tblCellMar>
        </w:tblPrEx>
        <w:trPr>
          <w:trHeight w:val="557"/>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center"/>
              <w:rPr>
                <w:snapToGrid w:val="0"/>
                <w:color w:val="000000"/>
                <w:sz w:val="20"/>
              </w:rPr>
            </w:pPr>
            <w:r>
              <w:rPr>
                <w:snapToGrid w:val="0"/>
                <w:color w:val="000000"/>
                <w:sz w:val="20"/>
              </w:rPr>
              <w:t>MY</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center"/>
              <w:rPr>
                <w:snapToGrid w:val="0"/>
                <w:color w:val="000000"/>
                <w:sz w:val="20"/>
              </w:rPr>
            </w:pPr>
            <w:r>
              <w:rPr>
                <w:snapToGrid w:val="0"/>
                <w:color w:val="000000"/>
                <w:sz w:val="20"/>
              </w:rPr>
              <w:t>86-94 TBI</w:t>
            </w: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center"/>
              <w:rPr>
                <w:snapToGrid w:val="0"/>
                <w:color w:val="000000"/>
                <w:sz w:val="20"/>
              </w:rPr>
            </w:pPr>
            <w:r>
              <w:rPr>
                <w:snapToGrid w:val="0"/>
                <w:color w:val="000000"/>
                <w:sz w:val="20"/>
              </w:rPr>
              <w:t>86-94 FI</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center"/>
              <w:rPr>
                <w:snapToGrid w:val="0"/>
                <w:color w:val="000000"/>
                <w:sz w:val="20"/>
              </w:rPr>
            </w:pPr>
            <w:r>
              <w:rPr>
                <w:snapToGrid w:val="0"/>
                <w:color w:val="000000"/>
                <w:sz w:val="20"/>
              </w:rPr>
              <w:t>+95 TBI</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center"/>
              <w:rPr>
                <w:snapToGrid w:val="0"/>
                <w:color w:val="000000"/>
                <w:sz w:val="20"/>
              </w:rPr>
            </w:pPr>
            <w:r>
              <w:rPr>
                <w:snapToGrid w:val="0"/>
                <w:color w:val="000000"/>
                <w:sz w:val="20"/>
              </w:rPr>
              <w:t>+95 FI</w:t>
            </w: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center"/>
              <w:rPr>
                <w:snapToGrid w:val="0"/>
                <w:color w:val="000000"/>
                <w:sz w:val="20"/>
              </w:rPr>
            </w:pPr>
            <w:r>
              <w:rPr>
                <w:snapToGrid w:val="0"/>
                <w:color w:val="000000"/>
                <w:sz w:val="20"/>
              </w:rPr>
              <w:t>Enhanced</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center"/>
              <w:rPr>
                <w:snapToGrid w:val="0"/>
                <w:color w:val="000000"/>
                <w:sz w:val="20"/>
              </w:rPr>
            </w:pPr>
            <w:r>
              <w:rPr>
                <w:snapToGrid w:val="0"/>
                <w:color w:val="000000"/>
                <w:sz w:val="20"/>
              </w:rPr>
              <w:t>Near-zero</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center"/>
              <w:rPr>
                <w:snapToGrid w:val="0"/>
                <w:color w:val="000000"/>
                <w:sz w:val="20"/>
              </w:rPr>
            </w:pPr>
            <w:r>
              <w:rPr>
                <w:snapToGrid w:val="0"/>
                <w:color w:val="000000"/>
                <w:sz w:val="20"/>
              </w:rPr>
              <w:t>Partial ZEVs</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center"/>
              <w:rPr>
                <w:snapToGrid w:val="0"/>
                <w:color w:val="000000"/>
                <w:sz w:val="20"/>
              </w:rPr>
            </w:pPr>
            <w:r>
              <w:rPr>
                <w:snapToGrid w:val="0"/>
                <w:color w:val="000000"/>
                <w:sz w:val="20"/>
              </w:rPr>
              <w:t>ZEVs</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1994</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11.4</w:t>
            </w: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88.6</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center"/>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center"/>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1995</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3.78</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86.22</w:t>
            </w: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1996</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2.80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67.20</w:t>
            </w: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30.0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1997</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1.80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48.20</w:t>
            </w: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50.0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1998</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100.0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1999</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100.0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2000</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100.0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2001</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100.0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2002</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100.0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2003</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9.6</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0.4</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2004</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54.0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36.0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9.6</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0.4</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2005</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18.0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72.0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9.6</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0.4</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2006</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9.5</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0.5</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2007</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9.4</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0.6</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2008</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9.4</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0.6</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2009</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9.1</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0.9</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2010</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1.0</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2011</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1.0</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2012</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8.6</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1.4</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2013</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8.6</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1.4</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2014</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8.6</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1.4</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2015</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8.1</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1.9</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2016</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8.1</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1.9</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2017</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8.1</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1.9</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2018</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7.</w:t>
            </w:r>
            <w:r>
              <w:rPr>
                <w:snapToGrid w:val="0"/>
                <w:color w:val="000000"/>
                <w:sz w:val="20"/>
              </w:rPr>
              <w:t>6</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2.4</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2019</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7.6</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2.4</w:t>
            </w:r>
          </w:p>
        </w:tc>
      </w:tr>
      <w:tr w:rsidR="00000000">
        <w:tblPrEx>
          <w:tblCellMar>
            <w:top w:w="0" w:type="dxa"/>
            <w:bottom w:w="0" w:type="dxa"/>
          </w:tblCellMar>
        </w:tblPrEx>
        <w:trPr>
          <w:trHeight w:val="278"/>
        </w:trPr>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2020</w:t>
            </w:r>
          </w:p>
        </w:tc>
        <w:tc>
          <w:tcPr>
            <w:tcW w:w="126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73"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p>
        </w:tc>
        <w:tc>
          <w:tcPr>
            <w:tcW w:w="1342"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0.0</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90.0</w:t>
            </w:r>
          </w:p>
        </w:tc>
        <w:tc>
          <w:tcPr>
            <w:tcW w:w="1011"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7.6</w:t>
            </w:r>
          </w:p>
        </w:tc>
        <w:tc>
          <w:tcPr>
            <w:tcW w:w="1010" w:type="dxa"/>
            <w:tcBorders>
              <w:top w:val="single" w:sz="2" w:space="0" w:color="000000"/>
              <w:left w:val="single" w:sz="2" w:space="0" w:color="000000"/>
              <w:bottom w:val="single" w:sz="2" w:space="0" w:color="000000"/>
              <w:right w:val="single" w:sz="2" w:space="0" w:color="000000"/>
            </w:tcBorders>
          </w:tcPr>
          <w:p w:rsidR="00000000" w:rsidRDefault="00B03D17">
            <w:pPr>
              <w:jc w:val="right"/>
              <w:rPr>
                <w:snapToGrid w:val="0"/>
                <w:color w:val="000000"/>
                <w:sz w:val="20"/>
              </w:rPr>
            </w:pPr>
            <w:r>
              <w:rPr>
                <w:snapToGrid w:val="0"/>
                <w:color w:val="000000"/>
                <w:sz w:val="20"/>
              </w:rPr>
              <w:t>2.4</w:t>
            </w:r>
          </w:p>
        </w:tc>
      </w:tr>
    </w:tbl>
    <w:p w:rsidR="00000000" w:rsidRDefault="00B03D17">
      <w:pPr>
        <w:rPr>
          <w:b/>
          <w:u w:val="single"/>
        </w:rPr>
      </w:pPr>
    </w:p>
    <w:p w:rsidR="00000000" w:rsidRDefault="00B03D17">
      <w:pPr>
        <w:rPr>
          <w:b/>
          <w:u w:val="single"/>
        </w:rPr>
      </w:pPr>
    </w:p>
    <w:p w:rsidR="00000000" w:rsidRDefault="00B03D17">
      <w:pPr>
        <w:pStyle w:val="Heading1"/>
      </w:pPr>
      <w:r>
        <w:t>AFFECTED SOURCE CODE/VERSION</w:t>
      </w:r>
    </w:p>
    <w:p w:rsidR="00000000" w:rsidRDefault="00B03D17"/>
    <w:p w:rsidR="00000000" w:rsidRDefault="00B03D17">
      <w:r>
        <w:t>TFEVASSIGN.for  Version 2.08 (7/17/01)</w:t>
      </w:r>
    </w:p>
    <w:p w:rsidR="00000000" w:rsidRDefault="00B03D17"/>
    <w:p w:rsidR="00000000" w:rsidRDefault="00B03D17">
      <w:pPr>
        <w:pStyle w:val="Heading2"/>
        <w:rPr>
          <w:u w:val="single"/>
        </w:rPr>
      </w:pPr>
      <w:r>
        <w:rPr>
          <w:u w:val="single"/>
        </w:rPr>
        <w:t>METHODOLOGY FOR REVISION</w:t>
      </w:r>
    </w:p>
    <w:p w:rsidR="00000000" w:rsidRDefault="00B03D17">
      <w:pPr>
        <w:keepNext/>
      </w:pPr>
    </w:p>
    <w:p w:rsidR="00000000" w:rsidRDefault="00B03D17">
      <w:r>
        <w:t xml:space="preserve">The revised new sales fractions were inserted in the data assignment statements for 2003 to 2040 </w:t>
      </w:r>
      <w:r>
        <w:t>model-year passenger cars and light-duty trucks (&lt;3750-lb curb weight).</w:t>
      </w:r>
    </w:p>
    <w:p w:rsidR="00000000" w:rsidRDefault="00B03D17"/>
    <w:p w:rsidR="00000000" w:rsidRDefault="00B03D17">
      <w:pPr>
        <w:pStyle w:val="Heading1"/>
      </w:pPr>
      <w:r>
        <w:lastRenderedPageBreak/>
        <w:t>INVENTORY EFFECTS</w:t>
      </w:r>
    </w:p>
    <w:p w:rsidR="00000000" w:rsidRDefault="00B03D17">
      <w:pPr>
        <w:keepNext/>
        <w:rPr>
          <w:b/>
          <w:u w:val="single"/>
        </w:rPr>
      </w:pPr>
    </w:p>
    <w:p w:rsidR="00000000" w:rsidRDefault="00B03D17">
      <w:r>
        <w:t>The following table shows the estimated change in emissions for the South Coast Air Basin that results from this revision to the implementation schedule.</w:t>
      </w:r>
    </w:p>
    <w:p w:rsidR="00000000" w:rsidRDefault="00B03D17"/>
    <w:p w:rsidR="00000000" w:rsidRDefault="00B03D17">
      <w:pPr>
        <w:pStyle w:val="Heading3"/>
        <w:rPr>
          <w:sz w:val="24"/>
        </w:rPr>
      </w:pPr>
      <w:r>
        <w:rPr>
          <w:sz w:val="24"/>
        </w:rPr>
        <w:t xml:space="preserve">Table 2. </w:t>
      </w:r>
      <w:r>
        <w:rPr>
          <w:sz w:val="24"/>
        </w:rPr>
        <w:t xml:space="preserve">Estimated Change in ROG Evaporative Emissions </w:t>
      </w:r>
    </w:p>
    <w:p w:rsidR="00000000" w:rsidRDefault="00B03D17">
      <w:pPr>
        <w:pStyle w:val="Heading3"/>
        <w:rPr>
          <w:sz w:val="24"/>
        </w:rPr>
      </w:pPr>
      <w:r>
        <w:rPr>
          <w:sz w:val="24"/>
        </w:rPr>
        <w:t>South Coast Air Basin, Tons per Day</w:t>
      </w:r>
    </w:p>
    <w:p w:rsidR="00000000" w:rsidRDefault="00B03D17"/>
    <w:tbl>
      <w:tblPr>
        <w:tblW w:w="0" w:type="auto"/>
        <w:tblInd w:w="55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60"/>
        <w:gridCol w:w="1120"/>
        <w:gridCol w:w="1120"/>
        <w:gridCol w:w="1120"/>
        <w:gridCol w:w="1120"/>
        <w:gridCol w:w="1220"/>
        <w:gridCol w:w="1239"/>
      </w:tblGrid>
      <w:tr w:rsidR="00000000">
        <w:tblPrEx>
          <w:tblCellMar>
            <w:top w:w="0" w:type="dxa"/>
            <w:left w:w="0" w:type="dxa"/>
            <w:bottom w:w="0" w:type="dxa"/>
            <w:right w:w="0" w:type="dxa"/>
          </w:tblCellMar>
        </w:tblPrEx>
        <w:trPr>
          <w:trHeight w:hRule="exact" w:val="500"/>
        </w:trPr>
        <w:tc>
          <w:tcPr>
            <w:tcW w:w="960" w:type="dxa"/>
            <w:tcBorders>
              <w:top w:val="single" w:sz="8" w:space="0" w:color="auto"/>
              <w:bottom w:val="nil"/>
              <w:right w:val="single" w:sz="8" w:space="0" w:color="auto"/>
            </w:tcBorders>
            <w:vAlign w:val="center"/>
          </w:tcPr>
          <w:p w:rsidR="00000000" w:rsidRDefault="00B03D17">
            <w:pPr>
              <w:jc w:val="center"/>
              <w:rPr>
                <w:rFonts w:eastAsia="Arial Unicode MS"/>
                <w:b/>
                <w:sz w:val="20"/>
              </w:rPr>
            </w:pPr>
          </w:p>
        </w:tc>
        <w:tc>
          <w:tcPr>
            <w:tcW w:w="2240" w:type="dxa"/>
            <w:gridSpan w:val="2"/>
            <w:tcBorders>
              <w:top w:val="single" w:sz="8" w:space="0" w:color="auto"/>
              <w:left w:val="nil"/>
              <w:bottom w:val="nil"/>
              <w:right w:val="dotted" w:sz="4" w:space="0" w:color="auto"/>
            </w:tcBorders>
            <w:vAlign w:val="center"/>
          </w:tcPr>
          <w:p w:rsidR="00000000" w:rsidRDefault="00B03D17">
            <w:pPr>
              <w:jc w:val="center"/>
              <w:rPr>
                <w:b/>
                <w:sz w:val="20"/>
              </w:rPr>
            </w:pPr>
            <w:r>
              <w:rPr>
                <w:b/>
                <w:sz w:val="20"/>
              </w:rPr>
              <w:t xml:space="preserve">Using current </w:t>
            </w:r>
          </w:p>
          <w:p w:rsidR="00000000" w:rsidRDefault="00B03D17">
            <w:pPr>
              <w:jc w:val="center"/>
              <w:rPr>
                <w:rFonts w:eastAsia="Arial Unicode MS"/>
                <w:b/>
                <w:sz w:val="20"/>
              </w:rPr>
            </w:pPr>
            <w:r>
              <w:rPr>
                <w:b/>
                <w:sz w:val="20"/>
              </w:rPr>
              <w:t>default sched</w:t>
            </w:r>
          </w:p>
        </w:tc>
        <w:tc>
          <w:tcPr>
            <w:tcW w:w="2240" w:type="dxa"/>
            <w:gridSpan w:val="2"/>
            <w:tcBorders>
              <w:top w:val="single" w:sz="8" w:space="0" w:color="auto"/>
              <w:left w:val="nil"/>
              <w:bottom w:val="nil"/>
              <w:right w:val="single" w:sz="8" w:space="0" w:color="auto"/>
            </w:tcBorders>
            <w:vAlign w:val="center"/>
          </w:tcPr>
          <w:p w:rsidR="00000000" w:rsidRDefault="00B03D17">
            <w:pPr>
              <w:jc w:val="center"/>
              <w:rPr>
                <w:b/>
                <w:sz w:val="20"/>
              </w:rPr>
            </w:pPr>
            <w:r>
              <w:rPr>
                <w:b/>
                <w:sz w:val="20"/>
              </w:rPr>
              <w:t xml:space="preserve">With updated </w:t>
            </w:r>
          </w:p>
          <w:p w:rsidR="00000000" w:rsidRDefault="00B03D17">
            <w:pPr>
              <w:jc w:val="center"/>
              <w:rPr>
                <w:rFonts w:eastAsia="Arial Unicode MS"/>
                <w:b/>
                <w:sz w:val="20"/>
              </w:rPr>
            </w:pPr>
            <w:r>
              <w:rPr>
                <w:b/>
                <w:sz w:val="20"/>
              </w:rPr>
              <w:t>evap sched</w:t>
            </w:r>
          </w:p>
        </w:tc>
        <w:tc>
          <w:tcPr>
            <w:tcW w:w="2459" w:type="dxa"/>
            <w:gridSpan w:val="2"/>
            <w:tcBorders>
              <w:top w:val="single" w:sz="8" w:space="0" w:color="auto"/>
              <w:left w:val="nil"/>
              <w:bottom w:val="nil"/>
            </w:tcBorders>
            <w:vAlign w:val="center"/>
          </w:tcPr>
          <w:p w:rsidR="00000000" w:rsidRDefault="00B03D17">
            <w:pPr>
              <w:jc w:val="center"/>
              <w:rPr>
                <w:b/>
                <w:sz w:val="20"/>
              </w:rPr>
            </w:pPr>
            <w:r>
              <w:rPr>
                <w:b/>
                <w:sz w:val="20"/>
              </w:rPr>
              <w:t>Emissions</w:t>
            </w:r>
          </w:p>
          <w:p w:rsidR="00000000" w:rsidRDefault="00B03D17">
            <w:pPr>
              <w:jc w:val="center"/>
              <w:rPr>
                <w:rFonts w:eastAsia="Arial Unicode MS"/>
                <w:b/>
                <w:sz w:val="20"/>
              </w:rPr>
            </w:pPr>
            <w:r>
              <w:rPr>
                <w:b/>
                <w:sz w:val="20"/>
              </w:rPr>
              <w:t>difference</w:t>
            </w:r>
          </w:p>
        </w:tc>
      </w:tr>
      <w:tr w:rsidR="00000000">
        <w:tblPrEx>
          <w:tblCellMar>
            <w:top w:w="0" w:type="dxa"/>
            <w:left w:w="0" w:type="dxa"/>
            <w:bottom w:w="0" w:type="dxa"/>
            <w:right w:w="0" w:type="dxa"/>
          </w:tblCellMar>
        </w:tblPrEx>
        <w:trPr>
          <w:trHeight w:hRule="exact" w:val="360"/>
        </w:trPr>
        <w:tc>
          <w:tcPr>
            <w:tcW w:w="960" w:type="dxa"/>
            <w:tcBorders>
              <w:top w:val="nil"/>
              <w:bottom w:val="single" w:sz="8" w:space="0" w:color="auto"/>
              <w:right w:val="single" w:sz="8" w:space="0" w:color="auto"/>
            </w:tcBorders>
            <w:vAlign w:val="center"/>
          </w:tcPr>
          <w:p w:rsidR="00000000" w:rsidRDefault="00B03D17">
            <w:pPr>
              <w:jc w:val="center"/>
              <w:rPr>
                <w:rFonts w:eastAsia="Arial Unicode MS"/>
                <w:b/>
                <w:sz w:val="20"/>
              </w:rPr>
            </w:pPr>
            <w:r>
              <w:rPr>
                <w:rFonts w:eastAsia="Arial Unicode MS"/>
                <w:b/>
                <w:sz w:val="20"/>
              </w:rPr>
              <w:t>Cal Yr</w:t>
            </w:r>
          </w:p>
        </w:tc>
        <w:tc>
          <w:tcPr>
            <w:tcW w:w="1120" w:type="dxa"/>
            <w:tcBorders>
              <w:top w:val="nil"/>
              <w:left w:val="nil"/>
              <w:bottom w:val="single" w:sz="8" w:space="0" w:color="auto"/>
            </w:tcBorders>
            <w:vAlign w:val="center"/>
          </w:tcPr>
          <w:p w:rsidR="00000000" w:rsidRDefault="00B03D17">
            <w:pPr>
              <w:jc w:val="center"/>
              <w:rPr>
                <w:rFonts w:eastAsia="Arial Unicode MS"/>
                <w:sz w:val="20"/>
              </w:rPr>
            </w:pPr>
            <w:r>
              <w:rPr>
                <w:sz w:val="20"/>
              </w:rPr>
              <w:t>LDA</w:t>
            </w:r>
          </w:p>
        </w:tc>
        <w:tc>
          <w:tcPr>
            <w:tcW w:w="1120" w:type="dxa"/>
            <w:tcBorders>
              <w:top w:val="nil"/>
              <w:bottom w:val="single" w:sz="8" w:space="0" w:color="auto"/>
              <w:right w:val="dotted" w:sz="4" w:space="0" w:color="auto"/>
            </w:tcBorders>
            <w:vAlign w:val="center"/>
          </w:tcPr>
          <w:p w:rsidR="00000000" w:rsidRDefault="00B03D17">
            <w:pPr>
              <w:jc w:val="center"/>
              <w:rPr>
                <w:rFonts w:eastAsia="Arial Unicode MS"/>
                <w:sz w:val="20"/>
              </w:rPr>
            </w:pPr>
            <w:r>
              <w:rPr>
                <w:sz w:val="20"/>
              </w:rPr>
              <w:t>LDT1</w:t>
            </w:r>
          </w:p>
        </w:tc>
        <w:tc>
          <w:tcPr>
            <w:tcW w:w="1120" w:type="dxa"/>
            <w:tcBorders>
              <w:top w:val="nil"/>
              <w:left w:val="nil"/>
              <w:bottom w:val="single" w:sz="8" w:space="0" w:color="auto"/>
            </w:tcBorders>
            <w:vAlign w:val="center"/>
          </w:tcPr>
          <w:p w:rsidR="00000000" w:rsidRDefault="00B03D17">
            <w:pPr>
              <w:jc w:val="center"/>
              <w:rPr>
                <w:rFonts w:eastAsia="Arial Unicode MS"/>
                <w:sz w:val="20"/>
              </w:rPr>
            </w:pPr>
            <w:r>
              <w:rPr>
                <w:sz w:val="20"/>
              </w:rPr>
              <w:t>LDA</w:t>
            </w:r>
          </w:p>
        </w:tc>
        <w:tc>
          <w:tcPr>
            <w:tcW w:w="1120" w:type="dxa"/>
            <w:tcBorders>
              <w:top w:val="nil"/>
              <w:bottom w:val="single" w:sz="8" w:space="0" w:color="auto"/>
              <w:right w:val="single" w:sz="8" w:space="0" w:color="auto"/>
            </w:tcBorders>
            <w:vAlign w:val="center"/>
          </w:tcPr>
          <w:p w:rsidR="00000000" w:rsidRDefault="00B03D17">
            <w:pPr>
              <w:jc w:val="center"/>
              <w:rPr>
                <w:rFonts w:eastAsia="Arial Unicode MS"/>
                <w:sz w:val="20"/>
              </w:rPr>
            </w:pPr>
            <w:r>
              <w:rPr>
                <w:sz w:val="20"/>
              </w:rPr>
              <w:t>LDT1</w:t>
            </w:r>
          </w:p>
        </w:tc>
        <w:tc>
          <w:tcPr>
            <w:tcW w:w="1220" w:type="dxa"/>
            <w:tcBorders>
              <w:top w:val="nil"/>
              <w:left w:val="nil"/>
              <w:bottom w:val="single" w:sz="8" w:space="0" w:color="auto"/>
            </w:tcBorders>
            <w:vAlign w:val="center"/>
          </w:tcPr>
          <w:p w:rsidR="00000000" w:rsidRDefault="00B03D17">
            <w:pPr>
              <w:jc w:val="center"/>
              <w:rPr>
                <w:rFonts w:eastAsia="Arial Unicode MS"/>
                <w:sz w:val="20"/>
              </w:rPr>
            </w:pPr>
            <w:r>
              <w:rPr>
                <w:sz w:val="20"/>
              </w:rPr>
              <w:t>LDA</w:t>
            </w:r>
          </w:p>
        </w:tc>
        <w:tc>
          <w:tcPr>
            <w:tcW w:w="1239" w:type="dxa"/>
            <w:tcBorders>
              <w:top w:val="nil"/>
              <w:bottom w:val="single" w:sz="8" w:space="0" w:color="auto"/>
            </w:tcBorders>
            <w:vAlign w:val="center"/>
          </w:tcPr>
          <w:p w:rsidR="00000000" w:rsidRDefault="00B03D17">
            <w:pPr>
              <w:jc w:val="center"/>
              <w:rPr>
                <w:rFonts w:eastAsia="Arial Unicode MS"/>
                <w:sz w:val="20"/>
              </w:rPr>
            </w:pPr>
            <w:r>
              <w:rPr>
                <w:rFonts w:eastAsia="Arial Unicode MS"/>
                <w:sz w:val="20"/>
              </w:rPr>
              <w:t>LDT1</w:t>
            </w:r>
          </w:p>
        </w:tc>
      </w:tr>
      <w:tr w:rsidR="00000000">
        <w:tblPrEx>
          <w:tblCellMar>
            <w:top w:w="0" w:type="dxa"/>
            <w:left w:w="0" w:type="dxa"/>
            <w:bottom w:w="0" w:type="dxa"/>
            <w:right w:w="0" w:type="dxa"/>
          </w:tblCellMar>
        </w:tblPrEx>
        <w:trPr>
          <w:trHeight w:hRule="exact" w:val="360"/>
        </w:trPr>
        <w:tc>
          <w:tcPr>
            <w:tcW w:w="960" w:type="dxa"/>
            <w:tcBorders>
              <w:top w:val="nil"/>
              <w:right w:val="single" w:sz="8" w:space="0" w:color="auto"/>
            </w:tcBorders>
            <w:vAlign w:val="center"/>
          </w:tcPr>
          <w:p w:rsidR="00000000" w:rsidRDefault="00B03D17">
            <w:pPr>
              <w:jc w:val="center"/>
              <w:rPr>
                <w:rFonts w:eastAsia="Arial Unicode MS"/>
                <w:sz w:val="20"/>
              </w:rPr>
            </w:pPr>
            <w:r>
              <w:rPr>
                <w:sz w:val="20"/>
              </w:rPr>
              <w:t>2010</w:t>
            </w:r>
          </w:p>
        </w:tc>
        <w:tc>
          <w:tcPr>
            <w:tcW w:w="1120" w:type="dxa"/>
            <w:tcBorders>
              <w:top w:val="nil"/>
              <w:left w:val="nil"/>
            </w:tcBorders>
            <w:vAlign w:val="center"/>
          </w:tcPr>
          <w:p w:rsidR="00000000" w:rsidRDefault="00B03D17">
            <w:pPr>
              <w:jc w:val="center"/>
              <w:rPr>
                <w:rFonts w:eastAsia="Arial Unicode MS"/>
                <w:sz w:val="20"/>
              </w:rPr>
            </w:pPr>
            <w:r>
              <w:rPr>
                <w:sz w:val="20"/>
              </w:rPr>
              <w:t>54.04</w:t>
            </w:r>
          </w:p>
        </w:tc>
        <w:tc>
          <w:tcPr>
            <w:tcW w:w="1120" w:type="dxa"/>
            <w:tcBorders>
              <w:top w:val="nil"/>
              <w:right w:val="dotted" w:sz="4" w:space="0" w:color="auto"/>
            </w:tcBorders>
            <w:vAlign w:val="center"/>
          </w:tcPr>
          <w:p w:rsidR="00000000" w:rsidRDefault="00B03D17">
            <w:pPr>
              <w:jc w:val="center"/>
              <w:rPr>
                <w:rFonts w:eastAsia="Arial Unicode MS"/>
                <w:sz w:val="20"/>
              </w:rPr>
            </w:pPr>
            <w:r>
              <w:rPr>
                <w:sz w:val="20"/>
              </w:rPr>
              <w:t>12.14</w:t>
            </w:r>
          </w:p>
        </w:tc>
        <w:tc>
          <w:tcPr>
            <w:tcW w:w="1120" w:type="dxa"/>
            <w:tcBorders>
              <w:top w:val="nil"/>
              <w:left w:val="nil"/>
            </w:tcBorders>
            <w:vAlign w:val="center"/>
          </w:tcPr>
          <w:p w:rsidR="00000000" w:rsidRDefault="00B03D17">
            <w:pPr>
              <w:jc w:val="center"/>
              <w:rPr>
                <w:rFonts w:eastAsia="Arial Unicode MS"/>
                <w:sz w:val="20"/>
              </w:rPr>
            </w:pPr>
            <w:r>
              <w:rPr>
                <w:sz w:val="20"/>
              </w:rPr>
              <w:t>54.00</w:t>
            </w:r>
          </w:p>
        </w:tc>
        <w:tc>
          <w:tcPr>
            <w:tcW w:w="1120" w:type="dxa"/>
            <w:tcBorders>
              <w:top w:val="nil"/>
              <w:right w:val="single" w:sz="8" w:space="0" w:color="auto"/>
            </w:tcBorders>
            <w:vAlign w:val="center"/>
          </w:tcPr>
          <w:p w:rsidR="00000000" w:rsidRDefault="00B03D17">
            <w:pPr>
              <w:jc w:val="center"/>
              <w:rPr>
                <w:rFonts w:eastAsia="Arial Unicode MS"/>
                <w:sz w:val="20"/>
              </w:rPr>
            </w:pPr>
            <w:r>
              <w:rPr>
                <w:sz w:val="20"/>
              </w:rPr>
              <w:t>12.16</w:t>
            </w:r>
          </w:p>
        </w:tc>
        <w:tc>
          <w:tcPr>
            <w:tcW w:w="1220" w:type="dxa"/>
            <w:tcBorders>
              <w:top w:val="nil"/>
              <w:left w:val="nil"/>
            </w:tcBorders>
            <w:vAlign w:val="center"/>
          </w:tcPr>
          <w:p w:rsidR="00000000" w:rsidRDefault="00B03D17">
            <w:pPr>
              <w:jc w:val="center"/>
              <w:rPr>
                <w:rFonts w:eastAsia="Arial Unicode MS"/>
                <w:b/>
                <w:sz w:val="20"/>
              </w:rPr>
            </w:pPr>
            <w:r>
              <w:rPr>
                <w:b/>
                <w:sz w:val="20"/>
              </w:rPr>
              <w:t>-0.04</w:t>
            </w:r>
          </w:p>
        </w:tc>
        <w:tc>
          <w:tcPr>
            <w:tcW w:w="1239" w:type="dxa"/>
            <w:tcBorders>
              <w:top w:val="nil"/>
            </w:tcBorders>
            <w:vAlign w:val="center"/>
          </w:tcPr>
          <w:p w:rsidR="00000000" w:rsidRDefault="00B03D17">
            <w:pPr>
              <w:jc w:val="center"/>
              <w:rPr>
                <w:rFonts w:eastAsia="Arial Unicode MS"/>
                <w:b/>
                <w:sz w:val="20"/>
              </w:rPr>
            </w:pPr>
            <w:r>
              <w:rPr>
                <w:b/>
                <w:sz w:val="20"/>
              </w:rPr>
              <w:t>0.02</w:t>
            </w:r>
          </w:p>
        </w:tc>
      </w:tr>
      <w:tr w:rsidR="00000000">
        <w:tblPrEx>
          <w:tblCellMar>
            <w:top w:w="0" w:type="dxa"/>
            <w:left w:w="0" w:type="dxa"/>
            <w:bottom w:w="0" w:type="dxa"/>
            <w:right w:w="0" w:type="dxa"/>
          </w:tblCellMar>
        </w:tblPrEx>
        <w:trPr>
          <w:trHeight w:hRule="exact" w:val="360"/>
        </w:trPr>
        <w:tc>
          <w:tcPr>
            <w:tcW w:w="960" w:type="dxa"/>
            <w:tcBorders>
              <w:bottom w:val="single" w:sz="8" w:space="0" w:color="auto"/>
              <w:right w:val="single" w:sz="8" w:space="0" w:color="auto"/>
            </w:tcBorders>
            <w:vAlign w:val="center"/>
          </w:tcPr>
          <w:p w:rsidR="00000000" w:rsidRDefault="00B03D17">
            <w:pPr>
              <w:jc w:val="center"/>
              <w:rPr>
                <w:rFonts w:eastAsia="Arial Unicode MS"/>
                <w:sz w:val="20"/>
              </w:rPr>
            </w:pPr>
            <w:r>
              <w:rPr>
                <w:sz w:val="20"/>
              </w:rPr>
              <w:t>2020</w:t>
            </w:r>
          </w:p>
        </w:tc>
        <w:tc>
          <w:tcPr>
            <w:tcW w:w="1120" w:type="dxa"/>
            <w:tcBorders>
              <w:left w:val="nil"/>
              <w:bottom w:val="single" w:sz="8" w:space="0" w:color="auto"/>
            </w:tcBorders>
            <w:vAlign w:val="center"/>
          </w:tcPr>
          <w:p w:rsidR="00000000" w:rsidRDefault="00B03D17">
            <w:pPr>
              <w:jc w:val="center"/>
              <w:rPr>
                <w:rFonts w:eastAsia="Arial Unicode MS"/>
                <w:sz w:val="20"/>
              </w:rPr>
            </w:pPr>
            <w:r>
              <w:rPr>
                <w:sz w:val="20"/>
              </w:rPr>
              <w:t>32.58</w:t>
            </w:r>
          </w:p>
        </w:tc>
        <w:tc>
          <w:tcPr>
            <w:tcW w:w="1120" w:type="dxa"/>
            <w:tcBorders>
              <w:bottom w:val="single" w:sz="8" w:space="0" w:color="auto"/>
              <w:right w:val="dotted" w:sz="4" w:space="0" w:color="auto"/>
            </w:tcBorders>
            <w:vAlign w:val="center"/>
          </w:tcPr>
          <w:p w:rsidR="00000000" w:rsidRDefault="00B03D17">
            <w:pPr>
              <w:jc w:val="center"/>
              <w:rPr>
                <w:rFonts w:eastAsia="Arial Unicode MS"/>
                <w:sz w:val="20"/>
              </w:rPr>
            </w:pPr>
            <w:r>
              <w:rPr>
                <w:sz w:val="20"/>
              </w:rPr>
              <w:t>8.58</w:t>
            </w:r>
          </w:p>
        </w:tc>
        <w:tc>
          <w:tcPr>
            <w:tcW w:w="1120" w:type="dxa"/>
            <w:tcBorders>
              <w:left w:val="nil"/>
              <w:bottom w:val="single" w:sz="8" w:space="0" w:color="auto"/>
            </w:tcBorders>
            <w:vAlign w:val="center"/>
          </w:tcPr>
          <w:p w:rsidR="00000000" w:rsidRDefault="00B03D17">
            <w:pPr>
              <w:jc w:val="center"/>
              <w:rPr>
                <w:rFonts w:eastAsia="Arial Unicode MS"/>
                <w:sz w:val="20"/>
              </w:rPr>
            </w:pPr>
            <w:r>
              <w:rPr>
                <w:sz w:val="20"/>
              </w:rPr>
              <w:t>31.</w:t>
            </w:r>
            <w:r>
              <w:rPr>
                <w:sz w:val="20"/>
              </w:rPr>
              <w:t>23</w:t>
            </w:r>
          </w:p>
        </w:tc>
        <w:tc>
          <w:tcPr>
            <w:tcW w:w="1120" w:type="dxa"/>
            <w:tcBorders>
              <w:bottom w:val="single" w:sz="8" w:space="0" w:color="auto"/>
              <w:right w:val="single" w:sz="8" w:space="0" w:color="auto"/>
            </w:tcBorders>
            <w:vAlign w:val="center"/>
          </w:tcPr>
          <w:p w:rsidR="00000000" w:rsidRDefault="00B03D17">
            <w:pPr>
              <w:jc w:val="center"/>
              <w:rPr>
                <w:rFonts w:eastAsia="Arial Unicode MS"/>
                <w:sz w:val="20"/>
              </w:rPr>
            </w:pPr>
            <w:r>
              <w:rPr>
                <w:sz w:val="20"/>
              </w:rPr>
              <w:t>8.34</w:t>
            </w:r>
          </w:p>
        </w:tc>
        <w:tc>
          <w:tcPr>
            <w:tcW w:w="1220" w:type="dxa"/>
            <w:tcBorders>
              <w:left w:val="nil"/>
            </w:tcBorders>
            <w:vAlign w:val="center"/>
          </w:tcPr>
          <w:p w:rsidR="00000000" w:rsidRDefault="00B03D17">
            <w:pPr>
              <w:jc w:val="center"/>
              <w:rPr>
                <w:rFonts w:eastAsia="Arial Unicode MS"/>
                <w:b/>
                <w:sz w:val="20"/>
              </w:rPr>
            </w:pPr>
            <w:r>
              <w:rPr>
                <w:b/>
                <w:sz w:val="20"/>
              </w:rPr>
              <w:t>-1.35</w:t>
            </w:r>
          </w:p>
        </w:tc>
        <w:tc>
          <w:tcPr>
            <w:tcW w:w="1239" w:type="dxa"/>
            <w:vAlign w:val="center"/>
          </w:tcPr>
          <w:p w:rsidR="00000000" w:rsidRDefault="00B03D17">
            <w:pPr>
              <w:jc w:val="center"/>
              <w:rPr>
                <w:rFonts w:eastAsia="Arial Unicode MS"/>
                <w:b/>
                <w:sz w:val="20"/>
              </w:rPr>
            </w:pPr>
            <w:r>
              <w:rPr>
                <w:b/>
                <w:sz w:val="20"/>
              </w:rPr>
              <w:t>-0.24</w:t>
            </w:r>
          </w:p>
        </w:tc>
      </w:tr>
    </w:tbl>
    <w:p w:rsidR="00000000" w:rsidRDefault="00B03D17">
      <w:pPr>
        <w:tabs>
          <w:tab w:val="left" w:pos="1980"/>
        </w:tabs>
        <w:rPr>
          <w:sz w:val="20"/>
        </w:rPr>
      </w:pPr>
      <w:r>
        <w:rPr>
          <w:sz w:val="20"/>
        </w:rPr>
        <w:tab/>
        <w:t>* Note: A negative value indicates a decrease in emissions.</w:t>
      </w:r>
    </w:p>
    <w:p w:rsidR="00000000" w:rsidRDefault="00B03D17"/>
    <w:p w:rsidR="00000000" w:rsidRDefault="00B03D17"/>
    <w:p w:rsidR="00000000" w:rsidRDefault="00B03D17">
      <w:r>
        <w:t>Table 3 shows the change in emission estimates obtained from running EMFAC 2001 with and without the evaporative tech fraction change.  This is on an average-summer-day bas</w:t>
      </w:r>
      <w:r>
        <w:t>is for the years 1980 through 2030, broken down by evaporative emissions type.  Virtually no effect is seen before 2004, the first year for the LEV II evaporative requirements</w:t>
      </w:r>
      <w:r>
        <w:rPr>
          <w:rStyle w:val="FootnoteReference"/>
        </w:rPr>
        <w:footnoteReference w:customMarkFollows="1" w:id="2"/>
        <w:t>**</w:t>
      </w:r>
      <w:r>
        <w:t>.  This shift from near-zero evaporative emissions to zero evaporative emission</w:t>
      </w:r>
      <w:r>
        <w:t>s results in a decrease in evaporative emissions of about 11 tpd in 2030, about half of which is attributable to decreased running losses.</w:t>
      </w:r>
    </w:p>
    <w:p w:rsidR="00000000" w:rsidRDefault="00B03D17"/>
    <w:p w:rsidR="00000000" w:rsidRDefault="00B03D17">
      <w:pPr>
        <w:pageBreakBefore/>
        <w:jc w:val="center"/>
        <w:rPr>
          <w:snapToGrid w:val="0"/>
          <w:color w:val="000000"/>
        </w:rPr>
      </w:pPr>
      <w:r>
        <w:rPr>
          <w:snapToGrid w:val="0"/>
          <w:color w:val="000000"/>
        </w:rPr>
        <w:lastRenderedPageBreak/>
        <w:t>Table 3.  ROG Emission Effects due to Evap Tech Changes</w:t>
      </w:r>
    </w:p>
    <w:p w:rsidR="00000000" w:rsidRDefault="00B03D17">
      <w:pPr>
        <w:keepNext/>
        <w:jc w:val="center"/>
      </w:pPr>
      <w:r>
        <w:rPr>
          <w:snapToGrid w:val="0"/>
          <w:color w:val="000000"/>
        </w:rPr>
        <w:t>Statewide Summer day</w:t>
      </w:r>
    </w:p>
    <w:p w:rsidR="00000000" w:rsidRDefault="00B03D17">
      <w:pPr>
        <w:keepNext/>
      </w:pPr>
    </w:p>
    <w:tbl>
      <w:tblPr>
        <w:tblW w:w="0" w:type="auto"/>
        <w:tblInd w:w="1290" w:type="dxa"/>
        <w:tblLayout w:type="fixed"/>
        <w:tblCellMar>
          <w:left w:w="30" w:type="dxa"/>
          <w:right w:w="30" w:type="dxa"/>
        </w:tblCellMar>
        <w:tblLook w:val="0000" w:firstRow="0" w:lastRow="0" w:firstColumn="0" w:lastColumn="0" w:noHBand="0" w:noVBand="0"/>
      </w:tblPr>
      <w:tblGrid>
        <w:gridCol w:w="1110"/>
        <w:gridCol w:w="911"/>
        <w:gridCol w:w="1069"/>
        <w:gridCol w:w="990"/>
        <w:gridCol w:w="972"/>
        <w:gridCol w:w="1010"/>
        <w:gridCol w:w="1246"/>
      </w:tblGrid>
      <w:tr w:rsidR="00000000">
        <w:tblPrEx>
          <w:tblCellMar>
            <w:top w:w="0" w:type="dxa"/>
            <w:bottom w:w="0" w:type="dxa"/>
          </w:tblCellMar>
        </w:tblPrEx>
        <w:trPr>
          <w:cantSplit/>
          <w:trHeight w:val="247"/>
        </w:trPr>
        <w:tc>
          <w:tcPr>
            <w:tcW w:w="1110" w:type="dxa"/>
            <w:tcBorders>
              <w:top w:val="single" w:sz="12" w:space="0" w:color="auto"/>
              <w:left w:val="single" w:sz="12" w:space="0" w:color="auto"/>
              <w:bottom w:val="single" w:sz="2" w:space="0" w:color="000000"/>
              <w:right w:val="single" w:sz="6" w:space="0" w:color="auto"/>
            </w:tcBorders>
          </w:tcPr>
          <w:p w:rsidR="00000000" w:rsidRDefault="00B03D17">
            <w:pPr>
              <w:jc w:val="center"/>
              <w:rPr>
                <w:snapToGrid w:val="0"/>
                <w:color w:val="000000"/>
              </w:rPr>
            </w:pPr>
            <w:r>
              <w:rPr>
                <w:snapToGrid w:val="0"/>
                <w:color w:val="000000"/>
              </w:rPr>
              <w:t>Calendar Year</w:t>
            </w:r>
          </w:p>
        </w:tc>
        <w:tc>
          <w:tcPr>
            <w:tcW w:w="4952" w:type="dxa"/>
            <w:gridSpan w:val="5"/>
            <w:tcBorders>
              <w:top w:val="single" w:sz="12" w:space="0" w:color="auto"/>
              <w:left w:val="single" w:sz="6" w:space="0" w:color="auto"/>
              <w:bottom w:val="single" w:sz="6" w:space="0" w:color="auto"/>
              <w:right w:val="single" w:sz="6" w:space="0" w:color="auto"/>
            </w:tcBorders>
          </w:tcPr>
          <w:p w:rsidR="00000000" w:rsidRDefault="00B03D17">
            <w:pPr>
              <w:jc w:val="center"/>
              <w:rPr>
                <w:snapToGrid w:val="0"/>
                <w:color w:val="000000"/>
              </w:rPr>
            </w:pPr>
            <w:r>
              <w:rPr>
                <w:snapToGrid w:val="0"/>
                <w:color w:val="000000"/>
              </w:rPr>
              <w:t>On-road Evaporative Emis</w:t>
            </w:r>
            <w:r>
              <w:rPr>
                <w:snapToGrid w:val="0"/>
                <w:color w:val="000000"/>
              </w:rPr>
              <w:t>sions Change</w:t>
            </w:r>
          </w:p>
          <w:p w:rsidR="00000000" w:rsidRDefault="00B03D17">
            <w:pPr>
              <w:jc w:val="center"/>
              <w:rPr>
                <w:snapToGrid w:val="0"/>
                <w:color w:val="000000"/>
              </w:rPr>
            </w:pPr>
            <w:r>
              <w:rPr>
                <w:snapToGrid w:val="0"/>
                <w:color w:val="000000"/>
              </w:rPr>
              <w:t>(tons per day)</w:t>
            </w:r>
          </w:p>
        </w:tc>
        <w:tc>
          <w:tcPr>
            <w:tcW w:w="1246" w:type="dxa"/>
            <w:tcBorders>
              <w:top w:val="single" w:sz="12" w:space="0" w:color="auto"/>
              <w:left w:val="single" w:sz="6" w:space="0" w:color="auto"/>
              <w:bottom w:val="single" w:sz="2" w:space="0" w:color="000000"/>
              <w:right w:val="single" w:sz="12" w:space="0" w:color="auto"/>
            </w:tcBorders>
          </w:tcPr>
          <w:p w:rsidR="00000000" w:rsidRDefault="00B03D17">
            <w:pPr>
              <w:jc w:val="center"/>
              <w:rPr>
                <w:snapToGrid w:val="0"/>
                <w:color w:val="000000"/>
              </w:rPr>
            </w:pPr>
            <w:r>
              <w:rPr>
                <w:snapToGrid w:val="0"/>
                <w:color w:val="000000"/>
              </w:rPr>
              <w:t>Change To Total On-road ROG Inventory</w:t>
            </w:r>
          </w:p>
        </w:tc>
      </w:tr>
      <w:tr w:rsidR="00000000">
        <w:tblPrEx>
          <w:tblCellMar>
            <w:top w:w="0" w:type="dxa"/>
            <w:bottom w:w="0" w:type="dxa"/>
          </w:tblCellMar>
        </w:tblPrEx>
        <w:trPr>
          <w:trHeight w:val="247"/>
        </w:trPr>
        <w:tc>
          <w:tcPr>
            <w:tcW w:w="1110" w:type="dxa"/>
            <w:tcBorders>
              <w:top w:val="single" w:sz="2" w:space="0" w:color="000000"/>
              <w:left w:val="single" w:sz="12" w:space="0" w:color="auto"/>
              <w:bottom w:val="single" w:sz="6" w:space="0" w:color="auto"/>
              <w:right w:val="single" w:sz="6" w:space="0" w:color="auto"/>
            </w:tcBorders>
          </w:tcPr>
          <w:p w:rsidR="00000000" w:rsidRDefault="00B03D17">
            <w:pPr>
              <w:jc w:val="center"/>
              <w:rPr>
                <w:snapToGrid w:val="0"/>
                <w:color w:val="000000"/>
              </w:rPr>
            </w:pPr>
          </w:p>
        </w:tc>
        <w:tc>
          <w:tcPr>
            <w:tcW w:w="911" w:type="dxa"/>
            <w:tcBorders>
              <w:top w:val="single" w:sz="6" w:space="0" w:color="auto"/>
              <w:left w:val="single" w:sz="6" w:space="0" w:color="auto"/>
              <w:bottom w:val="single" w:sz="2" w:space="0" w:color="000000"/>
              <w:right w:val="single" w:sz="2" w:space="0" w:color="000000"/>
            </w:tcBorders>
          </w:tcPr>
          <w:p w:rsidR="00000000" w:rsidRDefault="00B03D17">
            <w:pPr>
              <w:jc w:val="center"/>
              <w:rPr>
                <w:snapToGrid w:val="0"/>
                <w:color w:val="000000"/>
              </w:rPr>
            </w:pPr>
            <w:r>
              <w:rPr>
                <w:snapToGrid w:val="0"/>
                <w:color w:val="000000"/>
              </w:rPr>
              <w:t>Diurnal</w:t>
            </w:r>
          </w:p>
        </w:tc>
        <w:tc>
          <w:tcPr>
            <w:tcW w:w="1069" w:type="dxa"/>
            <w:tcBorders>
              <w:top w:val="single" w:sz="6" w:space="0" w:color="auto"/>
              <w:left w:val="single" w:sz="2" w:space="0" w:color="000000"/>
              <w:bottom w:val="single" w:sz="2" w:space="0" w:color="000000"/>
              <w:right w:val="single" w:sz="2" w:space="0" w:color="000000"/>
            </w:tcBorders>
          </w:tcPr>
          <w:p w:rsidR="00000000" w:rsidRDefault="00B03D17">
            <w:pPr>
              <w:jc w:val="center"/>
              <w:rPr>
                <w:snapToGrid w:val="0"/>
                <w:color w:val="000000"/>
              </w:rPr>
            </w:pPr>
            <w:r>
              <w:rPr>
                <w:snapToGrid w:val="0"/>
                <w:color w:val="000000"/>
              </w:rPr>
              <w:t>Hot Soak</w:t>
            </w:r>
          </w:p>
        </w:tc>
        <w:tc>
          <w:tcPr>
            <w:tcW w:w="990" w:type="dxa"/>
            <w:tcBorders>
              <w:top w:val="single" w:sz="6" w:space="0" w:color="auto"/>
              <w:left w:val="single" w:sz="2" w:space="0" w:color="000000"/>
              <w:bottom w:val="single" w:sz="2" w:space="0" w:color="000000"/>
              <w:right w:val="single" w:sz="2" w:space="0" w:color="000000"/>
            </w:tcBorders>
          </w:tcPr>
          <w:p w:rsidR="00000000" w:rsidRDefault="00B03D17">
            <w:pPr>
              <w:jc w:val="center"/>
              <w:rPr>
                <w:snapToGrid w:val="0"/>
                <w:color w:val="000000"/>
              </w:rPr>
            </w:pPr>
            <w:r>
              <w:rPr>
                <w:snapToGrid w:val="0"/>
                <w:color w:val="000000"/>
              </w:rPr>
              <w:t>Running</w:t>
            </w:r>
          </w:p>
        </w:tc>
        <w:tc>
          <w:tcPr>
            <w:tcW w:w="972" w:type="dxa"/>
            <w:tcBorders>
              <w:top w:val="single" w:sz="6" w:space="0" w:color="auto"/>
              <w:left w:val="single" w:sz="2" w:space="0" w:color="000000"/>
              <w:bottom w:val="single" w:sz="2" w:space="0" w:color="000000"/>
              <w:right w:val="single" w:sz="2" w:space="0" w:color="000000"/>
            </w:tcBorders>
          </w:tcPr>
          <w:p w:rsidR="00000000" w:rsidRDefault="00B03D17">
            <w:pPr>
              <w:jc w:val="center"/>
              <w:rPr>
                <w:snapToGrid w:val="0"/>
                <w:color w:val="000000"/>
              </w:rPr>
            </w:pPr>
            <w:r>
              <w:rPr>
                <w:snapToGrid w:val="0"/>
                <w:color w:val="000000"/>
              </w:rPr>
              <w:t>Resting</w:t>
            </w:r>
          </w:p>
        </w:tc>
        <w:tc>
          <w:tcPr>
            <w:tcW w:w="1010" w:type="dxa"/>
            <w:tcBorders>
              <w:top w:val="single" w:sz="6" w:space="0" w:color="auto"/>
              <w:left w:val="single" w:sz="2" w:space="0" w:color="000000"/>
              <w:bottom w:val="single" w:sz="6" w:space="0" w:color="auto"/>
              <w:right w:val="single" w:sz="6" w:space="0" w:color="auto"/>
            </w:tcBorders>
          </w:tcPr>
          <w:p w:rsidR="00000000" w:rsidRDefault="00B03D17">
            <w:pPr>
              <w:jc w:val="center"/>
              <w:rPr>
                <w:snapToGrid w:val="0"/>
                <w:color w:val="000000"/>
              </w:rPr>
            </w:pPr>
            <w:r>
              <w:rPr>
                <w:snapToGrid w:val="0"/>
                <w:color w:val="000000"/>
              </w:rPr>
              <w:t>Total Evap ROG</w:t>
            </w:r>
          </w:p>
        </w:tc>
        <w:tc>
          <w:tcPr>
            <w:tcW w:w="1246" w:type="dxa"/>
            <w:tcBorders>
              <w:top w:val="single" w:sz="2" w:space="0" w:color="000000"/>
              <w:left w:val="single" w:sz="6" w:space="0" w:color="auto"/>
              <w:bottom w:val="single" w:sz="6" w:space="0" w:color="auto"/>
              <w:right w:val="single" w:sz="12" w:space="0" w:color="auto"/>
            </w:tcBorders>
          </w:tcPr>
          <w:p w:rsidR="00000000" w:rsidRDefault="00B03D17">
            <w:pPr>
              <w:jc w:val="center"/>
              <w:rPr>
                <w:snapToGrid w:val="0"/>
                <w:color w:val="000000"/>
              </w:rPr>
            </w:pPr>
          </w:p>
        </w:tc>
      </w:tr>
      <w:tr w:rsidR="00000000">
        <w:tblPrEx>
          <w:tblCellMar>
            <w:top w:w="0" w:type="dxa"/>
            <w:bottom w:w="0" w:type="dxa"/>
          </w:tblCellMar>
        </w:tblPrEx>
        <w:trPr>
          <w:trHeight w:val="247"/>
        </w:trPr>
        <w:tc>
          <w:tcPr>
            <w:tcW w:w="1110" w:type="dxa"/>
            <w:tcBorders>
              <w:top w:val="single" w:sz="6" w:space="0" w:color="auto"/>
              <w:left w:val="single" w:sz="12" w:space="0" w:color="auto"/>
              <w:bottom w:val="single" w:sz="2" w:space="0" w:color="000000"/>
              <w:right w:val="single" w:sz="6" w:space="0" w:color="auto"/>
            </w:tcBorders>
          </w:tcPr>
          <w:p w:rsidR="00000000" w:rsidRDefault="00B03D17">
            <w:pPr>
              <w:jc w:val="center"/>
              <w:rPr>
                <w:snapToGrid w:val="0"/>
                <w:color w:val="000000"/>
              </w:rPr>
            </w:pPr>
            <w:r>
              <w:rPr>
                <w:snapToGrid w:val="0"/>
                <w:color w:val="000000"/>
              </w:rPr>
              <w:t>1980</w:t>
            </w:r>
          </w:p>
        </w:tc>
        <w:tc>
          <w:tcPr>
            <w:tcW w:w="911" w:type="dxa"/>
            <w:tcBorders>
              <w:top w:val="single" w:sz="2" w:space="0" w:color="000000"/>
              <w:left w:val="single" w:sz="6" w:space="0" w:color="auto"/>
              <w:bottom w:val="single" w:sz="2" w:space="0" w:color="000000"/>
              <w:right w:val="single" w:sz="2" w:space="0" w:color="000000"/>
            </w:tcBorders>
          </w:tcPr>
          <w:p w:rsidR="00000000" w:rsidRDefault="00B03D17">
            <w:pPr>
              <w:tabs>
                <w:tab w:val="decimal" w:pos="390"/>
              </w:tabs>
              <w:rPr>
                <w:snapToGrid w:val="0"/>
                <w:color w:val="000000"/>
              </w:rPr>
            </w:pPr>
            <w:r>
              <w:rPr>
                <w:snapToGrid w:val="0"/>
                <w:color w:val="000000"/>
              </w:rPr>
              <w:t>0.00</w:t>
            </w:r>
          </w:p>
        </w:tc>
        <w:tc>
          <w:tcPr>
            <w:tcW w:w="1069"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469"/>
              </w:tabs>
              <w:rPr>
                <w:snapToGrid w:val="0"/>
                <w:color w:val="000000"/>
              </w:rPr>
            </w:pPr>
            <w:r>
              <w:rPr>
                <w:snapToGrid w:val="0"/>
                <w:color w:val="000000"/>
              </w:rPr>
              <w:t>0.00</w:t>
            </w:r>
          </w:p>
        </w:tc>
        <w:tc>
          <w:tcPr>
            <w:tcW w:w="990"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480"/>
              </w:tabs>
              <w:rPr>
                <w:snapToGrid w:val="0"/>
                <w:color w:val="000000"/>
              </w:rPr>
            </w:pPr>
            <w:r>
              <w:rPr>
                <w:snapToGrid w:val="0"/>
                <w:color w:val="000000"/>
              </w:rPr>
              <w:t>0.00</w:t>
            </w:r>
          </w:p>
        </w:tc>
        <w:tc>
          <w:tcPr>
            <w:tcW w:w="972"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390"/>
              </w:tabs>
              <w:rPr>
                <w:snapToGrid w:val="0"/>
                <w:color w:val="000000"/>
              </w:rPr>
            </w:pPr>
            <w:r>
              <w:rPr>
                <w:snapToGrid w:val="0"/>
                <w:color w:val="000000"/>
              </w:rPr>
              <w:t>0.00</w:t>
            </w:r>
          </w:p>
        </w:tc>
        <w:tc>
          <w:tcPr>
            <w:tcW w:w="1010" w:type="dxa"/>
            <w:tcBorders>
              <w:top w:val="single" w:sz="6" w:space="0" w:color="auto"/>
              <w:left w:val="single" w:sz="2" w:space="0" w:color="000000"/>
              <w:bottom w:val="single" w:sz="2" w:space="0" w:color="000000"/>
              <w:right w:val="single" w:sz="6" w:space="0" w:color="auto"/>
            </w:tcBorders>
          </w:tcPr>
          <w:p w:rsidR="00000000" w:rsidRDefault="00B03D17">
            <w:pPr>
              <w:tabs>
                <w:tab w:val="decimal" w:pos="408"/>
              </w:tabs>
              <w:rPr>
                <w:snapToGrid w:val="0"/>
                <w:color w:val="000000"/>
              </w:rPr>
            </w:pPr>
            <w:r>
              <w:rPr>
                <w:snapToGrid w:val="0"/>
                <w:color w:val="000000"/>
              </w:rPr>
              <w:t>0.00</w:t>
            </w:r>
          </w:p>
        </w:tc>
        <w:tc>
          <w:tcPr>
            <w:tcW w:w="1246" w:type="dxa"/>
            <w:tcBorders>
              <w:top w:val="single" w:sz="6" w:space="0" w:color="auto"/>
              <w:left w:val="single" w:sz="6" w:space="0" w:color="auto"/>
              <w:bottom w:val="single" w:sz="2" w:space="0" w:color="000000"/>
              <w:right w:val="single" w:sz="12" w:space="0" w:color="auto"/>
            </w:tcBorders>
          </w:tcPr>
          <w:p w:rsidR="00000000" w:rsidRDefault="00B03D17">
            <w:pPr>
              <w:tabs>
                <w:tab w:val="decimal" w:pos="478"/>
              </w:tabs>
              <w:rPr>
                <w:snapToGrid w:val="0"/>
                <w:color w:val="000000"/>
              </w:rPr>
            </w:pPr>
            <w:r>
              <w:rPr>
                <w:snapToGrid w:val="0"/>
                <w:color w:val="000000"/>
              </w:rPr>
              <w:t>0.00%</w:t>
            </w:r>
          </w:p>
        </w:tc>
      </w:tr>
      <w:tr w:rsidR="00000000">
        <w:tblPrEx>
          <w:tblCellMar>
            <w:top w:w="0" w:type="dxa"/>
            <w:bottom w:w="0" w:type="dxa"/>
          </w:tblCellMar>
        </w:tblPrEx>
        <w:trPr>
          <w:trHeight w:val="247"/>
        </w:trPr>
        <w:tc>
          <w:tcPr>
            <w:tcW w:w="1110" w:type="dxa"/>
            <w:tcBorders>
              <w:top w:val="single" w:sz="2" w:space="0" w:color="000000"/>
              <w:left w:val="single" w:sz="12" w:space="0" w:color="auto"/>
              <w:bottom w:val="single" w:sz="2" w:space="0" w:color="000000"/>
              <w:right w:val="single" w:sz="6" w:space="0" w:color="auto"/>
            </w:tcBorders>
          </w:tcPr>
          <w:p w:rsidR="00000000" w:rsidRDefault="00B03D17">
            <w:pPr>
              <w:jc w:val="center"/>
              <w:rPr>
                <w:snapToGrid w:val="0"/>
                <w:color w:val="000000"/>
              </w:rPr>
            </w:pPr>
            <w:r>
              <w:rPr>
                <w:snapToGrid w:val="0"/>
                <w:color w:val="000000"/>
              </w:rPr>
              <w:t>1990</w:t>
            </w:r>
          </w:p>
        </w:tc>
        <w:tc>
          <w:tcPr>
            <w:tcW w:w="911" w:type="dxa"/>
            <w:tcBorders>
              <w:top w:val="single" w:sz="2" w:space="0" w:color="000000"/>
              <w:left w:val="single" w:sz="6" w:space="0" w:color="auto"/>
              <w:bottom w:val="single" w:sz="2" w:space="0" w:color="000000"/>
              <w:right w:val="single" w:sz="2" w:space="0" w:color="000000"/>
            </w:tcBorders>
          </w:tcPr>
          <w:p w:rsidR="00000000" w:rsidRDefault="00B03D17">
            <w:pPr>
              <w:tabs>
                <w:tab w:val="decimal" w:pos="390"/>
              </w:tabs>
              <w:rPr>
                <w:snapToGrid w:val="0"/>
                <w:color w:val="000000"/>
              </w:rPr>
            </w:pPr>
            <w:r>
              <w:rPr>
                <w:snapToGrid w:val="0"/>
                <w:color w:val="000000"/>
              </w:rPr>
              <w:t>0.00</w:t>
            </w:r>
          </w:p>
        </w:tc>
        <w:tc>
          <w:tcPr>
            <w:tcW w:w="1069"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469"/>
              </w:tabs>
              <w:rPr>
                <w:snapToGrid w:val="0"/>
                <w:color w:val="000000"/>
              </w:rPr>
            </w:pPr>
            <w:r>
              <w:rPr>
                <w:snapToGrid w:val="0"/>
                <w:color w:val="000000"/>
              </w:rPr>
              <w:t>0.00</w:t>
            </w:r>
          </w:p>
        </w:tc>
        <w:tc>
          <w:tcPr>
            <w:tcW w:w="990"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480"/>
              </w:tabs>
              <w:rPr>
                <w:snapToGrid w:val="0"/>
                <w:color w:val="000000"/>
              </w:rPr>
            </w:pPr>
            <w:r>
              <w:rPr>
                <w:snapToGrid w:val="0"/>
                <w:color w:val="000000"/>
              </w:rPr>
              <w:t>0.00</w:t>
            </w:r>
          </w:p>
        </w:tc>
        <w:tc>
          <w:tcPr>
            <w:tcW w:w="972"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390"/>
              </w:tabs>
              <w:rPr>
                <w:snapToGrid w:val="0"/>
                <w:color w:val="000000"/>
              </w:rPr>
            </w:pPr>
            <w:r>
              <w:rPr>
                <w:snapToGrid w:val="0"/>
                <w:color w:val="000000"/>
              </w:rPr>
              <w:t>0.00</w:t>
            </w:r>
          </w:p>
        </w:tc>
        <w:tc>
          <w:tcPr>
            <w:tcW w:w="1010" w:type="dxa"/>
            <w:tcBorders>
              <w:top w:val="single" w:sz="2" w:space="0" w:color="000000"/>
              <w:left w:val="single" w:sz="2" w:space="0" w:color="000000"/>
              <w:bottom w:val="single" w:sz="2" w:space="0" w:color="000000"/>
              <w:right w:val="single" w:sz="6" w:space="0" w:color="auto"/>
            </w:tcBorders>
          </w:tcPr>
          <w:p w:rsidR="00000000" w:rsidRDefault="00B03D17">
            <w:pPr>
              <w:tabs>
                <w:tab w:val="decimal" w:pos="408"/>
              </w:tabs>
              <w:rPr>
                <w:snapToGrid w:val="0"/>
                <w:color w:val="000000"/>
              </w:rPr>
            </w:pPr>
            <w:r>
              <w:rPr>
                <w:snapToGrid w:val="0"/>
                <w:color w:val="000000"/>
              </w:rPr>
              <w:t>0.00</w:t>
            </w:r>
          </w:p>
        </w:tc>
        <w:tc>
          <w:tcPr>
            <w:tcW w:w="1246" w:type="dxa"/>
            <w:tcBorders>
              <w:top w:val="single" w:sz="2" w:space="0" w:color="000000"/>
              <w:left w:val="single" w:sz="6" w:space="0" w:color="auto"/>
              <w:bottom w:val="single" w:sz="2" w:space="0" w:color="000000"/>
              <w:right w:val="single" w:sz="12" w:space="0" w:color="auto"/>
            </w:tcBorders>
          </w:tcPr>
          <w:p w:rsidR="00000000" w:rsidRDefault="00B03D17">
            <w:pPr>
              <w:tabs>
                <w:tab w:val="decimal" w:pos="478"/>
              </w:tabs>
              <w:rPr>
                <w:snapToGrid w:val="0"/>
                <w:color w:val="000000"/>
              </w:rPr>
            </w:pPr>
            <w:r>
              <w:rPr>
                <w:snapToGrid w:val="0"/>
                <w:color w:val="000000"/>
              </w:rPr>
              <w:t>0.00%</w:t>
            </w:r>
          </w:p>
        </w:tc>
      </w:tr>
      <w:tr w:rsidR="00000000">
        <w:tblPrEx>
          <w:tblCellMar>
            <w:top w:w="0" w:type="dxa"/>
            <w:bottom w:w="0" w:type="dxa"/>
          </w:tblCellMar>
        </w:tblPrEx>
        <w:trPr>
          <w:trHeight w:val="247"/>
        </w:trPr>
        <w:tc>
          <w:tcPr>
            <w:tcW w:w="1110" w:type="dxa"/>
            <w:tcBorders>
              <w:top w:val="single" w:sz="2" w:space="0" w:color="000000"/>
              <w:left w:val="single" w:sz="12" w:space="0" w:color="auto"/>
              <w:bottom w:val="single" w:sz="2" w:space="0" w:color="000000"/>
              <w:right w:val="single" w:sz="6" w:space="0" w:color="auto"/>
            </w:tcBorders>
          </w:tcPr>
          <w:p w:rsidR="00000000" w:rsidRDefault="00B03D17">
            <w:pPr>
              <w:jc w:val="center"/>
              <w:rPr>
                <w:snapToGrid w:val="0"/>
                <w:color w:val="000000"/>
              </w:rPr>
            </w:pPr>
            <w:r>
              <w:rPr>
                <w:snapToGrid w:val="0"/>
                <w:color w:val="000000"/>
              </w:rPr>
              <w:t>2000</w:t>
            </w:r>
          </w:p>
        </w:tc>
        <w:tc>
          <w:tcPr>
            <w:tcW w:w="911" w:type="dxa"/>
            <w:tcBorders>
              <w:top w:val="single" w:sz="2" w:space="0" w:color="000000"/>
              <w:left w:val="single" w:sz="6" w:space="0" w:color="auto"/>
              <w:bottom w:val="single" w:sz="2" w:space="0" w:color="000000"/>
              <w:right w:val="single" w:sz="2" w:space="0" w:color="000000"/>
            </w:tcBorders>
          </w:tcPr>
          <w:p w:rsidR="00000000" w:rsidRDefault="00B03D17">
            <w:pPr>
              <w:tabs>
                <w:tab w:val="decimal" w:pos="390"/>
              </w:tabs>
              <w:rPr>
                <w:snapToGrid w:val="0"/>
                <w:color w:val="000000"/>
              </w:rPr>
            </w:pPr>
            <w:r>
              <w:rPr>
                <w:snapToGrid w:val="0"/>
                <w:color w:val="000000"/>
              </w:rPr>
              <w:t>0.00</w:t>
            </w:r>
          </w:p>
        </w:tc>
        <w:tc>
          <w:tcPr>
            <w:tcW w:w="1069"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469"/>
              </w:tabs>
              <w:rPr>
                <w:snapToGrid w:val="0"/>
                <w:color w:val="000000"/>
              </w:rPr>
            </w:pPr>
            <w:r>
              <w:rPr>
                <w:snapToGrid w:val="0"/>
                <w:color w:val="000000"/>
              </w:rPr>
              <w:t>0.00</w:t>
            </w:r>
          </w:p>
        </w:tc>
        <w:tc>
          <w:tcPr>
            <w:tcW w:w="990"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480"/>
              </w:tabs>
              <w:rPr>
                <w:snapToGrid w:val="0"/>
                <w:color w:val="000000"/>
              </w:rPr>
            </w:pPr>
            <w:r>
              <w:rPr>
                <w:snapToGrid w:val="0"/>
                <w:color w:val="000000"/>
              </w:rPr>
              <w:t>0.00</w:t>
            </w:r>
          </w:p>
        </w:tc>
        <w:tc>
          <w:tcPr>
            <w:tcW w:w="972"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390"/>
              </w:tabs>
              <w:rPr>
                <w:snapToGrid w:val="0"/>
                <w:color w:val="000000"/>
              </w:rPr>
            </w:pPr>
            <w:r>
              <w:rPr>
                <w:snapToGrid w:val="0"/>
                <w:color w:val="000000"/>
              </w:rPr>
              <w:t>0.00</w:t>
            </w:r>
          </w:p>
        </w:tc>
        <w:tc>
          <w:tcPr>
            <w:tcW w:w="1010" w:type="dxa"/>
            <w:tcBorders>
              <w:top w:val="single" w:sz="2" w:space="0" w:color="000000"/>
              <w:left w:val="single" w:sz="2" w:space="0" w:color="000000"/>
              <w:bottom w:val="single" w:sz="2" w:space="0" w:color="000000"/>
              <w:right w:val="single" w:sz="6" w:space="0" w:color="auto"/>
            </w:tcBorders>
          </w:tcPr>
          <w:p w:rsidR="00000000" w:rsidRDefault="00B03D17">
            <w:pPr>
              <w:tabs>
                <w:tab w:val="decimal" w:pos="408"/>
              </w:tabs>
              <w:rPr>
                <w:snapToGrid w:val="0"/>
                <w:color w:val="000000"/>
              </w:rPr>
            </w:pPr>
            <w:r>
              <w:rPr>
                <w:snapToGrid w:val="0"/>
                <w:color w:val="000000"/>
              </w:rPr>
              <w:t>0.00</w:t>
            </w:r>
          </w:p>
        </w:tc>
        <w:tc>
          <w:tcPr>
            <w:tcW w:w="1246" w:type="dxa"/>
            <w:tcBorders>
              <w:top w:val="single" w:sz="2" w:space="0" w:color="000000"/>
              <w:left w:val="single" w:sz="6" w:space="0" w:color="auto"/>
              <w:bottom w:val="single" w:sz="2" w:space="0" w:color="000000"/>
              <w:right w:val="single" w:sz="12" w:space="0" w:color="auto"/>
            </w:tcBorders>
          </w:tcPr>
          <w:p w:rsidR="00000000" w:rsidRDefault="00B03D17">
            <w:pPr>
              <w:tabs>
                <w:tab w:val="decimal" w:pos="478"/>
              </w:tabs>
              <w:rPr>
                <w:snapToGrid w:val="0"/>
                <w:color w:val="000000"/>
              </w:rPr>
            </w:pPr>
            <w:r>
              <w:rPr>
                <w:snapToGrid w:val="0"/>
                <w:color w:val="000000"/>
              </w:rPr>
              <w:t>0.00%</w:t>
            </w:r>
          </w:p>
        </w:tc>
      </w:tr>
      <w:tr w:rsidR="00000000">
        <w:tblPrEx>
          <w:tblCellMar>
            <w:top w:w="0" w:type="dxa"/>
            <w:bottom w:w="0" w:type="dxa"/>
          </w:tblCellMar>
        </w:tblPrEx>
        <w:trPr>
          <w:trHeight w:val="247"/>
        </w:trPr>
        <w:tc>
          <w:tcPr>
            <w:tcW w:w="1110" w:type="dxa"/>
            <w:tcBorders>
              <w:top w:val="single" w:sz="2" w:space="0" w:color="000000"/>
              <w:left w:val="single" w:sz="12" w:space="0" w:color="auto"/>
              <w:bottom w:val="single" w:sz="2" w:space="0" w:color="000000"/>
              <w:right w:val="single" w:sz="6" w:space="0" w:color="auto"/>
            </w:tcBorders>
          </w:tcPr>
          <w:p w:rsidR="00000000" w:rsidRDefault="00B03D17">
            <w:pPr>
              <w:jc w:val="center"/>
              <w:rPr>
                <w:snapToGrid w:val="0"/>
                <w:color w:val="000000"/>
              </w:rPr>
            </w:pPr>
            <w:r>
              <w:rPr>
                <w:snapToGrid w:val="0"/>
                <w:color w:val="000000"/>
              </w:rPr>
              <w:t>2010</w:t>
            </w:r>
          </w:p>
        </w:tc>
        <w:tc>
          <w:tcPr>
            <w:tcW w:w="911" w:type="dxa"/>
            <w:tcBorders>
              <w:top w:val="single" w:sz="2" w:space="0" w:color="000000"/>
              <w:left w:val="single" w:sz="6" w:space="0" w:color="auto"/>
              <w:bottom w:val="single" w:sz="2" w:space="0" w:color="000000"/>
              <w:right w:val="single" w:sz="2" w:space="0" w:color="000000"/>
            </w:tcBorders>
          </w:tcPr>
          <w:p w:rsidR="00000000" w:rsidRDefault="00B03D17">
            <w:pPr>
              <w:tabs>
                <w:tab w:val="decimal" w:pos="390"/>
              </w:tabs>
              <w:rPr>
                <w:snapToGrid w:val="0"/>
                <w:color w:val="000000"/>
              </w:rPr>
            </w:pPr>
            <w:r>
              <w:rPr>
                <w:snapToGrid w:val="0"/>
                <w:color w:val="000000"/>
              </w:rPr>
              <w:t>-0.04</w:t>
            </w:r>
          </w:p>
        </w:tc>
        <w:tc>
          <w:tcPr>
            <w:tcW w:w="1069"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469"/>
              </w:tabs>
              <w:rPr>
                <w:snapToGrid w:val="0"/>
                <w:color w:val="000000"/>
              </w:rPr>
            </w:pPr>
            <w:r>
              <w:rPr>
                <w:snapToGrid w:val="0"/>
                <w:color w:val="000000"/>
              </w:rPr>
              <w:t>-0.03</w:t>
            </w:r>
          </w:p>
        </w:tc>
        <w:tc>
          <w:tcPr>
            <w:tcW w:w="990"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480"/>
              </w:tabs>
              <w:rPr>
                <w:snapToGrid w:val="0"/>
                <w:color w:val="000000"/>
              </w:rPr>
            </w:pPr>
            <w:r>
              <w:rPr>
                <w:snapToGrid w:val="0"/>
                <w:color w:val="000000"/>
              </w:rPr>
              <w:t>0.02</w:t>
            </w:r>
          </w:p>
        </w:tc>
        <w:tc>
          <w:tcPr>
            <w:tcW w:w="972"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390"/>
              </w:tabs>
              <w:rPr>
                <w:snapToGrid w:val="0"/>
                <w:color w:val="000000"/>
              </w:rPr>
            </w:pPr>
            <w:r>
              <w:rPr>
                <w:snapToGrid w:val="0"/>
                <w:color w:val="000000"/>
              </w:rPr>
              <w:t>-0.06</w:t>
            </w:r>
          </w:p>
        </w:tc>
        <w:tc>
          <w:tcPr>
            <w:tcW w:w="1010" w:type="dxa"/>
            <w:tcBorders>
              <w:top w:val="single" w:sz="2" w:space="0" w:color="000000"/>
              <w:left w:val="single" w:sz="2" w:space="0" w:color="000000"/>
              <w:bottom w:val="single" w:sz="2" w:space="0" w:color="000000"/>
              <w:right w:val="single" w:sz="6" w:space="0" w:color="auto"/>
            </w:tcBorders>
          </w:tcPr>
          <w:p w:rsidR="00000000" w:rsidRDefault="00B03D17">
            <w:pPr>
              <w:tabs>
                <w:tab w:val="decimal" w:pos="408"/>
              </w:tabs>
              <w:rPr>
                <w:snapToGrid w:val="0"/>
                <w:color w:val="000000"/>
              </w:rPr>
            </w:pPr>
            <w:r>
              <w:rPr>
                <w:snapToGrid w:val="0"/>
                <w:color w:val="000000"/>
              </w:rPr>
              <w:t>-0.10</w:t>
            </w:r>
          </w:p>
        </w:tc>
        <w:tc>
          <w:tcPr>
            <w:tcW w:w="1246" w:type="dxa"/>
            <w:tcBorders>
              <w:top w:val="single" w:sz="2" w:space="0" w:color="000000"/>
              <w:left w:val="single" w:sz="6" w:space="0" w:color="auto"/>
              <w:bottom w:val="single" w:sz="2" w:space="0" w:color="000000"/>
              <w:right w:val="single" w:sz="12" w:space="0" w:color="auto"/>
            </w:tcBorders>
          </w:tcPr>
          <w:p w:rsidR="00000000" w:rsidRDefault="00B03D17">
            <w:pPr>
              <w:tabs>
                <w:tab w:val="decimal" w:pos="478"/>
              </w:tabs>
              <w:rPr>
                <w:snapToGrid w:val="0"/>
                <w:color w:val="000000"/>
              </w:rPr>
            </w:pPr>
            <w:r>
              <w:rPr>
                <w:snapToGrid w:val="0"/>
                <w:color w:val="000000"/>
              </w:rPr>
              <w:t>-0.02%</w:t>
            </w:r>
          </w:p>
        </w:tc>
      </w:tr>
      <w:tr w:rsidR="00000000">
        <w:tblPrEx>
          <w:tblCellMar>
            <w:top w:w="0" w:type="dxa"/>
            <w:bottom w:w="0" w:type="dxa"/>
          </w:tblCellMar>
        </w:tblPrEx>
        <w:trPr>
          <w:trHeight w:val="247"/>
        </w:trPr>
        <w:tc>
          <w:tcPr>
            <w:tcW w:w="1110" w:type="dxa"/>
            <w:tcBorders>
              <w:top w:val="single" w:sz="2" w:space="0" w:color="000000"/>
              <w:left w:val="single" w:sz="12" w:space="0" w:color="auto"/>
              <w:bottom w:val="single" w:sz="2" w:space="0" w:color="000000"/>
              <w:right w:val="single" w:sz="6" w:space="0" w:color="auto"/>
            </w:tcBorders>
          </w:tcPr>
          <w:p w:rsidR="00000000" w:rsidRDefault="00B03D17">
            <w:pPr>
              <w:jc w:val="center"/>
              <w:rPr>
                <w:snapToGrid w:val="0"/>
                <w:color w:val="000000"/>
              </w:rPr>
            </w:pPr>
            <w:r>
              <w:rPr>
                <w:snapToGrid w:val="0"/>
                <w:color w:val="000000"/>
              </w:rPr>
              <w:t>2020</w:t>
            </w:r>
          </w:p>
        </w:tc>
        <w:tc>
          <w:tcPr>
            <w:tcW w:w="911" w:type="dxa"/>
            <w:tcBorders>
              <w:top w:val="single" w:sz="2" w:space="0" w:color="000000"/>
              <w:left w:val="single" w:sz="6" w:space="0" w:color="auto"/>
              <w:bottom w:val="single" w:sz="2" w:space="0" w:color="000000"/>
              <w:right w:val="single" w:sz="2" w:space="0" w:color="000000"/>
            </w:tcBorders>
          </w:tcPr>
          <w:p w:rsidR="00000000" w:rsidRDefault="00B03D17">
            <w:pPr>
              <w:tabs>
                <w:tab w:val="decimal" w:pos="390"/>
              </w:tabs>
              <w:rPr>
                <w:snapToGrid w:val="0"/>
                <w:color w:val="000000"/>
              </w:rPr>
            </w:pPr>
            <w:r>
              <w:rPr>
                <w:snapToGrid w:val="0"/>
                <w:color w:val="000000"/>
              </w:rPr>
              <w:t>-0.65</w:t>
            </w:r>
          </w:p>
        </w:tc>
        <w:tc>
          <w:tcPr>
            <w:tcW w:w="1069"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469"/>
              </w:tabs>
              <w:rPr>
                <w:snapToGrid w:val="0"/>
                <w:color w:val="000000"/>
              </w:rPr>
            </w:pPr>
            <w:r>
              <w:rPr>
                <w:snapToGrid w:val="0"/>
                <w:color w:val="000000"/>
              </w:rPr>
              <w:t>-0.76</w:t>
            </w:r>
          </w:p>
        </w:tc>
        <w:tc>
          <w:tcPr>
            <w:tcW w:w="990"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480"/>
              </w:tabs>
              <w:rPr>
                <w:snapToGrid w:val="0"/>
                <w:color w:val="000000"/>
              </w:rPr>
            </w:pPr>
            <w:r>
              <w:rPr>
                <w:snapToGrid w:val="0"/>
                <w:color w:val="000000"/>
              </w:rPr>
              <w:t>-1.80</w:t>
            </w:r>
          </w:p>
        </w:tc>
        <w:tc>
          <w:tcPr>
            <w:tcW w:w="972" w:type="dxa"/>
            <w:tcBorders>
              <w:top w:val="single" w:sz="2" w:space="0" w:color="000000"/>
              <w:left w:val="single" w:sz="2" w:space="0" w:color="000000"/>
              <w:bottom w:val="single" w:sz="2" w:space="0" w:color="000000"/>
              <w:right w:val="single" w:sz="2" w:space="0" w:color="000000"/>
            </w:tcBorders>
          </w:tcPr>
          <w:p w:rsidR="00000000" w:rsidRDefault="00B03D17">
            <w:pPr>
              <w:tabs>
                <w:tab w:val="decimal" w:pos="390"/>
              </w:tabs>
              <w:rPr>
                <w:snapToGrid w:val="0"/>
                <w:color w:val="000000"/>
              </w:rPr>
            </w:pPr>
            <w:r>
              <w:rPr>
                <w:snapToGrid w:val="0"/>
                <w:color w:val="000000"/>
              </w:rPr>
              <w:t>-0.92</w:t>
            </w:r>
          </w:p>
        </w:tc>
        <w:tc>
          <w:tcPr>
            <w:tcW w:w="1010" w:type="dxa"/>
            <w:tcBorders>
              <w:top w:val="single" w:sz="2" w:space="0" w:color="000000"/>
              <w:left w:val="single" w:sz="2" w:space="0" w:color="000000"/>
              <w:bottom w:val="single" w:sz="2" w:space="0" w:color="000000"/>
              <w:right w:val="single" w:sz="6" w:space="0" w:color="auto"/>
            </w:tcBorders>
          </w:tcPr>
          <w:p w:rsidR="00000000" w:rsidRDefault="00B03D17">
            <w:pPr>
              <w:tabs>
                <w:tab w:val="decimal" w:pos="408"/>
              </w:tabs>
              <w:rPr>
                <w:snapToGrid w:val="0"/>
                <w:color w:val="000000"/>
              </w:rPr>
            </w:pPr>
            <w:r>
              <w:rPr>
                <w:snapToGrid w:val="0"/>
                <w:color w:val="000000"/>
              </w:rPr>
              <w:t>-4.13</w:t>
            </w:r>
          </w:p>
        </w:tc>
        <w:tc>
          <w:tcPr>
            <w:tcW w:w="1246" w:type="dxa"/>
            <w:tcBorders>
              <w:top w:val="single" w:sz="2" w:space="0" w:color="000000"/>
              <w:left w:val="single" w:sz="6" w:space="0" w:color="auto"/>
              <w:bottom w:val="single" w:sz="2" w:space="0" w:color="000000"/>
              <w:right w:val="single" w:sz="12" w:space="0" w:color="auto"/>
            </w:tcBorders>
          </w:tcPr>
          <w:p w:rsidR="00000000" w:rsidRDefault="00B03D17">
            <w:pPr>
              <w:tabs>
                <w:tab w:val="decimal" w:pos="478"/>
              </w:tabs>
              <w:rPr>
                <w:snapToGrid w:val="0"/>
                <w:color w:val="000000"/>
              </w:rPr>
            </w:pPr>
            <w:r>
              <w:rPr>
                <w:snapToGrid w:val="0"/>
                <w:color w:val="000000"/>
              </w:rPr>
              <w:t>-1.23%</w:t>
            </w:r>
          </w:p>
        </w:tc>
      </w:tr>
      <w:tr w:rsidR="00000000">
        <w:tblPrEx>
          <w:tblCellMar>
            <w:top w:w="0" w:type="dxa"/>
            <w:bottom w:w="0" w:type="dxa"/>
          </w:tblCellMar>
        </w:tblPrEx>
        <w:trPr>
          <w:trHeight w:val="262"/>
        </w:trPr>
        <w:tc>
          <w:tcPr>
            <w:tcW w:w="1110" w:type="dxa"/>
            <w:tcBorders>
              <w:top w:val="single" w:sz="2" w:space="0" w:color="000000"/>
              <w:left w:val="single" w:sz="12" w:space="0" w:color="auto"/>
              <w:bottom w:val="single" w:sz="12" w:space="0" w:color="auto"/>
              <w:right w:val="single" w:sz="6" w:space="0" w:color="auto"/>
            </w:tcBorders>
          </w:tcPr>
          <w:p w:rsidR="00000000" w:rsidRDefault="00B03D17">
            <w:pPr>
              <w:jc w:val="center"/>
              <w:rPr>
                <w:snapToGrid w:val="0"/>
                <w:color w:val="000000"/>
              </w:rPr>
            </w:pPr>
            <w:r>
              <w:rPr>
                <w:snapToGrid w:val="0"/>
                <w:color w:val="000000"/>
              </w:rPr>
              <w:t>2030</w:t>
            </w:r>
          </w:p>
        </w:tc>
        <w:tc>
          <w:tcPr>
            <w:tcW w:w="911" w:type="dxa"/>
            <w:tcBorders>
              <w:top w:val="single" w:sz="2" w:space="0" w:color="000000"/>
              <w:left w:val="single" w:sz="6" w:space="0" w:color="auto"/>
              <w:bottom w:val="single" w:sz="12" w:space="0" w:color="auto"/>
              <w:right w:val="single" w:sz="2" w:space="0" w:color="000000"/>
            </w:tcBorders>
          </w:tcPr>
          <w:p w:rsidR="00000000" w:rsidRDefault="00B03D17">
            <w:pPr>
              <w:tabs>
                <w:tab w:val="decimal" w:pos="390"/>
              </w:tabs>
              <w:rPr>
                <w:snapToGrid w:val="0"/>
                <w:color w:val="000000"/>
              </w:rPr>
            </w:pPr>
            <w:r>
              <w:rPr>
                <w:snapToGrid w:val="0"/>
                <w:color w:val="000000"/>
              </w:rPr>
              <w:t>-1.70</w:t>
            </w:r>
          </w:p>
        </w:tc>
        <w:tc>
          <w:tcPr>
            <w:tcW w:w="1069" w:type="dxa"/>
            <w:tcBorders>
              <w:top w:val="single" w:sz="2" w:space="0" w:color="000000"/>
              <w:left w:val="single" w:sz="2" w:space="0" w:color="000000"/>
              <w:bottom w:val="single" w:sz="12" w:space="0" w:color="auto"/>
              <w:right w:val="single" w:sz="2" w:space="0" w:color="000000"/>
            </w:tcBorders>
          </w:tcPr>
          <w:p w:rsidR="00000000" w:rsidRDefault="00B03D17">
            <w:pPr>
              <w:tabs>
                <w:tab w:val="decimal" w:pos="469"/>
              </w:tabs>
              <w:rPr>
                <w:snapToGrid w:val="0"/>
                <w:color w:val="000000"/>
              </w:rPr>
            </w:pPr>
            <w:r>
              <w:rPr>
                <w:snapToGrid w:val="0"/>
                <w:color w:val="000000"/>
              </w:rPr>
              <w:t>-2.00</w:t>
            </w:r>
          </w:p>
        </w:tc>
        <w:tc>
          <w:tcPr>
            <w:tcW w:w="990" w:type="dxa"/>
            <w:tcBorders>
              <w:top w:val="single" w:sz="2" w:space="0" w:color="000000"/>
              <w:left w:val="single" w:sz="2" w:space="0" w:color="000000"/>
              <w:bottom w:val="single" w:sz="12" w:space="0" w:color="auto"/>
              <w:right w:val="single" w:sz="2" w:space="0" w:color="000000"/>
            </w:tcBorders>
          </w:tcPr>
          <w:p w:rsidR="00000000" w:rsidRDefault="00B03D17">
            <w:pPr>
              <w:tabs>
                <w:tab w:val="decimal" w:pos="480"/>
              </w:tabs>
              <w:rPr>
                <w:snapToGrid w:val="0"/>
                <w:color w:val="000000"/>
              </w:rPr>
            </w:pPr>
            <w:r>
              <w:rPr>
                <w:snapToGrid w:val="0"/>
                <w:color w:val="000000"/>
              </w:rPr>
              <w:t>-5.34</w:t>
            </w:r>
          </w:p>
        </w:tc>
        <w:tc>
          <w:tcPr>
            <w:tcW w:w="972" w:type="dxa"/>
            <w:tcBorders>
              <w:top w:val="single" w:sz="2" w:space="0" w:color="000000"/>
              <w:left w:val="single" w:sz="2" w:space="0" w:color="000000"/>
              <w:bottom w:val="single" w:sz="12" w:space="0" w:color="auto"/>
              <w:right w:val="single" w:sz="2" w:space="0" w:color="000000"/>
            </w:tcBorders>
          </w:tcPr>
          <w:p w:rsidR="00000000" w:rsidRDefault="00B03D17">
            <w:pPr>
              <w:tabs>
                <w:tab w:val="decimal" w:pos="390"/>
              </w:tabs>
              <w:rPr>
                <w:snapToGrid w:val="0"/>
                <w:color w:val="000000"/>
              </w:rPr>
            </w:pPr>
            <w:r>
              <w:rPr>
                <w:snapToGrid w:val="0"/>
                <w:color w:val="000000"/>
              </w:rPr>
              <w:t>-2.40</w:t>
            </w:r>
          </w:p>
        </w:tc>
        <w:tc>
          <w:tcPr>
            <w:tcW w:w="1010" w:type="dxa"/>
            <w:tcBorders>
              <w:top w:val="single" w:sz="2" w:space="0" w:color="000000"/>
              <w:left w:val="single" w:sz="2" w:space="0" w:color="000000"/>
              <w:bottom w:val="single" w:sz="12" w:space="0" w:color="auto"/>
              <w:right w:val="single" w:sz="6" w:space="0" w:color="auto"/>
            </w:tcBorders>
          </w:tcPr>
          <w:p w:rsidR="00000000" w:rsidRDefault="00B03D17">
            <w:pPr>
              <w:tabs>
                <w:tab w:val="decimal" w:pos="408"/>
              </w:tabs>
              <w:rPr>
                <w:snapToGrid w:val="0"/>
                <w:color w:val="000000"/>
              </w:rPr>
            </w:pPr>
            <w:r>
              <w:rPr>
                <w:snapToGrid w:val="0"/>
                <w:color w:val="000000"/>
              </w:rPr>
              <w:t>-11.44</w:t>
            </w:r>
          </w:p>
        </w:tc>
        <w:tc>
          <w:tcPr>
            <w:tcW w:w="1246" w:type="dxa"/>
            <w:tcBorders>
              <w:top w:val="single" w:sz="2" w:space="0" w:color="000000"/>
              <w:left w:val="single" w:sz="6" w:space="0" w:color="auto"/>
              <w:bottom w:val="single" w:sz="12" w:space="0" w:color="auto"/>
              <w:right w:val="single" w:sz="12" w:space="0" w:color="auto"/>
            </w:tcBorders>
          </w:tcPr>
          <w:p w:rsidR="00000000" w:rsidRDefault="00B03D17">
            <w:pPr>
              <w:tabs>
                <w:tab w:val="decimal" w:pos="478"/>
              </w:tabs>
              <w:rPr>
                <w:snapToGrid w:val="0"/>
                <w:color w:val="000000"/>
              </w:rPr>
            </w:pPr>
            <w:r>
              <w:rPr>
                <w:snapToGrid w:val="0"/>
                <w:color w:val="000000"/>
              </w:rPr>
              <w:t>-5.11%</w:t>
            </w:r>
          </w:p>
        </w:tc>
      </w:tr>
    </w:tbl>
    <w:p w:rsidR="00000000" w:rsidRDefault="00B03D17"/>
    <w:p w:rsidR="00000000" w:rsidRDefault="00B03D17">
      <w:r>
        <w:t>In the three following tables, tables 4,5, and 6, the inventory results with and without the change to the evaporative tech fraction populations are show</w:t>
      </w:r>
      <w:r>
        <w:t xml:space="preserve">n for the years 2004, 2020, and 2030 for several individual areas.  These tables show data from annual-average day runs.  EMFAC 2001 version 2.08 and those before it contained the erroneous PZEV sales projections shown in Table 2 (referred to as “Old Evap </w:t>
      </w:r>
      <w:r>
        <w:t xml:space="preserve">Tech Fractions”).  EMFAC 2001 version 2.092 contains the revised PZEV sales fractions shown in Table 1, referred to below as “New Evap Tech Fractions.”  The results shown below do not include the possibly confounding effects of revising the gasoline sales </w:t>
      </w:r>
      <w:r>
        <w:t>volatility.  That effect is separately modeled elsewhere.</w:t>
      </w:r>
    </w:p>
    <w:p w:rsidR="00000000" w:rsidRDefault="00B03D17"/>
    <w:p w:rsidR="00000000" w:rsidRDefault="00B03D17">
      <w:pPr>
        <w:jc w:val="center"/>
      </w:pPr>
      <w:r>
        <w:t>Table 4.  Effects of Increased PZEV sales estimates 2004</w:t>
      </w:r>
    </w:p>
    <w:p w:rsidR="00000000" w:rsidRDefault="00B03D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980"/>
        <w:gridCol w:w="1980"/>
        <w:gridCol w:w="1317"/>
      </w:tblGrid>
      <w:tr w:rsidR="00000000">
        <w:tblPrEx>
          <w:tblCellMar>
            <w:top w:w="0" w:type="dxa"/>
            <w:bottom w:w="0" w:type="dxa"/>
          </w:tblCellMar>
        </w:tblPrEx>
        <w:trPr>
          <w:cantSplit/>
        </w:trPr>
        <w:tc>
          <w:tcPr>
            <w:tcW w:w="2988" w:type="dxa"/>
          </w:tcPr>
          <w:p w:rsidR="00000000" w:rsidRDefault="00B03D17">
            <w:pPr>
              <w:jc w:val="center"/>
            </w:pPr>
          </w:p>
        </w:tc>
        <w:tc>
          <w:tcPr>
            <w:tcW w:w="5277" w:type="dxa"/>
            <w:gridSpan w:val="3"/>
          </w:tcPr>
          <w:p w:rsidR="00000000" w:rsidRDefault="00B03D17">
            <w:pPr>
              <w:pStyle w:val="Header"/>
              <w:tabs>
                <w:tab w:val="clear" w:pos="4320"/>
                <w:tab w:val="clear" w:pos="8640"/>
                <w:tab w:val="decimal" w:pos="588"/>
              </w:tabs>
              <w:jc w:val="center"/>
            </w:pPr>
            <w:r>
              <w:rPr>
                <w:snapToGrid w:val="0"/>
                <w:color w:val="000000"/>
              </w:rPr>
              <w:t>Evaporative ROG from LDAs and LDT1s tpd</w:t>
            </w:r>
          </w:p>
        </w:tc>
      </w:tr>
      <w:tr w:rsidR="00000000">
        <w:tblPrEx>
          <w:tblCellMar>
            <w:top w:w="0" w:type="dxa"/>
            <w:bottom w:w="0" w:type="dxa"/>
          </w:tblCellMar>
        </w:tblPrEx>
        <w:tc>
          <w:tcPr>
            <w:tcW w:w="2988" w:type="dxa"/>
          </w:tcPr>
          <w:p w:rsidR="00000000" w:rsidRDefault="00B03D17">
            <w:pPr>
              <w:jc w:val="center"/>
            </w:pPr>
          </w:p>
        </w:tc>
        <w:tc>
          <w:tcPr>
            <w:tcW w:w="1980" w:type="dxa"/>
          </w:tcPr>
          <w:p w:rsidR="00000000" w:rsidRDefault="00B03D17">
            <w:pPr>
              <w:pStyle w:val="Header"/>
              <w:tabs>
                <w:tab w:val="clear" w:pos="4320"/>
                <w:tab w:val="clear" w:pos="8640"/>
                <w:tab w:val="decimal" w:pos="522"/>
              </w:tabs>
              <w:jc w:val="center"/>
            </w:pPr>
            <w:r>
              <w:t>New Evap Tech Fractions</w:t>
            </w:r>
          </w:p>
        </w:tc>
        <w:tc>
          <w:tcPr>
            <w:tcW w:w="1980" w:type="dxa"/>
          </w:tcPr>
          <w:p w:rsidR="00000000" w:rsidRDefault="00B03D17">
            <w:pPr>
              <w:pStyle w:val="Header"/>
              <w:tabs>
                <w:tab w:val="clear" w:pos="4320"/>
                <w:tab w:val="clear" w:pos="8640"/>
                <w:tab w:val="decimal" w:pos="645"/>
              </w:tabs>
              <w:jc w:val="center"/>
            </w:pPr>
            <w:r>
              <w:t>Old Evap Tech Fractions</w:t>
            </w:r>
          </w:p>
        </w:tc>
        <w:tc>
          <w:tcPr>
            <w:tcW w:w="1317" w:type="dxa"/>
          </w:tcPr>
          <w:p w:rsidR="00000000" w:rsidRDefault="00B03D17">
            <w:pPr>
              <w:jc w:val="center"/>
            </w:pPr>
            <w:r>
              <w:t>Change</w:t>
            </w:r>
          </w:p>
        </w:tc>
      </w:tr>
      <w:tr w:rsidR="00000000">
        <w:tblPrEx>
          <w:tblCellMar>
            <w:top w:w="0" w:type="dxa"/>
            <w:bottom w:w="0" w:type="dxa"/>
          </w:tblCellMar>
        </w:tblPrEx>
        <w:tc>
          <w:tcPr>
            <w:tcW w:w="2988" w:type="dxa"/>
          </w:tcPr>
          <w:p w:rsidR="00000000" w:rsidRDefault="00B03D17">
            <w:r>
              <w:t>SCAB</w:t>
            </w:r>
          </w:p>
        </w:tc>
        <w:tc>
          <w:tcPr>
            <w:tcW w:w="1980" w:type="dxa"/>
          </w:tcPr>
          <w:p w:rsidR="00000000" w:rsidRDefault="00B03D17">
            <w:pPr>
              <w:tabs>
                <w:tab w:val="decimal" w:pos="972"/>
              </w:tabs>
            </w:pPr>
            <w:r>
              <w:rPr>
                <w:snapToGrid w:val="0"/>
                <w:color w:val="000000"/>
              </w:rPr>
              <w:t>97.87</w:t>
            </w:r>
          </w:p>
        </w:tc>
        <w:tc>
          <w:tcPr>
            <w:tcW w:w="1980" w:type="dxa"/>
          </w:tcPr>
          <w:p w:rsidR="00000000" w:rsidRDefault="00B03D17">
            <w:pPr>
              <w:tabs>
                <w:tab w:val="decimal" w:pos="882"/>
              </w:tabs>
            </w:pPr>
            <w:r>
              <w:rPr>
                <w:snapToGrid w:val="0"/>
                <w:color w:val="000000"/>
              </w:rPr>
              <w:t>97.90</w:t>
            </w:r>
          </w:p>
        </w:tc>
        <w:tc>
          <w:tcPr>
            <w:tcW w:w="1317" w:type="dxa"/>
          </w:tcPr>
          <w:p w:rsidR="00000000" w:rsidRDefault="00B03D17">
            <w:pPr>
              <w:pStyle w:val="Header"/>
              <w:tabs>
                <w:tab w:val="clear" w:pos="4320"/>
                <w:tab w:val="clear" w:pos="8640"/>
                <w:tab w:val="decimal" w:pos="588"/>
              </w:tabs>
            </w:pPr>
            <w:r>
              <w:t>-0.03</w:t>
            </w:r>
          </w:p>
        </w:tc>
      </w:tr>
      <w:tr w:rsidR="00000000">
        <w:tblPrEx>
          <w:tblCellMar>
            <w:top w:w="0" w:type="dxa"/>
            <w:bottom w:w="0" w:type="dxa"/>
          </w:tblCellMar>
        </w:tblPrEx>
        <w:tc>
          <w:tcPr>
            <w:tcW w:w="2988" w:type="dxa"/>
          </w:tcPr>
          <w:p w:rsidR="00000000" w:rsidRDefault="00B03D17">
            <w:r>
              <w:t>Santa Barbara Co</w:t>
            </w:r>
            <w:r>
              <w:t>unty</w:t>
            </w:r>
          </w:p>
        </w:tc>
        <w:tc>
          <w:tcPr>
            <w:tcW w:w="1980" w:type="dxa"/>
          </w:tcPr>
          <w:p w:rsidR="00000000" w:rsidRDefault="00B03D17">
            <w:pPr>
              <w:tabs>
                <w:tab w:val="decimal" w:pos="972"/>
              </w:tabs>
            </w:pPr>
            <w:r>
              <w:rPr>
                <w:snapToGrid w:val="0"/>
                <w:color w:val="000000"/>
              </w:rPr>
              <w:t>3.47</w:t>
            </w:r>
          </w:p>
        </w:tc>
        <w:tc>
          <w:tcPr>
            <w:tcW w:w="1980" w:type="dxa"/>
          </w:tcPr>
          <w:p w:rsidR="00000000" w:rsidRDefault="00B03D17">
            <w:pPr>
              <w:tabs>
                <w:tab w:val="decimal" w:pos="882"/>
              </w:tabs>
            </w:pPr>
            <w:r>
              <w:rPr>
                <w:snapToGrid w:val="0"/>
                <w:color w:val="000000"/>
              </w:rPr>
              <w:t>3.47</w:t>
            </w:r>
          </w:p>
        </w:tc>
        <w:tc>
          <w:tcPr>
            <w:tcW w:w="1317" w:type="dxa"/>
          </w:tcPr>
          <w:p w:rsidR="00000000" w:rsidRDefault="00B03D17">
            <w:pPr>
              <w:tabs>
                <w:tab w:val="decimal" w:pos="588"/>
              </w:tabs>
            </w:pPr>
          </w:p>
        </w:tc>
      </w:tr>
      <w:tr w:rsidR="00000000">
        <w:tblPrEx>
          <w:tblCellMar>
            <w:top w:w="0" w:type="dxa"/>
            <w:bottom w:w="0" w:type="dxa"/>
          </w:tblCellMar>
        </w:tblPrEx>
        <w:tc>
          <w:tcPr>
            <w:tcW w:w="2988" w:type="dxa"/>
          </w:tcPr>
          <w:p w:rsidR="00000000" w:rsidRDefault="00B03D17">
            <w:r>
              <w:t>San Francisco Bay AB</w:t>
            </w:r>
          </w:p>
        </w:tc>
        <w:tc>
          <w:tcPr>
            <w:tcW w:w="1980" w:type="dxa"/>
          </w:tcPr>
          <w:p w:rsidR="00000000" w:rsidRDefault="00B03D17">
            <w:pPr>
              <w:tabs>
                <w:tab w:val="decimal" w:pos="972"/>
              </w:tabs>
            </w:pPr>
            <w:r>
              <w:rPr>
                <w:snapToGrid w:val="0"/>
                <w:color w:val="000000"/>
              </w:rPr>
              <w:t>53.46</w:t>
            </w:r>
          </w:p>
        </w:tc>
        <w:tc>
          <w:tcPr>
            <w:tcW w:w="1980" w:type="dxa"/>
          </w:tcPr>
          <w:p w:rsidR="00000000" w:rsidRDefault="00B03D17">
            <w:pPr>
              <w:tabs>
                <w:tab w:val="decimal" w:pos="882"/>
              </w:tabs>
            </w:pPr>
            <w:r>
              <w:rPr>
                <w:snapToGrid w:val="0"/>
                <w:color w:val="000000"/>
              </w:rPr>
              <w:t>53.44</w:t>
            </w:r>
          </w:p>
        </w:tc>
        <w:tc>
          <w:tcPr>
            <w:tcW w:w="1317" w:type="dxa"/>
          </w:tcPr>
          <w:p w:rsidR="00000000" w:rsidRDefault="00B03D17">
            <w:pPr>
              <w:tabs>
                <w:tab w:val="decimal" w:pos="588"/>
              </w:tabs>
            </w:pPr>
            <w:r>
              <w:t>-0.02</w:t>
            </w:r>
          </w:p>
        </w:tc>
      </w:tr>
      <w:tr w:rsidR="00000000">
        <w:tblPrEx>
          <w:tblCellMar>
            <w:top w:w="0" w:type="dxa"/>
            <w:bottom w:w="0" w:type="dxa"/>
          </w:tblCellMar>
        </w:tblPrEx>
        <w:tc>
          <w:tcPr>
            <w:tcW w:w="2988" w:type="dxa"/>
          </w:tcPr>
          <w:p w:rsidR="00000000" w:rsidRDefault="00B03D17">
            <w:r>
              <w:t>Sacramento County</w:t>
            </w:r>
          </w:p>
        </w:tc>
        <w:tc>
          <w:tcPr>
            <w:tcW w:w="1980" w:type="dxa"/>
          </w:tcPr>
          <w:p w:rsidR="00000000" w:rsidRDefault="00B03D17">
            <w:pPr>
              <w:tabs>
                <w:tab w:val="decimal" w:pos="972"/>
              </w:tabs>
            </w:pPr>
            <w:r>
              <w:rPr>
                <w:snapToGrid w:val="0"/>
                <w:color w:val="000000"/>
              </w:rPr>
              <w:t>9.90</w:t>
            </w:r>
          </w:p>
        </w:tc>
        <w:tc>
          <w:tcPr>
            <w:tcW w:w="1980" w:type="dxa"/>
          </w:tcPr>
          <w:p w:rsidR="00000000" w:rsidRDefault="00B03D17">
            <w:pPr>
              <w:tabs>
                <w:tab w:val="decimal" w:pos="882"/>
              </w:tabs>
            </w:pPr>
            <w:r>
              <w:rPr>
                <w:snapToGrid w:val="0"/>
                <w:color w:val="000000"/>
              </w:rPr>
              <w:t>9.90</w:t>
            </w:r>
          </w:p>
        </w:tc>
        <w:tc>
          <w:tcPr>
            <w:tcW w:w="1317" w:type="dxa"/>
          </w:tcPr>
          <w:p w:rsidR="00000000" w:rsidRDefault="00B03D17">
            <w:pPr>
              <w:tabs>
                <w:tab w:val="decimal" w:pos="588"/>
              </w:tabs>
            </w:pPr>
          </w:p>
        </w:tc>
      </w:tr>
    </w:tbl>
    <w:p w:rsidR="00000000" w:rsidRDefault="00B03D17"/>
    <w:p w:rsidR="00000000" w:rsidRDefault="00B03D17"/>
    <w:p w:rsidR="00000000" w:rsidRDefault="00B03D17">
      <w:pPr>
        <w:pageBreakBefore/>
        <w:jc w:val="center"/>
      </w:pPr>
      <w:r>
        <w:lastRenderedPageBreak/>
        <w:t>Table 5.  Effects of Increased PZEV sales estimates 2020</w:t>
      </w:r>
    </w:p>
    <w:p w:rsidR="00000000" w:rsidRDefault="00B03D1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980"/>
        <w:gridCol w:w="1980"/>
        <w:gridCol w:w="1317"/>
      </w:tblGrid>
      <w:tr w:rsidR="00000000">
        <w:tblPrEx>
          <w:tblCellMar>
            <w:top w:w="0" w:type="dxa"/>
            <w:bottom w:w="0" w:type="dxa"/>
          </w:tblCellMar>
        </w:tblPrEx>
        <w:trPr>
          <w:cantSplit/>
        </w:trPr>
        <w:tc>
          <w:tcPr>
            <w:tcW w:w="2988" w:type="dxa"/>
          </w:tcPr>
          <w:p w:rsidR="00000000" w:rsidRDefault="00B03D17">
            <w:pPr>
              <w:jc w:val="center"/>
            </w:pPr>
          </w:p>
        </w:tc>
        <w:tc>
          <w:tcPr>
            <w:tcW w:w="5277" w:type="dxa"/>
            <w:gridSpan w:val="3"/>
          </w:tcPr>
          <w:p w:rsidR="00000000" w:rsidRDefault="00B03D17">
            <w:pPr>
              <w:pStyle w:val="Header"/>
              <w:tabs>
                <w:tab w:val="clear" w:pos="4320"/>
                <w:tab w:val="clear" w:pos="8640"/>
                <w:tab w:val="decimal" w:pos="588"/>
              </w:tabs>
              <w:jc w:val="center"/>
            </w:pPr>
            <w:r>
              <w:rPr>
                <w:snapToGrid w:val="0"/>
                <w:color w:val="000000"/>
              </w:rPr>
              <w:t>Evaporative ROG from LDAs and LDT1s tpd</w:t>
            </w:r>
          </w:p>
        </w:tc>
      </w:tr>
      <w:tr w:rsidR="00000000">
        <w:tblPrEx>
          <w:tblCellMar>
            <w:top w:w="0" w:type="dxa"/>
            <w:bottom w:w="0" w:type="dxa"/>
          </w:tblCellMar>
        </w:tblPrEx>
        <w:tc>
          <w:tcPr>
            <w:tcW w:w="2988" w:type="dxa"/>
          </w:tcPr>
          <w:p w:rsidR="00000000" w:rsidRDefault="00B03D17">
            <w:pPr>
              <w:jc w:val="center"/>
            </w:pPr>
          </w:p>
        </w:tc>
        <w:tc>
          <w:tcPr>
            <w:tcW w:w="1980" w:type="dxa"/>
          </w:tcPr>
          <w:p w:rsidR="00000000" w:rsidRDefault="00B03D17">
            <w:pPr>
              <w:pStyle w:val="Header"/>
              <w:tabs>
                <w:tab w:val="clear" w:pos="4320"/>
                <w:tab w:val="clear" w:pos="8640"/>
                <w:tab w:val="decimal" w:pos="522"/>
              </w:tabs>
              <w:jc w:val="center"/>
            </w:pPr>
            <w:r>
              <w:t>New Evap Tech Fractions</w:t>
            </w:r>
          </w:p>
        </w:tc>
        <w:tc>
          <w:tcPr>
            <w:tcW w:w="1980" w:type="dxa"/>
          </w:tcPr>
          <w:p w:rsidR="00000000" w:rsidRDefault="00B03D17">
            <w:pPr>
              <w:pStyle w:val="Header"/>
              <w:tabs>
                <w:tab w:val="clear" w:pos="4320"/>
                <w:tab w:val="clear" w:pos="8640"/>
                <w:tab w:val="decimal" w:pos="645"/>
              </w:tabs>
              <w:jc w:val="center"/>
            </w:pPr>
            <w:r>
              <w:t>Old Evap Tech Fractions</w:t>
            </w:r>
          </w:p>
        </w:tc>
        <w:tc>
          <w:tcPr>
            <w:tcW w:w="1317" w:type="dxa"/>
          </w:tcPr>
          <w:p w:rsidR="00000000" w:rsidRDefault="00B03D17">
            <w:pPr>
              <w:jc w:val="center"/>
            </w:pPr>
            <w:r>
              <w:t>Change</w:t>
            </w:r>
          </w:p>
        </w:tc>
      </w:tr>
      <w:tr w:rsidR="00000000">
        <w:tblPrEx>
          <w:tblCellMar>
            <w:top w:w="0" w:type="dxa"/>
            <w:bottom w:w="0" w:type="dxa"/>
          </w:tblCellMar>
        </w:tblPrEx>
        <w:tc>
          <w:tcPr>
            <w:tcW w:w="2988" w:type="dxa"/>
          </w:tcPr>
          <w:p w:rsidR="00000000" w:rsidRDefault="00B03D17">
            <w:r>
              <w:t>SCAB</w:t>
            </w:r>
          </w:p>
        </w:tc>
        <w:tc>
          <w:tcPr>
            <w:tcW w:w="1980" w:type="dxa"/>
          </w:tcPr>
          <w:p w:rsidR="00000000" w:rsidRDefault="00B03D17">
            <w:pPr>
              <w:tabs>
                <w:tab w:val="decimal" w:pos="972"/>
              </w:tabs>
            </w:pPr>
            <w:r>
              <w:rPr>
                <w:snapToGrid w:val="0"/>
                <w:color w:val="000000"/>
              </w:rPr>
              <w:t>37.23</w:t>
            </w:r>
          </w:p>
        </w:tc>
        <w:tc>
          <w:tcPr>
            <w:tcW w:w="1980" w:type="dxa"/>
          </w:tcPr>
          <w:p w:rsidR="00000000" w:rsidRDefault="00B03D17">
            <w:pPr>
              <w:tabs>
                <w:tab w:val="decimal" w:pos="882"/>
              </w:tabs>
            </w:pPr>
            <w:r>
              <w:rPr>
                <w:snapToGrid w:val="0"/>
                <w:color w:val="000000"/>
              </w:rPr>
              <w:t>38.70</w:t>
            </w:r>
          </w:p>
        </w:tc>
        <w:tc>
          <w:tcPr>
            <w:tcW w:w="1317" w:type="dxa"/>
          </w:tcPr>
          <w:p w:rsidR="00000000" w:rsidRDefault="00B03D17">
            <w:pPr>
              <w:pStyle w:val="Header"/>
              <w:tabs>
                <w:tab w:val="clear" w:pos="4320"/>
                <w:tab w:val="clear" w:pos="8640"/>
                <w:tab w:val="decimal" w:pos="588"/>
              </w:tabs>
            </w:pPr>
            <w:r>
              <w:t>-1.47</w:t>
            </w:r>
          </w:p>
        </w:tc>
      </w:tr>
      <w:tr w:rsidR="00000000">
        <w:tblPrEx>
          <w:tblCellMar>
            <w:top w:w="0" w:type="dxa"/>
            <w:bottom w:w="0" w:type="dxa"/>
          </w:tblCellMar>
        </w:tblPrEx>
        <w:tc>
          <w:tcPr>
            <w:tcW w:w="2988" w:type="dxa"/>
          </w:tcPr>
          <w:p w:rsidR="00000000" w:rsidRDefault="00B03D17">
            <w:r>
              <w:t>Santa Barbara County</w:t>
            </w:r>
          </w:p>
        </w:tc>
        <w:tc>
          <w:tcPr>
            <w:tcW w:w="1980" w:type="dxa"/>
          </w:tcPr>
          <w:p w:rsidR="00000000" w:rsidRDefault="00B03D17">
            <w:pPr>
              <w:tabs>
                <w:tab w:val="decimal" w:pos="972"/>
              </w:tabs>
            </w:pPr>
            <w:r>
              <w:rPr>
                <w:snapToGrid w:val="0"/>
                <w:color w:val="000000"/>
              </w:rPr>
              <w:t>1.14</w:t>
            </w:r>
          </w:p>
        </w:tc>
        <w:tc>
          <w:tcPr>
            <w:tcW w:w="1980" w:type="dxa"/>
          </w:tcPr>
          <w:p w:rsidR="00000000" w:rsidRDefault="00B03D17">
            <w:pPr>
              <w:tabs>
                <w:tab w:val="decimal" w:pos="882"/>
              </w:tabs>
            </w:pPr>
            <w:r>
              <w:rPr>
                <w:snapToGrid w:val="0"/>
                <w:color w:val="000000"/>
              </w:rPr>
              <w:t>1.17</w:t>
            </w:r>
          </w:p>
        </w:tc>
        <w:tc>
          <w:tcPr>
            <w:tcW w:w="1317" w:type="dxa"/>
          </w:tcPr>
          <w:p w:rsidR="00000000" w:rsidRDefault="00B03D17">
            <w:pPr>
              <w:tabs>
                <w:tab w:val="decimal" w:pos="588"/>
              </w:tabs>
            </w:pPr>
            <w:r>
              <w:t>-0.03</w:t>
            </w:r>
          </w:p>
        </w:tc>
      </w:tr>
      <w:tr w:rsidR="00000000">
        <w:tblPrEx>
          <w:tblCellMar>
            <w:top w:w="0" w:type="dxa"/>
            <w:bottom w:w="0" w:type="dxa"/>
          </w:tblCellMar>
        </w:tblPrEx>
        <w:tc>
          <w:tcPr>
            <w:tcW w:w="2988" w:type="dxa"/>
          </w:tcPr>
          <w:p w:rsidR="00000000" w:rsidRDefault="00B03D17">
            <w:r>
              <w:t>San Francisco Bay AB</w:t>
            </w:r>
          </w:p>
        </w:tc>
        <w:tc>
          <w:tcPr>
            <w:tcW w:w="1980" w:type="dxa"/>
          </w:tcPr>
          <w:p w:rsidR="00000000" w:rsidRDefault="00B03D17">
            <w:pPr>
              <w:tabs>
                <w:tab w:val="decimal" w:pos="972"/>
              </w:tabs>
            </w:pPr>
            <w:r>
              <w:rPr>
                <w:snapToGrid w:val="0"/>
                <w:color w:val="000000"/>
              </w:rPr>
              <w:t>19.23</w:t>
            </w:r>
          </w:p>
        </w:tc>
        <w:tc>
          <w:tcPr>
            <w:tcW w:w="1980" w:type="dxa"/>
          </w:tcPr>
          <w:p w:rsidR="00000000" w:rsidRDefault="00B03D17">
            <w:pPr>
              <w:tabs>
                <w:tab w:val="decimal" w:pos="882"/>
              </w:tabs>
            </w:pPr>
            <w:r>
              <w:rPr>
                <w:snapToGrid w:val="0"/>
                <w:color w:val="000000"/>
              </w:rPr>
              <w:t>19.92</w:t>
            </w:r>
          </w:p>
        </w:tc>
        <w:tc>
          <w:tcPr>
            <w:tcW w:w="1317" w:type="dxa"/>
          </w:tcPr>
          <w:p w:rsidR="00000000" w:rsidRDefault="00B03D17">
            <w:pPr>
              <w:tabs>
                <w:tab w:val="decimal" w:pos="588"/>
              </w:tabs>
            </w:pPr>
            <w:r>
              <w:t>-0.69</w:t>
            </w:r>
          </w:p>
        </w:tc>
      </w:tr>
      <w:tr w:rsidR="00000000">
        <w:tblPrEx>
          <w:tblCellMar>
            <w:top w:w="0" w:type="dxa"/>
            <w:bottom w:w="0" w:type="dxa"/>
          </w:tblCellMar>
        </w:tblPrEx>
        <w:tc>
          <w:tcPr>
            <w:tcW w:w="2988" w:type="dxa"/>
          </w:tcPr>
          <w:p w:rsidR="00000000" w:rsidRDefault="00B03D17">
            <w:r>
              <w:t>Sacramento County</w:t>
            </w:r>
          </w:p>
        </w:tc>
        <w:tc>
          <w:tcPr>
            <w:tcW w:w="1980" w:type="dxa"/>
          </w:tcPr>
          <w:p w:rsidR="00000000" w:rsidRDefault="00B03D17">
            <w:pPr>
              <w:tabs>
                <w:tab w:val="decimal" w:pos="972"/>
              </w:tabs>
            </w:pPr>
            <w:r>
              <w:rPr>
                <w:snapToGrid w:val="0"/>
                <w:color w:val="000000"/>
              </w:rPr>
              <w:t>3.69</w:t>
            </w:r>
          </w:p>
        </w:tc>
        <w:tc>
          <w:tcPr>
            <w:tcW w:w="1980" w:type="dxa"/>
          </w:tcPr>
          <w:p w:rsidR="00000000" w:rsidRDefault="00B03D17">
            <w:pPr>
              <w:tabs>
                <w:tab w:val="decimal" w:pos="882"/>
              </w:tabs>
            </w:pPr>
            <w:r>
              <w:rPr>
                <w:snapToGrid w:val="0"/>
                <w:color w:val="000000"/>
              </w:rPr>
              <w:t>3.83</w:t>
            </w:r>
          </w:p>
        </w:tc>
        <w:tc>
          <w:tcPr>
            <w:tcW w:w="1317" w:type="dxa"/>
          </w:tcPr>
          <w:p w:rsidR="00000000" w:rsidRDefault="00B03D17">
            <w:pPr>
              <w:tabs>
                <w:tab w:val="decimal" w:pos="588"/>
              </w:tabs>
            </w:pPr>
            <w:r>
              <w:t>-0.14</w:t>
            </w:r>
          </w:p>
        </w:tc>
      </w:tr>
    </w:tbl>
    <w:p w:rsidR="00000000" w:rsidRDefault="00B03D17"/>
    <w:p w:rsidR="00000000" w:rsidRDefault="00B03D17"/>
    <w:p w:rsidR="00000000" w:rsidRDefault="00B03D17">
      <w:pPr>
        <w:jc w:val="center"/>
      </w:pPr>
      <w:r>
        <w:t>Table 6.  Effects of Increased PZEV sales estimates 2030</w:t>
      </w:r>
    </w:p>
    <w:p w:rsidR="00000000" w:rsidRDefault="00B03D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980"/>
        <w:gridCol w:w="1980"/>
        <w:gridCol w:w="1317"/>
      </w:tblGrid>
      <w:tr w:rsidR="00000000">
        <w:tblPrEx>
          <w:tblCellMar>
            <w:top w:w="0" w:type="dxa"/>
            <w:bottom w:w="0" w:type="dxa"/>
          </w:tblCellMar>
        </w:tblPrEx>
        <w:trPr>
          <w:cantSplit/>
        </w:trPr>
        <w:tc>
          <w:tcPr>
            <w:tcW w:w="2988" w:type="dxa"/>
          </w:tcPr>
          <w:p w:rsidR="00000000" w:rsidRDefault="00B03D17">
            <w:pPr>
              <w:jc w:val="center"/>
            </w:pPr>
          </w:p>
        </w:tc>
        <w:tc>
          <w:tcPr>
            <w:tcW w:w="5277" w:type="dxa"/>
            <w:gridSpan w:val="3"/>
          </w:tcPr>
          <w:p w:rsidR="00000000" w:rsidRDefault="00B03D17">
            <w:pPr>
              <w:pStyle w:val="Header"/>
              <w:tabs>
                <w:tab w:val="clear" w:pos="4320"/>
                <w:tab w:val="clear" w:pos="8640"/>
                <w:tab w:val="decimal" w:pos="588"/>
              </w:tabs>
              <w:jc w:val="center"/>
            </w:pPr>
            <w:r>
              <w:rPr>
                <w:snapToGrid w:val="0"/>
                <w:color w:val="000000"/>
              </w:rPr>
              <w:t>Evaporative ROG from LDAs and LDT1s tpd</w:t>
            </w:r>
          </w:p>
        </w:tc>
      </w:tr>
      <w:tr w:rsidR="00000000">
        <w:tblPrEx>
          <w:tblCellMar>
            <w:top w:w="0" w:type="dxa"/>
            <w:bottom w:w="0" w:type="dxa"/>
          </w:tblCellMar>
        </w:tblPrEx>
        <w:tc>
          <w:tcPr>
            <w:tcW w:w="2988" w:type="dxa"/>
          </w:tcPr>
          <w:p w:rsidR="00000000" w:rsidRDefault="00B03D17">
            <w:pPr>
              <w:jc w:val="center"/>
            </w:pPr>
          </w:p>
        </w:tc>
        <w:tc>
          <w:tcPr>
            <w:tcW w:w="1980" w:type="dxa"/>
          </w:tcPr>
          <w:p w:rsidR="00000000" w:rsidRDefault="00B03D17">
            <w:pPr>
              <w:pStyle w:val="Header"/>
              <w:tabs>
                <w:tab w:val="clear" w:pos="4320"/>
                <w:tab w:val="clear" w:pos="8640"/>
                <w:tab w:val="decimal" w:pos="522"/>
              </w:tabs>
              <w:jc w:val="center"/>
            </w:pPr>
            <w:r>
              <w:t>New Evap Tech Fractions</w:t>
            </w:r>
          </w:p>
        </w:tc>
        <w:tc>
          <w:tcPr>
            <w:tcW w:w="1980" w:type="dxa"/>
          </w:tcPr>
          <w:p w:rsidR="00000000" w:rsidRDefault="00B03D17">
            <w:pPr>
              <w:pStyle w:val="Header"/>
              <w:tabs>
                <w:tab w:val="clear" w:pos="4320"/>
                <w:tab w:val="clear" w:pos="8640"/>
                <w:tab w:val="decimal" w:pos="645"/>
              </w:tabs>
              <w:jc w:val="center"/>
            </w:pPr>
            <w:r>
              <w:t>Ol</w:t>
            </w:r>
            <w:r>
              <w:t>d Evap Tech Fractions</w:t>
            </w:r>
          </w:p>
        </w:tc>
        <w:tc>
          <w:tcPr>
            <w:tcW w:w="1317" w:type="dxa"/>
          </w:tcPr>
          <w:p w:rsidR="00000000" w:rsidRDefault="00B03D17">
            <w:pPr>
              <w:jc w:val="center"/>
            </w:pPr>
            <w:r>
              <w:t>Change</w:t>
            </w:r>
          </w:p>
        </w:tc>
      </w:tr>
      <w:tr w:rsidR="00000000">
        <w:tblPrEx>
          <w:tblCellMar>
            <w:top w:w="0" w:type="dxa"/>
            <w:bottom w:w="0" w:type="dxa"/>
          </w:tblCellMar>
        </w:tblPrEx>
        <w:tc>
          <w:tcPr>
            <w:tcW w:w="2988" w:type="dxa"/>
          </w:tcPr>
          <w:p w:rsidR="00000000" w:rsidRDefault="00B03D17">
            <w:r>
              <w:t>SCAB</w:t>
            </w:r>
          </w:p>
        </w:tc>
        <w:tc>
          <w:tcPr>
            <w:tcW w:w="1980" w:type="dxa"/>
          </w:tcPr>
          <w:p w:rsidR="00000000" w:rsidRDefault="00B03D17">
            <w:pPr>
              <w:tabs>
                <w:tab w:val="decimal" w:pos="972"/>
              </w:tabs>
            </w:pPr>
            <w:r>
              <w:rPr>
                <w:snapToGrid w:val="0"/>
                <w:color w:val="000000"/>
              </w:rPr>
              <w:t>23.6</w:t>
            </w:r>
          </w:p>
        </w:tc>
        <w:tc>
          <w:tcPr>
            <w:tcW w:w="1980" w:type="dxa"/>
          </w:tcPr>
          <w:p w:rsidR="00000000" w:rsidRDefault="00B03D17">
            <w:pPr>
              <w:tabs>
                <w:tab w:val="decimal" w:pos="882"/>
              </w:tabs>
            </w:pPr>
            <w:r>
              <w:rPr>
                <w:snapToGrid w:val="0"/>
                <w:color w:val="000000"/>
              </w:rPr>
              <w:t>27.5</w:t>
            </w:r>
          </w:p>
        </w:tc>
        <w:tc>
          <w:tcPr>
            <w:tcW w:w="1317" w:type="dxa"/>
          </w:tcPr>
          <w:p w:rsidR="00000000" w:rsidRDefault="00B03D17">
            <w:pPr>
              <w:pStyle w:val="Header"/>
              <w:tabs>
                <w:tab w:val="clear" w:pos="4320"/>
                <w:tab w:val="clear" w:pos="8640"/>
                <w:tab w:val="decimal" w:pos="588"/>
              </w:tabs>
            </w:pPr>
            <w:r>
              <w:t>-3.9</w:t>
            </w:r>
          </w:p>
        </w:tc>
      </w:tr>
      <w:tr w:rsidR="00000000">
        <w:tblPrEx>
          <w:tblCellMar>
            <w:top w:w="0" w:type="dxa"/>
            <w:bottom w:w="0" w:type="dxa"/>
          </w:tblCellMar>
        </w:tblPrEx>
        <w:tc>
          <w:tcPr>
            <w:tcW w:w="2988" w:type="dxa"/>
          </w:tcPr>
          <w:p w:rsidR="00000000" w:rsidRDefault="00B03D17">
            <w:r>
              <w:t>Santa Barbara County</w:t>
            </w:r>
          </w:p>
        </w:tc>
        <w:tc>
          <w:tcPr>
            <w:tcW w:w="1980" w:type="dxa"/>
          </w:tcPr>
          <w:p w:rsidR="00000000" w:rsidRDefault="00B03D17">
            <w:pPr>
              <w:tabs>
                <w:tab w:val="decimal" w:pos="972"/>
              </w:tabs>
            </w:pPr>
            <w:r>
              <w:rPr>
                <w:snapToGrid w:val="0"/>
                <w:color w:val="000000"/>
              </w:rPr>
              <w:t>0.7</w:t>
            </w:r>
          </w:p>
        </w:tc>
        <w:tc>
          <w:tcPr>
            <w:tcW w:w="1980" w:type="dxa"/>
          </w:tcPr>
          <w:p w:rsidR="00000000" w:rsidRDefault="00B03D17">
            <w:pPr>
              <w:tabs>
                <w:tab w:val="decimal" w:pos="882"/>
              </w:tabs>
            </w:pPr>
            <w:r>
              <w:rPr>
                <w:snapToGrid w:val="0"/>
                <w:color w:val="000000"/>
              </w:rPr>
              <w:t>0.8</w:t>
            </w:r>
          </w:p>
        </w:tc>
        <w:tc>
          <w:tcPr>
            <w:tcW w:w="1317" w:type="dxa"/>
          </w:tcPr>
          <w:p w:rsidR="00000000" w:rsidRDefault="00B03D17">
            <w:pPr>
              <w:tabs>
                <w:tab w:val="decimal" w:pos="588"/>
              </w:tabs>
            </w:pPr>
            <w:r>
              <w:t>-0.1</w:t>
            </w:r>
          </w:p>
        </w:tc>
      </w:tr>
      <w:tr w:rsidR="00000000">
        <w:tblPrEx>
          <w:tblCellMar>
            <w:top w:w="0" w:type="dxa"/>
            <w:bottom w:w="0" w:type="dxa"/>
          </w:tblCellMar>
        </w:tblPrEx>
        <w:tc>
          <w:tcPr>
            <w:tcW w:w="2988" w:type="dxa"/>
          </w:tcPr>
          <w:p w:rsidR="00000000" w:rsidRDefault="00B03D17">
            <w:r>
              <w:t>San Francisco Bay AB</w:t>
            </w:r>
          </w:p>
        </w:tc>
        <w:tc>
          <w:tcPr>
            <w:tcW w:w="1980" w:type="dxa"/>
          </w:tcPr>
          <w:p w:rsidR="00000000" w:rsidRDefault="00B03D17">
            <w:pPr>
              <w:tabs>
                <w:tab w:val="decimal" w:pos="972"/>
              </w:tabs>
            </w:pPr>
            <w:r>
              <w:rPr>
                <w:snapToGrid w:val="0"/>
                <w:color w:val="000000"/>
              </w:rPr>
              <w:t>11.8</w:t>
            </w:r>
          </w:p>
        </w:tc>
        <w:tc>
          <w:tcPr>
            <w:tcW w:w="1980" w:type="dxa"/>
          </w:tcPr>
          <w:p w:rsidR="00000000" w:rsidRDefault="00B03D17">
            <w:pPr>
              <w:tabs>
                <w:tab w:val="decimal" w:pos="882"/>
              </w:tabs>
            </w:pPr>
            <w:r>
              <w:rPr>
                <w:snapToGrid w:val="0"/>
                <w:color w:val="000000"/>
              </w:rPr>
              <w:t>13.6</w:t>
            </w:r>
          </w:p>
        </w:tc>
        <w:tc>
          <w:tcPr>
            <w:tcW w:w="1317" w:type="dxa"/>
          </w:tcPr>
          <w:p w:rsidR="00000000" w:rsidRDefault="00B03D17">
            <w:pPr>
              <w:tabs>
                <w:tab w:val="decimal" w:pos="588"/>
              </w:tabs>
            </w:pPr>
            <w:r>
              <w:t>-1.8</w:t>
            </w:r>
          </w:p>
        </w:tc>
      </w:tr>
      <w:tr w:rsidR="00000000">
        <w:tblPrEx>
          <w:tblCellMar>
            <w:top w:w="0" w:type="dxa"/>
            <w:bottom w:w="0" w:type="dxa"/>
          </w:tblCellMar>
        </w:tblPrEx>
        <w:tc>
          <w:tcPr>
            <w:tcW w:w="2988" w:type="dxa"/>
          </w:tcPr>
          <w:p w:rsidR="00000000" w:rsidRDefault="00B03D17">
            <w:r>
              <w:t>Sacramento County</w:t>
            </w:r>
          </w:p>
        </w:tc>
        <w:tc>
          <w:tcPr>
            <w:tcW w:w="1980" w:type="dxa"/>
          </w:tcPr>
          <w:p w:rsidR="00000000" w:rsidRDefault="00B03D17">
            <w:pPr>
              <w:tabs>
                <w:tab w:val="decimal" w:pos="972"/>
              </w:tabs>
            </w:pPr>
            <w:r>
              <w:rPr>
                <w:snapToGrid w:val="0"/>
                <w:color w:val="000000"/>
              </w:rPr>
              <w:t>2.4</w:t>
            </w:r>
          </w:p>
        </w:tc>
        <w:tc>
          <w:tcPr>
            <w:tcW w:w="1980" w:type="dxa"/>
          </w:tcPr>
          <w:p w:rsidR="00000000" w:rsidRDefault="00B03D17">
            <w:pPr>
              <w:tabs>
                <w:tab w:val="decimal" w:pos="882"/>
              </w:tabs>
            </w:pPr>
            <w:r>
              <w:rPr>
                <w:snapToGrid w:val="0"/>
                <w:color w:val="000000"/>
              </w:rPr>
              <w:t>2.7</w:t>
            </w:r>
          </w:p>
        </w:tc>
        <w:tc>
          <w:tcPr>
            <w:tcW w:w="1317" w:type="dxa"/>
          </w:tcPr>
          <w:p w:rsidR="00000000" w:rsidRDefault="00B03D17">
            <w:pPr>
              <w:tabs>
                <w:tab w:val="decimal" w:pos="588"/>
              </w:tabs>
            </w:pPr>
            <w:r>
              <w:t>-0.3</w:t>
            </w:r>
          </w:p>
        </w:tc>
      </w:tr>
    </w:tbl>
    <w:p w:rsidR="00000000" w:rsidRDefault="00B03D17"/>
    <w:p w:rsidR="00000000" w:rsidRDefault="00B03D17">
      <w:pPr>
        <w:pStyle w:val="Footer"/>
      </w:pPr>
      <w:r>
        <w:br w:type="page"/>
      </w:r>
    </w:p>
    <w:p w:rsidR="00000000" w:rsidRDefault="00B03D17">
      <w:pPr>
        <w:pStyle w:val="Header"/>
        <w:tabs>
          <w:tab w:val="clear" w:pos="4320"/>
          <w:tab w:val="clear" w:pos="8640"/>
        </w:tabs>
      </w:pPr>
    </w:p>
    <w:sectPr w:rsidR="00000000">
      <w:footerReference w:type="default" r:id="rId6"/>
      <w:pgSz w:w="12240" w:h="15840" w:code="1"/>
      <w:pgMar w:top="1440" w:right="1166" w:bottom="1440"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3D17">
      <w:r>
        <w:separator/>
      </w:r>
    </w:p>
  </w:endnote>
  <w:endnote w:type="continuationSeparator" w:id="0">
    <w:p w:rsidR="00000000" w:rsidRDefault="00B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03D17">
    <w:pPr>
      <w:pStyle w:val="Footer"/>
    </w:pPr>
    <w:r>
      <w:t>8/16/</w:t>
    </w:r>
    <w:r>
      <w:t>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3D17">
      <w:r>
        <w:separator/>
      </w:r>
    </w:p>
  </w:footnote>
  <w:footnote w:type="continuationSeparator" w:id="0">
    <w:p w:rsidR="00000000" w:rsidRDefault="00B03D17">
      <w:r>
        <w:continuationSeparator/>
      </w:r>
    </w:p>
  </w:footnote>
  <w:footnote w:id="1">
    <w:p w:rsidR="00000000" w:rsidRDefault="00B03D17">
      <w:pPr>
        <w:pStyle w:val="FootnoteText"/>
      </w:pPr>
      <w:r>
        <w:rPr>
          <w:rStyle w:val="FootnoteReference"/>
        </w:rPr>
        <w:footnoteRef/>
      </w:r>
      <w:r>
        <w:t xml:space="preserve"> For details of program changes incorporated into EMFAC2001, refer to memo, “Adoption of New Sta</w:t>
      </w:r>
      <w:r>
        <w:t>ndards Affecting all Vehicles up to the Medium-duty Truck Category” in EMFAC2001 documentation.</w:t>
      </w:r>
    </w:p>
  </w:footnote>
  <w:footnote w:id="2">
    <w:p w:rsidR="00000000" w:rsidRDefault="00B03D17">
      <w:pPr>
        <w:pStyle w:val="FootnoteText"/>
        <w:ind w:left="180" w:hanging="180"/>
      </w:pPr>
      <w:r>
        <w:rPr>
          <w:rStyle w:val="FootnoteReference"/>
        </w:rPr>
        <w:t>**</w:t>
      </w:r>
      <w:r>
        <w:tab/>
        <w:t>2004 is the first model-year for which the LEV II emission rates are required.  However, we also changed the voluntary PZEV sales rate projection for 2003 fr</w:t>
      </w:r>
      <w:r>
        <w:t>om 9.6 to 9.3%.  In spite of the fact that the terms “SULEV” and “PZEV” technically do not exist before the 2004 model year, as of the 2000 model year, manufacturers have made vehicles which qualify for those labels.  The model estimated this pre-program p</w:t>
      </w:r>
      <w:r>
        <w:t>enetration of zero-evaporative-emissions PZEVs at 9.6% of new-car sales in 2003 previously.  We changed this figure to 9.3% to match the assumed engine emissions technology sales breakdown.  The emissions effect from this small change is negligible.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17"/>
    <w:rsid w:val="00B0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E25700-BBAF-46F0-A35F-4CCA5390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widowControl w:val="0"/>
      <w:jc w:val="center"/>
      <w:outlineLvl w:val="2"/>
    </w:pPr>
    <w:rPr>
      <w:b/>
      <w:snapToGrid w:val="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2596F79FF16458478AA5407A28088" ma:contentTypeVersion="12" ma:contentTypeDescription="Create a new document." ma:contentTypeScope="" ma:versionID="33605029501731b7fed990c15a5b4e3f">
  <xsd:schema xmlns:xsd="http://www.w3.org/2001/XMLSchema" xmlns:xs="http://www.w3.org/2001/XMLSchema" xmlns:p="http://schemas.microsoft.com/office/2006/metadata/properties" xmlns:ns2="1892c88b-af11-4f4f-b11e-1d4779dd99f9" xmlns:ns3="ef1e6234-cbf6-4f84-a69a-3c15c6ea4a0b" targetNamespace="http://schemas.microsoft.com/office/2006/metadata/properties" ma:root="true" ma:fieldsID="c713124ce777f306e1612889fb36be86" ns2:_="" ns3:_="">
    <xsd:import namespace="1892c88b-af11-4f4f-b11e-1d4779dd99f9"/>
    <xsd:import namespace="ef1e6234-cbf6-4f84-a69a-3c15c6ea4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2c88b-af11-4f4f-b11e-1d4779dd9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e6234-cbf6-4f84-a69a-3c15c6ea4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b9097f-4166-4761-ae00-7b1d2f08a6bc}" ma:internalName="TaxCatchAll" ma:showField="CatchAllData" ma:web="ef1e6234-cbf6-4f84-a69a-3c15c6ea4a0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9BB98-6ED0-4024-8AD0-A398FFE2FF5B}"/>
</file>

<file path=customXml/itemProps2.xml><?xml version="1.0" encoding="utf-8"?>
<ds:datastoreItem xmlns:ds="http://schemas.openxmlformats.org/officeDocument/2006/customXml" ds:itemID="{37B3089B-AA03-437B-BC4F-00A0E8618271}"/>
</file>

<file path=docProps/app.xml><?xml version="1.0" encoding="utf-8"?>
<Properties xmlns="http://schemas.openxmlformats.org/officeDocument/2006/extended-properties" xmlns:vt="http://schemas.openxmlformats.org/officeDocument/2006/docPropsVTypes">
  <Template>Normal</Template>
  <TotalTime>0</TotalTime>
  <Pages>7</Pages>
  <Words>1345</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EMFAC Modeling Change Technical Memo</vt:lpstr>
    </vt:vector>
  </TitlesOfParts>
  <Company>ARB</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EMFAC Modeling Change Technical Memo</dc:title>
  <dc:subject/>
  <dc:creator>tuser</dc:creator>
  <cp:keywords/>
  <dc:description/>
  <cp:lastModifiedBy>Avlani, Pranay@ARB</cp:lastModifiedBy>
  <cp:revision>2</cp:revision>
  <cp:lastPrinted>2002-05-23T18:53:00Z</cp:lastPrinted>
  <dcterms:created xsi:type="dcterms:W3CDTF">2020-05-27T02:24:00Z</dcterms:created>
  <dcterms:modified xsi:type="dcterms:W3CDTF">2020-05-27T02:24:00Z</dcterms:modified>
</cp:coreProperties>
</file>