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79" w:rsidRDefault="00707FAB">
      <w:pPr>
        <w:pStyle w:val="Title"/>
      </w:pPr>
      <w:r>
        <w:t>EMFAC Modeling Change Technical Memo</w:t>
      </w:r>
    </w:p>
    <w:p w:rsidR="007F7A79" w:rsidRDefault="007F7A79"/>
    <w:p w:rsidR="007F7A79" w:rsidRDefault="00707FAB">
      <w:r>
        <w:t xml:space="preserve"> </w:t>
      </w:r>
    </w:p>
    <w:p w:rsidR="007F7A79" w:rsidRDefault="00707FAB">
      <w:r>
        <w:rPr>
          <w:b/>
        </w:rPr>
        <w:t>SUBJECT:</w:t>
      </w:r>
      <w:r>
        <w:t xml:space="preserve">  SCAG Activity Change (April 2003) </w:t>
      </w:r>
    </w:p>
    <w:p w:rsidR="007F7A79" w:rsidRDefault="007F7A79"/>
    <w:p w:rsidR="007F7A79" w:rsidRDefault="00707FAB">
      <w:r>
        <w:rPr>
          <w:b/>
        </w:rPr>
        <w:t>LEAD:</w:t>
      </w:r>
      <w:r>
        <w:t xml:space="preserve"> AGNES DUGYON</w:t>
      </w:r>
    </w:p>
    <w:p w:rsidR="007F7A79" w:rsidRDefault="007F7A79"/>
    <w:p w:rsidR="007F7A79" w:rsidRDefault="00707FAB">
      <w:pPr>
        <w:pStyle w:val="Heading1"/>
      </w:pPr>
      <w:r>
        <w:t>SUMMARY</w:t>
      </w:r>
    </w:p>
    <w:p w:rsidR="007F7A79" w:rsidRDefault="007F7A79"/>
    <w:p w:rsidR="007F7A79" w:rsidRDefault="00707FAB">
      <w:pPr>
        <w:pStyle w:val="Heading1"/>
        <w:rPr>
          <w:b w:val="0"/>
          <w:u w:val="none"/>
        </w:rPr>
      </w:pPr>
      <w:r>
        <w:rPr>
          <w:b w:val="0"/>
          <w:u w:val="none"/>
        </w:rPr>
        <w:t xml:space="preserve">In June of 2002, staff received forecasts of vehicle miles traveled (VMT) by speeds from the Southern California Association of Governments (SCAG). SCAG is responsible for the travel demand modeling of the greater Los Angeles metropolitan area, including Ventura County and much of the Mojave Desert and Salton Sea Air Basins (SSAB). These data </w:t>
      </w:r>
      <w:proofErr w:type="gramStart"/>
      <w:r>
        <w:rPr>
          <w:b w:val="0"/>
          <w:u w:val="none"/>
        </w:rPr>
        <w:t>were incorporated</w:t>
      </w:r>
      <w:proofErr w:type="gramEnd"/>
      <w:r>
        <w:rPr>
          <w:b w:val="0"/>
          <w:u w:val="none"/>
        </w:rPr>
        <w:t xml:space="preserve"> in the latest official version of EMFAC 2002 (</w:t>
      </w:r>
      <w:hyperlink r:id="rId7" w:history="1">
        <w:r>
          <w:rPr>
            <w:rStyle w:val="Hyperlink"/>
          </w:rPr>
          <w:t>http://www.arb.ca.gov/msei/on-road/latest_revisions.htm)</w:t>
        </w:r>
      </w:hyperlink>
      <w:r>
        <w:rPr>
          <w:b w:val="0"/>
          <w:u w:val="none"/>
        </w:rPr>
        <w:t xml:space="preserve">. In that update, the VMT data for Coachella and Banning </w:t>
      </w:r>
      <w:proofErr w:type="gramStart"/>
      <w:r>
        <w:rPr>
          <w:b w:val="0"/>
          <w:u w:val="none"/>
        </w:rPr>
        <w:t>were added</w:t>
      </w:r>
      <w:proofErr w:type="gramEnd"/>
      <w:r>
        <w:rPr>
          <w:b w:val="0"/>
          <w:u w:val="none"/>
        </w:rPr>
        <w:t xml:space="preserve"> to make up the Riverside County portion of the SSAB. The SCAG file labeled Banning as part of SSAB. The South Coast Air Quality Management District (SCAQMD) pointed out that this was incorrect, designating Banning as part of the Riverside portion of South Coast Air Basin (SCAB).  Staff confirmed that SCAQMD was correct according to ARB Resolution 96-20. In April 2003, using these same data, staff </w:t>
      </w:r>
      <w:proofErr w:type="gramStart"/>
      <w:r>
        <w:rPr>
          <w:b w:val="0"/>
          <w:u w:val="none"/>
        </w:rPr>
        <w:t>were requested</w:t>
      </w:r>
      <w:proofErr w:type="gramEnd"/>
      <w:r>
        <w:rPr>
          <w:b w:val="0"/>
          <w:u w:val="none"/>
        </w:rPr>
        <w:t xml:space="preserve"> by SCAG to make the following changes:</w:t>
      </w:r>
    </w:p>
    <w:p w:rsidR="007F7A79" w:rsidRDefault="007F7A79">
      <w:pPr>
        <w:pStyle w:val="Heading1"/>
        <w:rPr>
          <w:b w:val="0"/>
          <w:u w:val="none"/>
        </w:rPr>
      </w:pPr>
    </w:p>
    <w:p w:rsidR="007F7A79" w:rsidRDefault="00707FAB">
      <w:pPr>
        <w:numPr>
          <w:ilvl w:val="0"/>
          <w:numId w:val="12"/>
        </w:numPr>
      </w:pPr>
      <w:r>
        <w:t xml:space="preserve">Remove Banning from the Riverside portion of SSAB, and add it to the Riverside portion of SCAB.  </w:t>
      </w:r>
    </w:p>
    <w:p w:rsidR="007F7A79" w:rsidRDefault="007F7A79"/>
    <w:p w:rsidR="007F7A79" w:rsidRDefault="00707FAB">
      <w:pPr>
        <w:pStyle w:val="Heading1"/>
        <w:rPr>
          <w:b w:val="0"/>
          <w:u w:val="none"/>
        </w:rPr>
      </w:pPr>
      <w:r>
        <w:rPr>
          <w:b w:val="0"/>
          <w:u w:val="none"/>
        </w:rPr>
        <w:t xml:space="preserve">This means that the VMT by speed for Banning, previously added to Coachella to comprise the Riverside portion of SSAB, </w:t>
      </w:r>
      <w:proofErr w:type="gramStart"/>
      <w:r>
        <w:rPr>
          <w:b w:val="0"/>
          <w:u w:val="none"/>
        </w:rPr>
        <w:t>was added</w:t>
      </w:r>
      <w:proofErr w:type="gramEnd"/>
      <w:r>
        <w:rPr>
          <w:b w:val="0"/>
          <w:u w:val="none"/>
        </w:rPr>
        <w:t xml:space="preserve"> instead to the Riverside portion of SCAB. As indicated in Tables 1-3, the changes in emissions are roughly proportional to the changes in VMT.</w:t>
      </w:r>
    </w:p>
    <w:p w:rsidR="007F7A79" w:rsidRDefault="007F7A79">
      <w:pPr>
        <w:pStyle w:val="Heading1"/>
      </w:pPr>
    </w:p>
    <w:p w:rsidR="007F7A79" w:rsidRDefault="00707FAB">
      <w:pPr>
        <w:numPr>
          <w:ilvl w:val="0"/>
          <w:numId w:val="12"/>
        </w:numPr>
      </w:pPr>
      <w:r>
        <w:t>Redefine PM Peak to be from 3 p.m. to 7 p.m.</w:t>
      </w:r>
    </w:p>
    <w:p w:rsidR="007F7A79" w:rsidRDefault="007F7A79"/>
    <w:p w:rsidR="007F7A79" w:rsidRDefault="00707FAB">
      <w:r>
        <w:t xml:space="preserve">This period </w:t>
      </w:r>
      <w:proofErr w:type="gramStart"/>
      <w:r>
        <w:t>has always been defined</w:t>
      </w:r>
      <w:proofErr w:type="gramEnd"/>
      <w:r>
        <w:t xml:space="preserve"> in past models to be from 3 p.m. to 6 p.m.  In this revision, SCAG has requested that the PM peak </w:t>
      </w:r>
      <w:proofErr w:type="gramStart"/>
      <w:r>
        <w:t>be extended</w:t>
      </w:r>
      <w:proofErr w:type="gramEnd"/>
      <w:r>
        <w:t xml:space="preserve"> from 3 p.m. to 7 p.m. for all areas of SCAG responsibility. This change </w:t>
      </w:r>
      <w:proofErr w:type="gramStart"/>
      <w:r>
        <w:t>was done</w:t>
      </w:r>
      <w:proofErr w:type="gramEnd"/>
      <w:r>
        <w:t xml:space="preserve"> simultaneously with the Banning change, so the incremental effect cannot be definitively determined.  </w:t>
      </w:r>
    </w:p>
    <w:p w:rsidR="007F7A79" w:rsidRDefault="007F7A79"/>
    <w:p w:rsidR="007F7A79" w:rsidRDefault="00707FAB">
      <w:r>
        <w:t xml:space="preserve">Tables 1, 2, and 3 show the differences in annual inventories (ver. 2.206 – ver. 2.205) for areas of the SCAG’s responsibility. The tables show that removing the VMT of Banning from the Riverside portion of SSAB and then adding it to the Riverside portion of SCAB resulted in a corresponding decrease/increase in emissions for the three calendar years (CY) shown (2000, 2010, and 2020). Note that other, presumably unaffected areas also change. These are minor, and arise </w:t>
      </w:r>
      <w:r>
        <w:lastRenderedPageBreak/>
        <w:t xml:space="preserve">because of the p.m. peak redefinition and </w:t>
      </w:r>
      <w:proofErr w:type="spellStart"/>
      <w:r>
        <w:t>rematching</w:t>
      </w:r>
      <w:proofErr w:type="spellEnd"/>
      <w:r>
        <w:t xml:space="preserve"> of the VMT (see Methodology).</w:t>
      </w:r>
    </w:p>
    <w:p w:rsidR="007F7A79" w:rsidRDefault="007F7A79"/>
    <w:p w:rsidR="007F7A79" w:rsidRDefault="00707FAB">
      <w:pPr>
        <w:pStyle w:val="Heading5"/>
        <w:rPr>
          <w:b w:val="0"/>
        </w:rPr>
      </w:pPr>
      <w:r>
        <w:rPr>
          <w:b w:val="0"/>
        </w:rPr>
        <w:t>Table 1: Area Specific VMT Changes and Emissions in 2000</w:t>
      </w:r>
    </w:p>
    <w:p w:rsidR="007F7A79" w:rsidRDefault="00707FAB">
      <w:pPr>
        <w:jc w:val="center"/>
      </w:pPr>
      <w:r>
        <w:t>(Annual Average Emissions in tons per day)</w:t>
      </w:r>
    </w:p>
    <w:tbl>
      <w:tblPr>
        <w:tblW w:w="0" w:type="auto"/>
        <w:tblLayout w:type="fixed"/>
        <w:tblCellMar>
          <w:left w:w="30" w:type="dxa"/>
          <w:right w:w="30" w:type="dxa"/>
        </w:tblCellMar>
        <w:tblLook w:val="0000" w:firstRow="0" w:lastRow="0" w:firstColumn="0" w:lastColumn="0" w:noHBand="0" w:noVBand="0"/>
      </w:tblPr>
      <w:tblGrid>
        <w:gridCol w:w="1010"/>
        <w:gridCol w:w="2288"/>
        <w:gridCol w:w="1341"/>
        <w:gridCol w:w="1594"/>
        <w:gridCol w:w="741"/>
        <w:gridCol w:w="615"/>
        <w:gridCol w:w="725"/>
        <w:gridCol w:w="600"/>
      </w:tblGrid>
      <w:tr w:rsidR="007F7A79">
        <w:trPr>
          <w:trHeight w:val="247"/>
        </w:trPr>
        <w:tc>
          <w:tcPr>
            <w:tcW w:w="1010" w:type="dxa"/>
            <w:tcBorders>
              <w:top w:val="single" w:sz="6" w:space="0" w:color="auto"/>
              <w:left w:val="single" w:sz="12"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Area</w:t>
            </w:r>
          </w:p>
        </w:tc>
        <w:tc>
          <w:tcPr>
            <w:tcW w:w="2288"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County</w:t>
            </w:r>
          </w:p>
        </w:tc>
        <w:tc>
          <w:tcPr>
            <w:tcW w:w="1341"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Air Basin</w:t>
            </w:r>
          </w:p>
        </w:tc>
        <w:tc>
          <w:tcPr>
            <w:tcW w:w="1594"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VMT*1000</w:t>
            </w:r>
          </w:p>
        </w:tc>
        <w:tc>
          <w:tcPr>
            <w:tcW w:w="741"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ROG</w:t>
            </w:r>
          </w:p>
        </w:tc>
        <w:tc>
          <w:tcPr>
            <w:tcW w:w="615"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CO</w:t>
            </w:r>
          </w:p>
        </w:tc>
        <w:tc>
          <w:tcPr>
            <w:tcW w:w="725"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NOx</w:t>
            </w:r>
          </w:p>
        </w:tc>
        <w:tc>
          <w:tcPr>
            <w:tcW w:w="600" w:type="dxa"/>
            <w:tcBorders>
              <w:top w:val="single" w:sz="6" w:space="0" w:color="auto"/>
              <w:left w:val="single" w:sz="6" w:space="0" w:color="auto"/>
              <w:bottom w:val="single" w:sz="6" w:space="0" w:color="auto"/>
              <w:right w:val="single" w:sz="12" w:space="0" w:color="auto"/>
            </w:tcBorders>
          </w:tcPr>
          <w:p w:rsidR="007F7A79" w:rsidRDefault="00707FAB">
            <w:pPr>
              <w:jc w:val="center"/>
              <w:rPr>
                <w:b/>
                <w:snapToGrid w:val="0"/>
                <w:color w:val="000000"/>
              </w:rPr>
            </w:pPr>
            <w:r>
              <w:rPr>
                <w:b/>
                <w:snapToGrid w:val="0"/>
                <w:color w:val="000000"/>
              </w:rPr>
              <w:t>PM</w:t>
            </w:r>
          </w:p>
        </w:tc>
      </w:tr>
      <w:tr w:rsidR="007F7A79">
        <w:trPr>
          <w:trHeight w:val="247"/>
        </w:trPr>
        <w:tc>
          <w:tcPr>
            <w:tcW w:w="1010" w:type="dxa"/>
            <w:tcBorders>
              <w:top w:val="single" w:sz="6" w:space="0" w:color="auto"/>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58</w:t>
            </w:r>
          </w:p>
        </w:tc>
        <w:tc>
          <w:tcPr>
            <w:tcW w:w="2288"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 xml:space="preserve">Ventura </w:t>
            </w:r>
          </w:p>
        </w:tc>
        <w:tc>
          <w:tcPr>
            <w:tcW w:w="1341"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SCC</w:t>
            </w:r>
          </w:p>
        </w:tc>
        <w:tc>
          <w:tcPr>
            <w:tcW w:w="1594"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41"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6" w:space="0" w:color="auto"/>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59</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Los Angeles</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60</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Orange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61</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Riverside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3265</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38</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8</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62</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San Bernardino</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64</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Riverside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SS</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-3266</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-43</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-7</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68</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Los Angeles</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MD</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62"/>
        </w:trPr>
        <w:tc>
          <w:tcPr>
            <w:tcW w:w="1010" w:type="dxa"/>
            <w:tcBorders>
              <w:top w:val="single" w:sz="2" w:space="0" w:color="000000"/>
              <w:left w:val="single" w:sz="12"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69</w:t>
            </w:r>
          </w:p>
        </w:tc>
        <w:tc>
          <w:tcPr>
            <w:tcW w:w="2288"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San Bernardino</w:t>
            </w:r>
          </w:p>
        </w:tc>
        <w:tc>
          <w:tcPr>
            <w:tcW w:w="1341"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MD</w:t>
            </w:r>
          </w:p>
        </w:tc>
        <w:tc>
          <w:tcPr>
            <w:tcW w:w="1594"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741"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12" w:space="0" w:color="auto"/>
              <w:right w:val="single" w:sz="12" w:space="0" w:color="auto"/>
            </w:tcBorders>
          </w:tcPr>
          <w:p w:rsidR="007F7A79" w:rsidRDefault="00707FAB">
            <w:pPr>
              <w:jc w:val="center"/>
              <w:rPr>
                <w:snapToGrid w:val="0"/>
                <w:color w:val="000000"/>
              </w:rPr>
            </w:pPr>
            <w:r>
              <w:rPr>
                <w:snapToGrid w:val="0"/>
                <w:color w:val="000000"/>
              </w:rPr>
              <w:t>0</w:t>
            </w:r>
          </w:p>
        </w:tc>
      </w:tr>
    </w:tbl>
    <w:p w:rsidR="007F7A79" w:rsidRDefault="007F7A79">
      <w:pPr>
        <w:rPr>
          <w:b/>
          <w:u w:val="single"/>
        </w:rPr>
      </w:pPr>
    </w:p>
    <w:p w:rsidR="007F7A79" w:rsidRDefault="00707FAB">
      <w:pPr>
        <w:pStyle w:val="Heading5"/>
        <w:rPr>
          <w:b w:val="0"/>
        </w:rPr>
      </w:pPr>
      <w:r>
        <w:rPr>
          <w:b w:val="0"/>
        </w:rPr>
        <w:t>Table 2: Area Specific VMT Changes and Emissions in 2010</w:t>
      </w:r>
    </w:p>
    <w:p w:rsidR="007F7A79" w:rsidRDefault="00707FAB">
      <w:pPr>
        <w:jc w:val="center"/>
      </w:pPr>
      <w:r>
        <w:t>(Annual Average Emissions in tons per day)</w:t>
      </w:r>
    </w:p>
    <w:tbl>
      <w:tblPr>
        <w:tblW w:w="0" w:type="auto"/>
        <w:tblLayout w:type="fixed"/>
        <w:tblCellMar>
          <w:left w:w="30" w:type="dxa"/>
          <w:right w:w="30" w:type="dxa"/>
        </w:tblCellMar>
        <w:tblLook w:val="0000" w:firstRow="0" w:lastRow="0" w:firstColumn="0" w:lastColumn="0" w:noHBand="0" w:noVBand="0"/>
      </w:tblPr>
      <w:tblGrid>
        <w:gridCol w:w="1010"/>
        <w:gridCol w:w="2288"/>
        <w:gridCol w:w="1341"/>
        <w:gridCol w:w="1594"/>
        <w:gridCol w:w="741"/>
        <w:gridCol w:w="615"/>
        <w:gridCol w:w="725"/>
        <w:gridCol w:w="600"/>
      </w:tblGrid>
      <w:tr w:rsidR="007F7A79">
        <w:trPr>
          <w:trHeight w:val="247"/>
        </w:trPr>
        <w:tc>
          <w:tcPr>
            <w:tcW w:w="1010" w:type="dxa"/>
            <w:tcBorders>
              <w:top w:val="single" w:sz="6" w:space="0" w:color="auto"/>
              <w:left w:val="single" w:sz="12"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Area</w:t>
            </w:r>
          </w:p>
        </w:tc>
        <w:tc>
          <w:tcPr>
            <w:tcW w:w="2288"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County</w:t>
            </w:r>
          </w:p>
        </w:tc>
        <w:tc>
          <w:tcPr>
            <w:tcW w:w="1341"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Air Basin</w:t>
            </w:r>
          </w:p>
        </w:tc>
        <w:tc>
          <w:tcPr>
            <w:tcW w:w="1594"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VMT*1000</w:t>
            </w:r>
          </w:p>
        </w:tc>
        <w:tc>
          <w:tcPr>
            <w:tcW w:w="741"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ROG</w:t>
            </w:r>
          </w:p>
        </w:tc>
        <w:tc>
          <w:tcPr>
            <w:tcW w:w="615"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CO</w:t>
            </w:r>
          </w:p>
        </w:tc>
        <w:tc>
          <w:tcPr>
            <w:tcW w:w="725"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NOx</w:t>
            </w:r>
          </w:p>
        </w:tc>
        <w:tc>
          <w:tcPr>
            <w:tcW w:w="600" w:type="dxa"/>
            <w:tcBorders>
              <w:top w:val="single" w:sz="6" w:space="0" w:color="auto"/>
              <w:left w:val="single" w:sz="6" w:space="0" w:color="auto"/>
              <w:bottom w:val="single" w:sz="6" w:space="0" w:color="auto"/>
              <w:right w:val="single" w:sz="12" w:space="0" w:color="auto"/>
            </w:tcBorders>
          </w:tcPr>
          <w:p w:rsidR="007F7A79" w:rsidRDefault="00707FAB">
            <w:pPr>
              <w:jc w:val="center"/>
              <w:rPr>
                <w:b/>
                <w:snapToGrid w:val="0"/>
                <w:color w:val="000000"/>
              </w:rPr>
            </w:pPr>
            <w:r>
              <w:rPr>
                <w:b/>
                <w:snapToGrid w:val="0"/>
                <w:color w:val="000000"/>
              </w:rPr>
              <w:t>PM</w:t>
            </w:r>
          </w:p>
        </w:tc>
      </w:tr>
      <w:tr w:rsidR="007F7A79">
        <w:trPr>
          <w:trHeight w:val="247"/>
        </w:trPr>
        <w:tc>
          <w:tcPr>
            <w:tcW w:w="1010" w:type="dxa"/>
            <w:tcBorders>
              <w:top w:val="single" w:sz="6" w:space="0" w:color="auto"/>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58</w:t>
            </w:r>
          </w:p>
        </w:tc>
        <w:tc>
          <w:tcPr>
            <w:tcW w:w="2288"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 xml:space="preserve">Ventura </w:t>
            </w:r>
          </w:p>
        </w:tc>
        <w:tc>
          <w:tcPr>
            <w:tcW w:w="1341"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SCC</w:t>
            </w:r>
          </w:p>
        </w:tc>
        <w:tc>
          <w:tcPr>
            <w:tcW w:w="1594"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741"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6" w:space="0" w:color="auto"/>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59</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Los Angeles</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50</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60</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Orange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61</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Riverside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3927</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19</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62</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San Bernardino</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-14</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64</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Riverside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SS</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-3927</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-21</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68</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Los Angeles</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MD</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62"/>
        </w:trPr>
        <w:tc>
          <w:tcPr>
            <w:tcW w:w="1010" w:type="dxa"/>
            <w:tcBorders>
              <w:top w:val="single" w:sz="2" w:space="0" w:color="000000"/>
              <w:left w:val="single" w:sz="12"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69</w:t>
            </w:r>
          </w:p>
        </w:tc>
        <w:tc>
          <w:tcPr>
            <w:tcW w:w="2288"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San Bernardino</w:t>
            </w:r>
          </w:p>
        </w:tc>
        <w:tc>
          <w:tcPr>
            <w:tcW w:w="1341"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MD</w:t>
            </w:r>
          </w:p>
        </w:tc>
        <w:tc>
          <w:tcPr>
            <w:tcW w:w="1594"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4</w:t>
            </w:r>
          </w:p>
        </w:tc>
        <w:tc>
          <w:tcPr>
            <w:tcW w:w="741"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12" w:space="0" w:color="auto"/>
              <w:right w:val="single" w:sz="12" w:space="0" w:color="auto"/>
            </w:tcBorders>
          </w:tcPr>
          <w:p w:rsidR="007F7A79" w:rsidRDefault="00707FAB">
            <w:pPr>
              <w:jc w:val="center"/>
              <w:rPr>
                <w:snapToGrid w:val="0"/>
                <w:color w:val="000000"/>
              </w:rPr>
            </w:pPr>
            <w:r>
              <w:rPr>
                <w:snapToGrid w:val="0"/>
                <w:color w:val="000000"/>
              </w:rPr>
              <w:t>0</w:t>
            </w:r>
          </w:p>
        </w:tc>
      </w:tr>
    </w:tbl>
    <w:p w:rsidR="007F7A79" w:rsidRDefault="007F7A79"/>
    <w:p w:rsidR="007F7A79" w:rsidRDefault="00707FAB">
      <w:pPr>
        <w:pStyle w:val="Heading5"/>
        <w:rPr>
          <w:b w:val="0"/>
        </w:rPr>
      </w:pPr>
      <w:r>
        <w:rPr>
          <w:b w:val="0"/>
        </w:rPr>
        <w:t>Table 3: Area Specific VMT Changes and Emissions in 2020</w:t>
      </w:r>
    </w:p>
    <w:p w:rsidR="007F7A79" w:rsidRDefault="00707FAB">
      <w:pPr>
        <w:jc w:val="center"/>
      </w:pPr>
      <w:r>
        <w:t>(Annual Average Emissions in tons per day)</w:t>
      </w:r>
    </w:p>
    <w:tbl>
      <w:tblPr>
        <w:tblW w:w="0" w:type="auto"/>
        <w:tblLayout w:type="fixed"/>
        <w:tblCellMar>
          <w:left w:w="30" w:type="dxa"/>
          <w:right w:w="30" w:type="dxa"/>
        </w:tblCellMar>
        <w:tblLook w:val="0000" w:firstRow="0" w:lastRow="0" w:firstColumn="0" w:lastColumn="0" w:noHBand="0" w:noVBand="0"/>
      </w:tblPr>
      <w:tblGrid>
        <w:gridCol w:w="1010"/>
        <w:gridCol w:w="2288"/>
        <w:gridCol w:w="1341"/>
        <w:gridCol w:w="1594"/>
        <w:gridCol w:w="741"/>
        <w:gridCol w:w="615"/>
        <w:gridCol w:w="725"/>
        <w:gridCol w:w="600"/>
      </w:tblGrid>
      <w:tr w:rsidR="007F7A79">
        <w:trPr>
          <w:trHeight w:val="247"/>
        </w:trPr>
        <w:tc>
          <w:tcPr>
            <w:tcW w:w="1010" w:type="dxa"/>
            <w:tcBorders>
              <w:top w:val="single" w:sz="6" w:space="0" w:color="auto"/>
              <w:left w:val="single" w:sz="12"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Area</w:t>
            </w:r>
          </w:p>
        </w:tc>
        <w:tc>
          <w:tcPr>
            <w:tcW w:w="2288"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County</w:t>
            </w:r>
          </w:p>
        </w:tc>
        <w:tc>
          <w:tcPr>
            <w:tcW w:w="1341"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Air Basin</w:t>
            </w:r>
          </w:p>
        </w:tc>
        <w:tc>
          <w:tcPr>
            <w:tcW w:w="1594"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VMT*1000</w:t>
            </w:r>
          </w:p>
        </w:tc>
        <w:tc>
          <w:tcPr>
            <w:tcW w:w="741"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ROG</w:t>
            </w:r>
          </w:p>
        </w:tc>
        <w:tc>
          <w:tcPr>
            <w:tcW w:w="615"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CO</w:t>
            </w:r>
          </w:p>
        </w:tc>
        <w:tc>
          <w:tcPr>
            <w:tcW w:w="725" w:type="dxa"/>
            <w:tcBorders>
              <w:top w:val="single" w:sz="6" w:space="0" w:color="auto"/>
              <w:left w:val="single" w:sz="6" w:space="0" w:color="auto"/>
              <w:bottom w:val="single" w:sz="6" w:space="0" w:color="auto"/>
              <w:right w:val="single" w:sz="6" w:space="0" w:color="auto"/>
            </w:tcBorders>
          </w:tcPr>
          <w:p w:rsidR="007F7A79" w:rsidRDefault="00707FAB">
            <w:pPr>
              <w:jc w:val="center"/>
              <w:rPr>
                <w:b/>
                <w:snapToGrid w:val="0"/>
                <w:color w:val="000000"/>
              </w:rPr>
            </w:pPr>
            <w:r>
              <w:rPr>
                <w:b/>
                <w:snapToGrid w:val="0"/>
                <w:color w:val="000000"/>
              </w:rPr>
              <w:t>NOx</w:t>
            </w:r>
          </w:p>
        </w:tc>
        <w:tc>
          <w:tcPr>
            <w:tcW w:w="600" w:type="dxa"/>
            <w:tcBorders>
              <w:top w:val="single" w:sz="6" w:space="0" w:color="auto"/>
              <w:left w:val="single" w:sz="6" w:space="0" w:color="auto"/>
              <w:bottom w:val="single" w:sz="6" w:space="0" w:color="auto"/>
              <w:right w:val="single" w:sz="12" w:space="0" w:color="auto"/>
            </w:tcBorders>
          </w:tcPr>
          <w:p w:rsidR="007F7A79" w:rsidRDefault="00707FAB">
            <w:pPr>
              <w:jc w:val="center"/>
              <w:rPr>
                <w:b/>
                <w:snapToGrid w:val="0"/>
                <w:color w:val="000000"/>
              </w:rPr>
            </w:pPr>
            <w:r>
              <w:rPr>
                <w:b/>
                <w:snapToGrid w:val="0"/>
                <w:color w:val="000000"/>
              </w:rPr>
              <w:t>PM</w:t>
            </w:r>
          </w:p>
        </w:tc>
      </w:tr>
      <w:tr w:rsidR="007F7A79">
        <w:trPr>
          <w:trHeight w:val="247"/>
        </w:trPr>
        <w:tc>
          <w:tcPr>
            <w:tcW w:w="1010" w:type="dxa"/>
            <w:tcBorders>
              <w:top w:val="single" w:sz="6" w:space="0" w:color="auto"/>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58</w:t>
            </w:r>
          </w:p>
        </w:tc>
        <w:tc>
          <w:tcPr>
            <w:tcW w:w="2288"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 xml:space="preserve">Ventura </w:t>
            </w:r>
          </w:p>
        </w:tc>
        <w:tc>
          <w:tcPr>
            <w:tcW w:w="1341"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SCC</w:t>
            </w:r>
          </w:p>
        </w:tc>
        <w:tc>
          <w:tcPr>
            <w:tcW w:w="1594"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-16</w:t>
            </w:r>
          </w:p>
        </w:tc>
        <w:tc>
          <w:tcPr>
            <w:tcW w:w="741"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6" w:space="0" w:color="auto"/>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6" w:space="0" w:color="auto"/>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59</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Los Angeles</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69</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60</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Orange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-7</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61</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Riverside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4470</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62</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San Bernardino</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SC</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-27</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1</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64</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Riverside</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SS</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-4485</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-10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-2</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47"/>
        </w:trPr>
        <w:tc>
          <w:tcPr>
            <w:tcW w:w="1010" w:type="dxa"/>
            <w:tcBorders>
              <w:top w:val="single" w:sz="2" w:space="0" w:color="000000"/>
              <w:left w:val="single" w:sz="12"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68</w:t>
            </w:r>
          </w:p>
        </w:tc>
        <w:tc>
          <w:tcPr>
            <w:tcW w:w="2288"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Los Angeles</w:t>
            </w:r>
          </w:p>
        </w:tc>
        <w:tc>
          <w:tcPr>
            <w:tcW w:w="13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MD</w:t>
            </w:r>
          </w:p>
        </w:tc>
        <w:tc>
          <w:tcPr>
            <w:tcW w:w="1594"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-3</w:t>
            </w:r>
          </w:p>
        </w:tc>
        <w:tc>
          <w:tcPr>
            <w:tcW w:w="741"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2" w:space="0" w:color="000000"/>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2" w:space="0" w:color="000000"/>
              <w:right w:val="single" w:sz="12" w:space="0" w:color="auto"/>
            </w:tcBorders>
          </w:tcPr>
          <w:p w:rsidR="007F7A79" w:rsidRDefault="00707FAB">
            <w:pPr>
              <w:jc w:val="center"/>
              <w:rPr>
                <w:snapToGrid w:val="0"/>
                <w:color w:val="000000"/>
              </w:rPr>
            </w:pPr>
            <w:r>
              <w:rPr>
                <w:snapToGrid w:val="0"/>
                <w:color w:val="000000"/>
              </w:rPr>
              <w:t>0</w:t>
            </w:r>
          </w:p>
        </w:tc>
      </w:tr>
      <w:tr w:rsidR="007F7A79">
        <w:trPr>
          <w:trHeight w:val="262"/>
        </w:trPr>
        <w:tc>
          <w:tcPr>
            <w:tcW w:w="1010" w:type="dxa"/>
            <w:tcBorders>
              <w:top w:val="single" w:sz="2" w:space="0" w:color="000000"/>
              <w:left w:val="single" w:sz="12"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69</w:t>
            </w:r>
          </w:p>
        </w:tc>
        <w:tc>
          <w:tcPr>
            <w:tcW w:w="2288"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San Bernardino</w:t>
            </w:r>
          </w:p>
        </w:tc>
        <w:tc>
          <w:tcPr>
            <w:tcW w:w="1341"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MD</w:t>
            </w:r>
          </w:p>
        </w:tc>
        <w:tc>
          <w:tcPr>
            <w:tcW w:w="1594"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8</w:t>
            </w:r>
          </w:p>
        </w:tc>
        <w:tc>
          <w:tcPr>
            <w:tcW w:w="741"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615"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725" w:type="dxa"/>
            <w:tcBorders>
              <w:top w:val="single" w:sz="2" w:space="0" w:color="000000"/>
              <w:left w:val="single" w:sz="6" w:space="0" w:color="auto"/>
              <w:bottom w:val="single" w:sz="12" w:space="0" w:color="auto"/>
              <w:right w:val="single" w:sz="6" w:space="0" w:color="auto"/>
            </w:tcBorders>
          </w:tcPr>
          <w:p w:rsidR="007F7A79" w:rsidRDefault="00707FAB">
            <w:pPr>
              <w:jc w:val="center"/>
              <w:rPr>
                <w:snapToGrid w:val="0"/>
                <w:color w:val="000000"/>
              </w:rPr>
            </w:pPr>
            <w:r>
              <w:rPr>
                <w:snapToGrid w:val="0"/>
                <w:color w:val="000000"/>
              </w:rPr>
              <w:t>0</w:t>
            </w:r>
          </w:p>
        </w:tc>
        <w:tc>
          <w:tcPr>
            <w:tcW w:w="600" w:type="dxa"/>
            <w:tcBorders>
              <w:top w:val="single" w:sz="2" w:space="0" w:color="000000"/>
              <w:left w:val="single" w:sz="6" w:space="0" w:color="auto"/>
              <w:bottom w:val="single" w:sz="12" w:space="0" w:color="auto"/>
              <w:right w:val="single" w:sz="12" w:space="0" w:color="auto"/>
            </w:tcBorders>
          </w:tcPr>
          <w:p w:rsidR="007F7A79" w:rsidRDefault="00707FAB">
            <w:pPr>
              <w:jc w:val="center"/>
              <w:rPr>
                <w:snapToGrid w:val="0"/>
                <w:color w:val="000000"/>
              </w:rPr>
            </w:pPr>
            <w:r>
              <w:rPr>
                <w:snapToGrid w:val="0"/>
                <w:color w:val="000000"/>
              </w:rPr>
              <w:t>0</w:t>
            </w:r>
          </w:p>
        </w:tc>
      </w:tr>
    </w:tbl>
    <w:p w:rsidR="007F7A79" w:rsidRDefault="007F7A79">
      <w:pPr>
        <w:pStyle w:val="Heading1"/>
        <w:rPr>
          <w:u w:val="none"/>
        </w:rPr>
      </w:pPr>
    </w:p>
    <w:p w:rsidR="007F7A79" w:rsidRDefault="00707FAB">
      <w:pPr>
        <w:pStyle w:val="Heading1"/>
        <w:rPr>
          <w:u w:val="none"/>
        </w:rPr>
      </w:pPr>
      <w:r>
        <w:rPr>
          <w:u w:val="none"/>
        </w:rPr>
        <w:t>Definitions:</w:t>
      </w:r>
    </w:p>
    <w:p w:rsidR="007F7A79" w:rsidRDefault="00707FAB">
      <w:proofErr w:type="gramStart"/>
      <w:r>
        <w:t>AREA  -</w:t>
      </w:r>
      <w:proofErr w:type="gramEnd"/>
      <w:r>
        <w:t>Geographic Area Index used by EMFAC</w:t>
      </w:r>
    </w:p>
    <w:p w:rsidR="007F7A79" w:rsidRDefault="00707FAB">
      <w:proofErr w:type="gramStart"/>
      <w:r>
        <w:t>SCC  –</w:t>
      </w:r>
      <w:proofErr w:type="gramEnd"/>
      <w:r>
        <w:t xml:space="preserve"> South Central Coast </w:t>
      </w:r>
    </w:p>
    <w:p w:rsidR="007F7A79" w:rsidRDefault="00707FAB">
      <w:r>
        <w:t>SC     – South Coast</w:t>
      </w:r>
    </w:p>
    <w:p w:rsidR="007F7A79" w:rsidRDefault="00707FAB">
      <w:r>
        <w:t>SS     – Salton Sea</w:t>
      </w:r>
    </w:p>
    <w:p w:rsidR="007F7A79" w:rsidRDefault="00707FAB">
      <w:r>
        <w:t>MD    – Mojave Desert</w:t>
      </w:r>
    </w:p>
    <w:p w:rsidR="007F7A79" w:rsidRDefault="007F7A79"/>
    <w:p w:rsidR="007F7A79" w:rsidRDefault="007F7A79"/>
    <w:p w:rsidR="007F7A79" w:rsidRDefault="007F7A79">
      <w:pPr>
        <w:pStyle w:val="Heading1"/>
      </w:pPr>
    </w:p>
    <w:p w:rsidR="007F7A79" w:rsidRDefault="007F7A79">
      <w:pPr>
        <w:pStyle w:val="Heading1"/>
      </w:pPr>
    </w:p>
    <w:p w:rsidR="007F7A79" w:rsidRDefault="007F7A79">
      <w:pPr>
        <w:pStyle w:val="Heading1"/>
      </w:pPr>
    </w:p>
    <w:p w:rsidR="007F7A79" w:rsidRDefault="00707FAB">
      <w:pPr>
        <w:pStyle w:val="Heading1"/>
      </w:pPr>
      <w:r>
        <w:t>NEED FOR REVISION</w:t>
      </w:r>
    </w:p>
    <w:p w:rsidR="007F7A79" w:rsidRDefault="007F7A79"/>
    <w:p w:rsidR="007F7A79" w:rsidRDefault="00707FAB">
      <w:r>
        <w:t xml:space="preserve">The current motor vehicle emissions inventory model (EMFAC 2002) needs to be revised to reflect SCAG’s latest activity updates. </w:t>
      </w:r>
    </w:p>
    <w:p w:rsidR="007F7A79" w:rsidRDefault="007F7A79">
      <w:pPr>
        <w:rPr>
          <w:b/>
        </w:rPr>
      </w:pPr>
    </w:p>
    <w:p w:rsidR="007F7A79" w:rsidRDefault="00707FAB">
      <w:pPr>
        <w:rPr>
          <w:b/>
          <w:u w:val="single"/>
        </w:rPr>
      </w:pPr>
      <w:r>
        <w:rPr>
          <w:b/>
          <w:u w:val="single"/>
        </w:rPr>
        <w:t>AFFECTED SOURCE CODE/VERSION</w:t>
      </w:r>
    </w:p>
    <w:p w:rsidR="007F7A79" w:rsidRDefault="007F7A79"/>
    <w:p w:rsidR="007F7A79" w:rsidRDefault="00707FAB">
      <w:r>
        <w:t xml:space="preserve">SPD1ASSIGN.FOR Version 2.206 </w:t>
      </w:r>
    </w:p>
    <w:p w:rsidR="007F7A79" w:rsidRDefault="00707FAB">
      <w:r>
        <w:t>SPD2ASSIGN.FOR Version 2.206</w:t>
      </w:r>
    </w:p>
    <w:p w:rsidR="007F7A79" w:rsidRDefault="00707FAB">
      <w:r>
        <w:t xml:space="preserve">POPG_SC.F90  </w:t>
      </w:r>
    </w:p>
    <w:p w:rsidR="007F7A79" w:rsidRDefault="007F7A79"/>
    <w:p w:rsidR="007F7A79" w:rsidRDefault="00707FAB">
      <w:pPr>
        <w:pStyle w:val="Heading2"/>
        <w:rPr>
          <w:u w:val="single"/>
        </w:rPr>
      </w:pPr>
      <w:r>
        <w:rPr>
          <w:u w:val="single"/>
        </w:rPr>
        <w:t>METHODOLOGY FOR REVISION</w:t>
      </w:r>
    </w:p>
    <w:p w:rsidR="007F7A79" w:rsidRDefault="007F7A79"/>
    <w:p w:rsidR="007F7A79" w:rsidRDefault="00707FAB">
      <w:r>
        <w:t xml:space="preserve">There were no new data submitted for this revision. The SCAG data that </w:t>
      </w:r>
      <w:proofErr w:type="gramStart"/>
      <w:r>
        <w:t>were submitted</w:t>
      </w:r>
      <w:proofErr w:type="gramEnd"/>
      <w:r>
        <w:t xml:space="preserve"> to ARB dated June 2002 were used. These data are for calendar years 2000, 2006, 2010, 2020, 2025, and 2030. The VMT by speed for Banning </w:t>
      </w:r>
      <w:proofErr w:type="gramStart"/>
      <w:r>
        <w:t>was added to the Riverside portion of the SCAB, and removed from the Riverside portion of the SSAB</w:t>
      </w:r>
      <w:proofErr w:type="gramEnd"/>
      <w:r>
        <w:t xml:space="preserve">. This resulted in a different VMT and speed distribution for these two areas. The new speed distribution </w:t>
      </w:r>
      <w:proofErr w:type="gramStart"/>
      <w:r>
        <w:t>is put</w:t>
      </w:r>
      <w:proofErr w:type="gramEnd"/>
      <w:r>
        <w:t xml:space="preserve"> into the SPD2ASSIGN.FOR source code for each of the areas, according to the calendar years and periods affected.</w:t>
      </w:r>
    </w:p>
    <w:p w:rsidR="007F7A79" w:rsidRDefault="007F7A79"/>
    <w:p w:rsidR="007F7A79" w:rsidRDefault="00707FAB">
      <w:pPr>
        <w:pStyle w:val="Title"/>
        <w:jc w:val="left"/>
        <w:rPr>
          <w:b w:val="0"/>
        </w:rPr>
      </w:pPr>
      <w:r>
        <w:rPr>
          <w:b w:val="0"/>
        </w:rPr>
        <w:t xml:space="preserve">The change in Banning called for </w:t>
      </w:r>
      <w:proofErr w:type="spellStart"/>
      <w:r>
        <w:rPr>
          <w:b w:val="0"/>
        </w:rPr>
        <w:t>rematching</w:t>
      </w:r>
      <w:proofErr w:type="spellEnd"/>
      <w:r>
        <w:rPr>
          <w:b w:val="0"/>
        </w:rPr>
        <w:t xml:space="preserve"> the VMT using the VMT matching algorithm, which </w:t>
      </w:r>
      <w:proofErr w:type="gramStart"/>
      <w:r>
        <w:rPr>
          <w:b w:val="0"/>
        </w:rPr>
        <w:t>is discussed</w:t>
      </w:r>
      <w:proofErr w:type="gramEnd"/>
      <w:r>
        <w:rPr>
          <w:b w:val="0"/>
        </w:rPr>
        <w:t xml:space="preserve"> in an EMFAC Modeling Change Technical Memo titled: “UPDATING ESTIMATES OF VEHICLE MILES TRAVELED” (</w:t>
      </w:r>
      <w:hyperlink r:id="rId8" w:history="1">
        <w:r>
          <w:rPr>
            <w:rStyle w:val="Hyperlink"/>
          </w:rPr>
          <w:t>http://www.arb.ca.gov/msei/on-road/latest_revisions.htm</w:t>
        </w:r>
      </w:hyperlink>
      <w:r>
        <w:rPr>
          <w:b w:val="0"/>
        </w:rPr>
        <w:t xml:space="preserve">). This </w:t>
      </w:r>
      <w:proofErr w:type="spellStart"/>
      <w:r>
        <w:rPr>
          <w:b w:val="0"/>
        </w:rPr>
        <w:t>rematching</w:t>
      </w:r>
      <w:proofErr w:type="spellEnd"/>
      <w:r>
        <w:rPr>
          <w:b w:val="0"/>
        </w:rPr>
        <w:t xml:space="preserve"> resulted in a slight change in VMT for areas other than Riverside County as shown in Tables 1, 2, and 3 above (Summary). The </w:t>
      </w:r>
      <w:proofErr w:type="spellStart"/>
      <w:r>
        <w:rPr>
          <w:b w:val="0"/>
        </w:rPr>
        <w:t>rematching</w:t>
      </w:r>
      <w:proofErr w:type="spellEnd"/>
      <w:r>
        <w:rPr>
          <w:b w:val="0"/>
        </w:rPr>
        <w:t xml:space="preserve"> of VMT affected the source code POPG_SC.F90.</w:t>
      </w:r>
    </w:p>
    <w:p w:rsidR="007F7A79" w:rsidRDefault="007F7A79">
      <w:pPr>
        <w:pStyle w:val="Title"/>
        <w:jc w:val="left"/>
        <w:rPr>
          <w:b w:val="0"/>
        </w:rPr>
      </w:pPr>
    </w:p>
    <w:p w:rsidR="007F7A79" w:rsidRDefault="00707FAB">
      <w:pPr>
        <w:pStyle w:val="Title"/>
        <w:jc w:val="left"/>
      </w:pPr>
      <w:r>
        <w:rPr>
          <w:b w:val="0"/>
        </w:rPr>
        <w:t xml:space="preserve">For the redefinition of the PM peak, the hours for PM peak </w:t>
      </w:r>
      <w:proofErr w:type="gramStart"/>
      <w:r>
        <w:rPr>
          <w:b w:val="0"/>
        </w:rPr>
        <w:t>were extended</w:t>
      </w:r>
      <w:proofErr w:type="gramEnd"/>
      <w:r>
        <w:rPr>
          <w:b w:val="0"/>
        </w:rPr>
        <w:t xml:space="preserve"> from 6 p.m. to 7 p.m. for all SCAG areas. This change affected the source codes SPD1ASSIGN.FOR and SPD2ASSIGN.FOR.</w:t>
      </w:r>
    </w:p>
    <w:p w:rsidR="007F7A79" w:rsidRDefault="007F7A79"/>
    <w:p w:rsidR="007F7A79" w:rsidRDefault="00707FAB">
      <w:pPr>
        <w:pStyle w:val="Footer"/>
        <w:tabs>
          <w:tab w:val="clear" w:pos="4320"/>
          <w:tab w:val="clear" w:pos="8640"/>
        </w:tabs>
      </w:pPr>
      <w:r>
        <w:br w:type="page"/>
      </w:r>
    </w:p>
    <w:p w:rsidR="007F7A79" w:rsidRDefault="00707FAB">
      <w:pPr>
        <w:rPr>
          <w:b/>
          <w:u w:val="single"/>
        </w:rPr>
      </w:pPr>
      <w:r>
        <w:rPr>
          <w:b/>
          <w:u w:val="single"/>
        </w:rPr>
        <w:lastRenderedPageBreak/>
        <w:t>INVENTORY EFFECTS</w:t>
      </w:r>
    </w:p>
    <w:p w:rsidR="007F7A79" w:rsidRDefault="007F7A79">
      <w:pPr>
        <w:rPr>
          <w:b/>
          <w:u w:val="single"/>
        </w:rPr>
      </w:pPr>
    </w:p>
    <w:p w:rsidR="007F7A79" w:rsidRDefault="00707FAB">
      <w:r>
        <w:t xml:space="preserve">Figures1 and 2 of Attachment A show samples of graphical representations of the change in speed distribution for CY 2000 and 2010, for light-duty and heavy-duty vehicles. The graphs show comparison between the old and the new speed distribution of Riverside County for each air basin with and without Banning. As expected, Riverside-SSAB (Coachella) shows a more significant change than Riverside-SCAB.    </w:t>
      </w:r>
    </w:p>
    <w:p w:rsidR="007F7A79" w:rsidRDefault="007F7A79"/>
    <w:p w:rsidR="007F7A79" w:rsidRDefault="00707FAB">
      <w:r>
        <w:t xml:space="preserve">The following tables show the VMT and annual average emissions in tons per day before and after the changes in SCAG (ver. 2.205 and ver. 2.206, respectively).  Tables 1C, 2C, and 3C show the change in VMT and emissions in tons per day. The tables show that removing the VMT of Banning from the Riverside portion of SSAB and then adding it to Riverside portion of SCAB resulted in a corresponding decrease/increase in emissions for the three calendar years shown (2000, 2010, and 2020). Note that the VMTs and emissions for some areas other than Riverside change. This is a consequence of the aforementioned VMT </w:t>
      </w:r>
      <w:proofErr w:type="spellStart"/>
      <w:r>
        <w:t>rematching</w:t>
      </w:r>
      <w:proofErr w:type="spellEnd"/>
      <w:r>
        <w:t>.</w:t>
      </w:r>
    </w:p>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F7A79"/>
    <w:p w:rsidR="007F7A79" w:rsidRDefault="00707FAB">
      <w:pPr>
        <w:pStyle w:val="Heading5"/>
        <w:rPr>
          <w:b w:val="0"/>
        </w:rPr>
      </w:pPr>
      <w:r>
        <w:rPr>
          <w:b w:val="0"/>
        </w:rPr>
        <w:t xml:space="preserve">Table 1A: Area Specific VMT and Emissions </w:t>
      </w:r>
      <w:r>
        <w:t>before</w:t>
      </w:r>
      <w:r>
        <w:rPr>
          <w:b w:val="0"/>
        </w:rPr>
        <w:t xml:space="preserve"> the Changes (v2.205) in    CY 2000</w:t>
      </w:r>
    </w:p>
    <w:p w:rsidR="007F7A79" w:rsidRDefault="00707FAB">
      <w:pPr>
        <w:jc w:val="center"/>
      </w:pPr>
      <w:r>
        <w:t>(Annual Average Emissions in tons per day)</w:t>
      </w:r>
    </w:p>
    <w:p w:rsidR="007F7A79" w:rsidRDefault="007F7A79">
      <w:pPr>
        <w:jc w:val="center"/>
      </w:pPr>
    </w:p>
    <w:p w:rsidR="007F7A79" w:rsidRDefault="00707FAB">
      <w:pPr>
        <w:rPr>
          <w:b/>
          <w:u w:val="single"/>
        </w:rPr>
      </w:pPr>
      <w:r>
        <w:rPr>
          <w:noProof/>
        </w:rPr>
        <w:drawing>
          <wp:anchor distT="0" distB="0" distL="114300" distR="114300" simplePos="0" relativeHeight="251652608"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16" name="Picture 16" descr="Table 1A: Area Specific VMT and Emissions before the Changes (v2.205) in    CY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Pr>
        <w:rPr>
          <w:b/>
          <w:u w:val="single"/>
        </w:rPr>
      </w:pPr>
    </w:p>
    <w:p w:rsidR="007F7A79" w:rsidRDefault="00707FAB">
      <w:pPr>
        <w:pStyle w:val="Heading5"/>
        <w:rPr>
          <w:b w:val="0"/>
        </w:rPr>
      </w:pPr>
      <w:r>
        <w:rPr>
          <w:b w:val="0"/>
        </w:rPr>
        <w:t xml:space="preserve">Table 1B: Area Specific VMT and Emissions </w:t>
      </w:r>
      <w:r>
        <w:t>after</w:t>
      </w:r>
      <w:r>
        <w:rPr>
          <w:b w:val="0"/>
        </w:rPr>
        <w:t xml:space="preserve"> the Changes (v2.206) in      CY 2000</w:t>
      </w:r>
    </w:p>
    <w:p w:rsidR="007F7A79" w:rsidRDefault="00707FAB">
      <w:pPr>
        <w:jc w:val="center"/>
      </w:pPr>
      <w:r>
        <w:t>(Annual Average Emissions in tons per day)</w:t>
      </w:r>
    </w:p>
    <w:p w:rsidR="007F7A79" w:rsidRDefault="007F7A79">
      <w:pPr>
        <w:rPr>
          <w:b/>
          <w:u w:val="single"/>
        </w:rPr>
      </w:pPr>
    </w:p>
    <w:p w:rsidR="007F7A79" w:rsidRDefault="00707FAB">
      <w:r>
        <w:rPr>
          <w:noProof/>
        </w:rPr>
        <w:drawing>
          <wp:anchor distT="0" distB="0" distL="114300" distR="114300" simplePos="0" relativeHeight="251653632"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17" name="Picture 17" descr="Table 1B: Area Specific VMT and Emissions after the Changes (v2.206) in      CY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Pr>
        <w:pStyle w:val="Heading5"/>
        <w:rPr>
          <w:b w:val="0"/>
        </w:rPr>
      </w:pPr>
    </w:p>
    <w:p w:rsidR="007F7A79" w:rsidRDefault="00707FAB">
      <w:pPr>
        <w:pStyle w:val="Heading5"/>
        <w:rPr>
          <w:b w:val="0"/>
        </w:rPr>
      </w:pPr>
      <w:r>
        <w:rPr>
          <w:b w:val="0"/>
        </w:rPr>
        <w:t>Table 1C: Area Specific VMT Changes and Emissions Differences in CY 2000</w:t>
      </w:r>
      <w:r>
        <w:rPr>
          <w:rStyle w:val="FootnoteReference"/>
          <w:b w:val="0"/>
        </w:rPr>
        <w:footnoteReference w:customMarkFollows="1" w:id="1"/>
        <w:sym w:font="Symbol" w:char="F02A"/>
      </w:r>
    </w:p>
    <w:p w:rsidR="007F7A79" w:rsidRDefault="00707FAB">
      <w:pPr>
        <w:jc w:val="center"/>
      </w:pPr>
      <w:r>
        <w:t>(Annual Average Emissions in tons per day)</w:t>
      </w:r>
    </w:p>
    <w:p w:rsidR="007F7A79" w:rsidRDefault="007F7A79">
      <w:pPr>
        <w:jc w:val="center"/>
      </w:pPr>
    </w:p>
    <w:p w:rsidR="007F7A79" w:rsidRDefault="00392B84">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Table 1C:" style="position:absolute;left:0;text-align:left;margin-left:0;margin-top:0;width:430.35pt;height:112.95pt;z-index:251659776;visibility:visible;mso-wrap-edited:f;mso-position-horizontal:absolute;mso-position-horizontal-relative:text;mso-position-vertical:absolute;mso-position-vertical-relative:text" o:allowincell="f">
            <v:imagedata r:id="rId11" o:title=""/>
            <w10:wrap type="topAndBottom"/>
          </v:shape>
          <o:OLEObject Type="Embed" ProgID="Word.Picture.8" ShapeID="_x0000_s1049" DrawAspect="Content" ObjectID="_1654631535" r:id="rId12"/>
        </w:object>
      </w:r>
    </w:p>
    <w:p w:rsidR="007F7A79" w:rsidRDefault="007F7A79">
      <w:pPr>
        <w:jc w:val="center"/>
      </w:pPr>
    </w:p>
    <w:p w:rsidR="007F7A79" w:rsidRDefault="007F7A79">
      <w:pPr>
        <w:jc w:val="center"/>
      </w:pPr>
    </w:p>
    <w:p w:rsidR="007F7A79" w:rsidRDefault="007F7A79">
      <w:pPr>
        <w:jc w:val="center"/>
      </w:pPr>
    </w:p>
    <w:p w:rsidR="007F7A79" w:rsidRDefault="007F7A79">
      <w:pPr>
        <w:jc w:val="center"/>
      </w:pPr>
    </w:p>
    <w:p w:rsidR="007F7A79" w:rsidRDefault="00707FAB">
      <w:pPr>
        <w:pStyle w:val="Heading5"/>
        <w:rPr>
          <w:b w:val="0"/>
        </w:rPr>
      </w:pPr>
      <w:r>
        <w:rPr>
          <w:b w:val="0"/>
        </w:rPr>
        <w:lastRenderedPageBreak/>
        <w:t xml:space="preserve">Table 2A: Area Specific VMT and Emissions </w:t>
      </w:r>
      <w:r>
        <w:t>before</w:t>
      </w:r>
      <w:r>
        <w:rPr>
          <w:b w:val="0"/>
        </w:rPr>
        <w:t xml:space="preserve"> the Changes (v2.205) in    CY 2010</w:t>
      </w:r>
    </w:p>
    <w:p w:rsidR="007F7A79" w:rsidRDefault="00707FAB">
      <w:pPr>
        <w:jc w:val="center"/>
      </w:pPr>
      <w:r>
        <w:t>(Annual Average Emissions in tons per day)</w:t>
      </w:r>
    </w:p>
    <w:p w:rsidR="007F7A79" w:rsidRDefault="007F7A79"/>
    <w:p w:rsidR="007F7A79" w:rsidRDefault="00707FAB">
      <w:r>
        <w:rPr>
          <w:noProof/>
        </w:rPr>
        <w:drawing>
          <wp:anchor distT="0" distB="0" distL="114300" distR="114300" simplePos="0" relativeHeight="251654656"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19" name="Picture 19" descr="Table 2A: Area Specific VMT and Emissions before the Changes (v2.205) in    C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Pr>
        <w:pStyle w:val="Heading5"/>
        <w:rPr>
          <w:b w:val="0"/>
        </w:rPr>
      </w:pPr>
    </w:p>
    <w:p w:rsidR="007F7A79" w:rsidRDefault="00707FAB">
      <w:pPr>
        <w:pStyle w:val="Heading5"/>
        <w:rPr>
          <w:b w:val="0"/>
        </w:rPr>
      </w:pPr>
      <w:r>
        <w:rPr>
          <w:b w:val="0"/>
        </w:rPr>
        <w:t xml:space="preserve">Table 2B: Area Specific VMT and Emissions </w:t>
      </w:r>
      <w:r>
        <w:t>after</w:t>
      </w:r>
      <w:r>
        <w:rPr>
          <w:b w:val="0"/>
        </w:rPr>
        <w:t xml:space="preserve"> the Changes (v2.206) in      CY 2010</w:t>
      </w:r>
    </w:p>
    <w:p w:rsidR="007F7A79" w:rsidRDefault="00707FAB">
      <w:pPr>
        <w:jc w:val="center"/>
      </w:pPr>
      <w:r>
        <w:t>(Annual Average Emissions in tons per day)</w:t>
      </w:r>
    </w:p>
    <w:p w:rsidR="007F7A79" w:rsidRDefault="007F7A79"/>
    <w:p w:rsidR="007F7A79" w:rsidRDefault="00707FAB">
      <w:r>
        <w:rPr>
          <w:noProof/>
        </w:rPr>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20" name="Picture 20" descr="Table 2B: Area Specific VMT and Emissions after the Changes (v2.206) in      C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 w:rsidR="007F7A79" w:rsidRDefault="00707FAB">
      <w:pPr>
        <w:pStyle w:val="Heading5"/>
        <w:rPr>
          <w:b w:val="0"/>
        </w:rPr>
      </w:pPr>
      <w:r>
        <w:rPr>
          <w:b w:val="0"/>
        </w:rPr>
        <w:t>Table 2C: Area Specific VMT Changes and Emissions Differences in CY 2010</w:t>
      </w:r>
      <w:r>
        <w:rPr>
          <w:rStyle w:val="FootnoteReference"/>
          <w:b w:val="0"/>
        </w:rPr>
        <w:footnoteReference w:customMarkFollows="1" w:id="2"/>
        <w:sym w:font="Symbol" w:char="F02A"/>
      </w:r>
    </w:p>
    <w:p w:rsidR="007F7A79" w:rsidRDefault="00707FAB">
      <w:pPr>
        <w:jc w:val="center"/>
      </w:pPr>
      <w:r>
        <w:t>(Annual Average Emissions in tons per day)</w:t>
      </w:r>
    </w:p>
    <w:p w:rsidR="007F7A79" w:rsidRDefault="007F7A79">
      <w:pPr>
        <w:jc w:val="center"/>
      </w:pPr>
    </w:p>
    <w:p w:rsidR="007F7A79" w:rsidRDefault="00707FAB">
      <w:pPr>
        <w:jc w:val="center"/>
        <w:rPr>
          <w:b/>
        </w:rP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21" name="Picture 21" descr="Table 2C: Area Specific VMT Changes and Emissions Differences in CY 2010&#10;(Annual Average Emissions in tons 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Pr>
        <w:pStyle w:val="Heading5"/>
        <w:rPr>
          <w:b w:val="0"/>
        </w:rPr>
      </w:pPr>
    </w:p>
    <w:p w:rsidR="007F7A79" w:rsidRDefault="00707FAB">
      <w:pPr>
        <w:pStyle w:val="Heading5"/>
        <w:rPr>
          <w:b w:val="0"/>
        </w:rPr>
      </w:pPr>
      <w:r>
        <w:rPr>
          <w:b w:val="0"/>
        </w:rPr>
        <w:t xml:space="preserve">Table 3A: Area Specific VMT and Emissions </w:t>
      </w:r>
      <w:r>
        <w:t>before</w:t>
      </w:r>
      <w:r>
        <w:rPr>
          <w:b w:val="0"/>
        </w:rPr>
        <w:t xml:space="preserve"> the Changes (v2.205) in    CY 2020</w:t>
      </w:r>
    </w:p>
    <w:p w:rsidR="007F7A79" w:rsidRDefault="00707FAB">
      <w:pPr>
        <w:jc w:val="center"/>
      </w:pPr>
      <w:r>
        <w:t>(Annual Average Emissions in tons per day)</w:t>
      </w:r>
    </w:p>
    <w:p w:rsidR="007F7A79" w:rsidRDefault="007F7A79">
      <w:pPr>
        <w:pStyle w:val="Heading5"/>
        <w:rPr>
          <w:b w:val="0"/>
        </w:rPr>
      </w:pPr>
    </w:p>
    <w:p w:rsidR="007F7A79" w:rsidRDefault="00707FAB">
      <w:pPr>
        <w:pStyle w:val="Heading5"/>
        <w:rPr>
          <w:b w:val="0"/>
        </w:rP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22" name="Picture 22" descr="Table 3A: Area Specific VMT and Emissions before the Changes (v2.205) in    C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 w:rsidR="007F7A79" w:rsidRDefault="00707FAB">
      <w:pPr>
        <w:pStyle w:val="Heading5"/>
        <w:rPr>
          <w:b w:val="0"/>
        </w:rPr>
      </w:pPr>
      <w:r>
        <w:rPr>
          <w:b w:val="0"/>
        </w:rPr>
        <w:t xml:space="preserve">Table 3B: Area Specific VMT and Emissions </w:t>
      </w:r>
      <w:r>
        <w:t>after</w:t>
      </w:r>
      <w:r>
        <w:rPr>
          <w:b w:val="0"/>
        </w:rPr>
        <w:t xml:space="preserve"> the Changes (v2.206) in      CY 2020</w:t>
      </w:r>
    </w:p>
    <w:p w:rsidR="007F7A79" w:rsidRDefault="00707FAB">
      <w:pPr>
        <w:jc w:val="center"/>
      </w:pPr>
      <w:r>
        <w:t>(Annual Average Emissions in tons per day)</w:t>
      </w:r>
    </w:p>
    <w:p w:rsidR="007F7A79" w:rsidRDefault="007F7A79"/>
    <w:p w:rsidR="007F7A79" w:rsidRDefault="00707FAB">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5465445" cy="1434465"/>
            <wp:effectExtent l="0" t="0" r="1905" b="0"/>
            <wp:wrapTopAndBottom/>
            <wp:docPr id="23" name="Picture 23" descr="Table 3B: Area Specific VMT and Emissions after the Changes (v2.206) in      C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544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Pr>
        <w:pStyle w:val="Heading5"/>
        <w:rPr>
          <w:b w:val="0"/>
        </w:rPr>
      </w:pPr>
    </w:p>
    <w:p w:rsidR="007F7A79" w:rsidRDefault="00707FAB">
      <w:pPr>
        <w:pStyle w:val="Heading5"/>
        <w:rPr>
          <w:b w:val="0"/>
        </w:rPr>
      </w:pPr>
      <w:r>
        <w:rPr>
          <w:b w:val="0"/>
        </w:rPr>
        <w:t>Table 2C: Area Specific VMT Changes and Emissions Differences in CY 2010</w:t>
      </w:r>
      <w:r>
        <w:rPr>
          <w:rStyle w:val="FootnoteReference"/>
          <w:b w:val="0"/>
        </w:rPr>
        <w:footnoteReference w:customMarkFollows="1" w:id="3"/>
        <w:sym w:font="Symbol" w:char="F02A"/>
      </w:r>
    </w:p>
    <w:p w:rsidR="007F7A79" w:rsidRDefault="00707FAB">
      <w:pPr>
        <w:jc w:val="center"/>
      </w:pPr>
      <w:r>
        <w:t>(Annual Average Emissions in tons per day)</w:t>
      </w:r>
    </w:p>
    <w:p w:rsidR="007F7A79" w:rsidRDefault="00392B84">
      <w:bookmarkStart w:id="0" w:name="_GoBack"/>
      <w:bookmarkEnd w:id="0"/>
      <w:r>
        <w:rPr>
          <w:noProof/>
        </w:rPr>
        <w:object w:dxaOrig="1440" w:dyaOrig="1440">
          <v:shape id="_x0000_s1050" type="#_x0000_t75" alt="Table 2C" style="position:absolute;margin-left:0;margin-top:0;width:430.35pt;height:112.95pt;z-index:251660800;visibility:visible;mso-wrap-edited:f;mso-position-horizontal:absolute;mso-position-horizontal-relative:text;mso-position-vertical:absolute;mso-position-vertical-relative:text" o:allowincell="f">
            <v:imagedata r:id="rId18" o:title=""/>
            <w10:wrap type="topAndBottom"/>
          </v:shape>
          <o:OLEObject Type="Embed" ProgID="Word.Picture.8" ShapeID="_x0000_s1050" DrawAspect="Content" ObjectID="_1654631536" r:id="rId19"/>
        </w:object>
      </w:r>
    </w:p>
    <w:p w:rsidR="007F7A79" w:rsidRDefault="007F7A79"/>
    <w:p w:rsidR="007F7A79" w:rsidRDefault="007F7A79"/>
    <w:p w:rsidR="007F7A79" w:rsidRDefault="007F7A79">
      <w:pPr>
        <w:pStyle w:val="Heading5"/>
        <w:rPr>
          <w:sz w:val="36"/>
        </w:rPr>
      </w:pPr>
    </w:p>
    <w:p w:rsidR="007F7A79" w:rsidRDefault="00707FAB">
      <w:pPr>
        <w:pStyle w:val="Heading5"/>
        <w:rPr>
          <w:sz w:val="36"/>
        </w:rPr>
      </w:pPr>
      <w:r>
        <w:rPr>
          <w:sz w:val="36"/>
        </w:rPr>
        <w:t>Attachment A</w:t>
      </w:r>
    </w:p>
    <w:p w:rsidR="007F7A79" w:rsidRDefault="007F7A79"/>
    <w:p w:rsidR="007F7A79" w:rsidRDefault="007F7A79">
      <w:pPr>
        <w:rPr>
          <w:sz w:val="36"/>
        </w:rPr>
      </w:pPr>
    </w:p>
    <w:p w:rsidR="007F7A79" w:rsidRDefault="007F7A79"/>
    <w:p w:rsidR="007F7A79" w:rsidRDefault="00707FAB">
      <w:pPr>
        <w:pStyle w:val="Heading2"/>
        <w:rPr>
          <w:b w:val="0"/>
        </w:rPr>
      </w:pPr>
      <w:r>
        <w:rPr>
          <w:b w:val="0"/>
        </w:rPr>
        <w:t>Definition of Terms for the Speed Distribution Graphs:</w:t>
      </w:r>
    </w:p>
    <w:p w:rsidR="007F7A79" w:rsidRDefault="007F7A79"/>
    <w:p w:rsidR="007F7A79" w:rsidRDefault="00707FAB">
      <w:pPr>
        <w:numPr>
          <w:ilvl w:val="0"/>
          <w:numId w:val="13"/>
        </w:numPr>
      </w:pPr>
      <w:r>
        <w:t xml:space="preserve">p1p6old - old SCAG data for period 1 (midnight to 6 am) and period 6 (7 pm </w:t>
      </w:r>
    </w:p>
    <w:p w:rsidR="007F7A79" w:rsidRDefault="00707FAB">
      <w:pPr>
        <w:ind w:left="1440"/>
      </w:pPr>
      <w:r>
        <w:t xml:space="preserve"> </w:t>
      </w:r>
      <w:proofErr w:type="gramStart"/>
      <w:r>
        <w:t>to</w:t>
      </w:r>
      <w:proofErr w:type="gramEnd"/>
      <w:r>
        <w:t xml:space="preserve"> midnight)</w:t>
      </w:r>
    </w:p>
    <w:p w:rsidR="007F7A79" w:rsidRDefault="00707FAB">
      <w:r>
        <w:t xml:space="preserve">          </w:t>
      </w:r>
    </w:p>
    <w:p w:rsidR="007F7A79" w:rsidRDefault="00707FAB">
      <w:pPr>
        <w:numPr>
          <w:ilvl w:val="0"/>
          <w:numId w:val="13"/>
        </w:numPr>
      </w:pPr>
      <w:r>
        <w:t xml:space="preserve">p1p6new - new SCAG data for period 1 (midnight to 6 am) and period 6 (7 pm </w:t>
      </w:r>
    </w:p>
    <w:p w:rsidR="007F7A79" w:rsidRDefault="00707FAB">
      <w:pPr>
        <w:ind w:left="1440"/>
      </w:pPr>
      <w:r>
        <w:t xml:space="preserve"> </w:t>
      </w:r>
      <w:proofErr w:type="gramStart"/>
      <w:r>
        <w:t>to</w:t>
      </w:r>
      <w:proofErr w:type="gramEnd"/>
      <w:r>
        <w:t xml:space="preserve"> midnight)</w:t>
      </w:r>
    </w:p>
    <w:p w:rsidR="007F7A79" w:rsidRDefault="007F7A79">
      <w:pPr>
        <w:ind w:left="1440"/>
      </w:pPr>
    </w:p>
    <w:p w:rsidR="007F7A79" w:rsidRDefault="00707FAB">
      <w:r>
        <w:t xml:space="preserve">3.  </w:t>
      </w:r>
      <w:proofErr w:type="spellStart"/>
      <w:proofErr w:type="gramStart"/>
      <w:r>
        <w:t>ampkold</w:t>
      </w:r>
      <w:proofErr w:type="spellEnd"/>
      <w:proofErr w:type="gramEnd"/>
      <w:r>
        <w:t xml:space="preserve"> - old SCAG data for morning peak period, which covers the </w:t>
      </w:r>
      <w:r>
        <w:tab/>
      </w:r>
      <w:r>
        <w:tab/>
        <w:t xml:space="preserve">     </w:t>
      </w:r>
      <w:r>
        <w:tab/>
        <w:t xml:space="preserve"> hours between 6 am to 9 am.</w:t>
      </w:r>
    </w:p>
    <w:p w:rsidR="007F7A79" w:rsidRDefault="007F7A79"/>
    <w:p w:rsidR="007F7A79" w:rsidRDefault="00707FAB">
      <w:r>
        <w:t xml:space="preserve">4.  </w:t>
      </w:r>
      <w:proofErr w:type="spellStart"/>
      <w:proofErr w:type="gramStart"/>
      <w:r>
        <w:t>ampknew</w:t>
      </w:r>
      <w:proofErr w:type="spellEnd"/>
      <w:proofErr w:type="gramEnd"/>
      <w:r>
        <w:t xml:space="preserve"> - new SCAG data for morning peak period, which covers the </w:t>
      </w:r>
      <w:r>
        <w:tab/>
      </w:r>
      <w:r>
        <w:tab/>
        <w:t xml:space="preserve">     </w:t>
      </w:r>
      <w:r>
        <w:tab/>
        <w:t xml:space="preserve"> hours between 6 am to 9 am.</w:t>
      </w:r>
    </w:p>
    <w:p w:rsidR="007F7A79" w:rsidRDefault="007F7A79"/>
    <w:p w:rsidR="007F7A79" w:rsidRDefault="00707FAB">
      <w:r>
        <w:t xml:space="preserve">5.  </w:t>
      </w:r>
      <w:proofErr w:type="spellStart"/>
      <w:proofErr w:type="gramStart"/>
      <w:r>
        <w:t>pmpkold</w:t>
      </w:r>
      <w:proofErr w:type="spellEnd"/>
      <w:proofErr w:type="gramEnd"/>
      <w:r>
        <w:t xml:space="preserve"> - old SCAG data for afternoon peak period, which covers the </w:t>
      </w:r>
      <w:r>
        <w:tab/>
      </w:r>
      <w:r>
        <w:tab/>
        <w:t xml:space="preserve">     </w:t>
      </w:r>
      <w:r>
        <w:tab/>
        <w:t xml:space="preserve"> hours between 3 pm to 7 pm.</w:t>
      </w:r>
    </w:p>
    <w:p w:rsidR="007F7A79" w:rsidRDefault="007F7A79"/>
    <w:p w:rsidR="007F7A79" w:rsidRDefault="00707FAB">
      <w:pPr>
        <w:numPr>
          <w:ilvl w:val="0"/>
          <w:numId w:val="14"/>
        </w:numPr>
      </w:pPr>
      <w:proofErr w:type="spellStart"/>
      <w:proofErr w:type="gramStart"/>
      <w:r>
        <w:t>pmpknew</w:t>
      </w:r>
      <w:proofErr w:type="spellEnd"/>
      <w:proofErr w:type="gramEnd"/>
      <w:r>
        <w:t xml:space="preserve"> - new SCAG data for afternoon peak period, which covers the </w:t>
      </w:r>
      <w:r>
        <w:tab/>
      </w:r>
      <w:r>
        <w:tab/>
        <w:t xml:space="preserve">     </w:t>
      </w:r>
      <w:r>
        <w:tab/>
        <w:t xml:space="preserve"> hours between 3 pm to 7 pm. </w:t>
      </w:r>
    </w:p>
    <w:p w:rsidR="007F7A79" w:rsidRDefault="007F7A79"/>
    <w:p w:rsidR="007F7A79" w:rsidRDefault="007F7A79">
      <w:pPr>
        <w:ind w:left="1440"/>
      </w:pPr>
    </w:p>
    <w:p w:rsidR="007F7A79" w:rsidRDefault="007F7A79">
      <w:pPr>
        <w:pStyle w:val="Heading2"/>
        <w:sectPr w:rsidR="007F7A79">
          <w:footerReference w:type="even" r:id="rId20"/>
          <w:footerReference w:type="default" r:id="rId21"/>
          <w:pgSz w:w="12240" w:h="15840" w:code="1"/>
          <w:pgMar w:top="1440" w:right="1800" w:bottom="1166" w:left="1800" w:header="720" w:footer="720" w:gutter="0"/>
          <w:cols w:space="720"/>
        </w:sectPr>
      </w:pPr>
    </w:p>
    <w:p w:rsidR="007F7A79" w:rsidRDefault="007F7A79"/>
    <w:p w:rsidR="007F7A79" w:rsidRDefault="007F7A79"/>
    <w:p w:rsidR="007F7A79" w:rsidRDefault="007F7A79"/>
    <w:p w:rsidR="007F7A79" w:rsidRDefault="00707FAB">
      <w:r>
        <w:t xml:space="preserve">                                                        Figure </w:t>
      </w:r>
      <w:proofErr w:type="gramStart"/>
      <w:r>
        <w:t>1</w:t>
      </w:r>
      <w:proofErr w:type="gramEnd"/>
      <w:r>
        <w:t xml:space="preserve"> - Riverside (SCAB)</w:t>
      </w:r>
    </w:p>
    <w:p w:rsidR="007F7A79" w:rsidRDefault="00707FAB">
      <w:r>
        <w:rPr>
          <w:noProof/>
        </w:rPr>
        <w:lastRenderedPageBreak/>
        <w:drawing>
          <wp:anchor distT="0" distB="0" distL="114300" distR="114300" simplePos="0" relativeHeight="251661824" behindDoc="0" locked="0" layoutInCell="0" allowOverlap="1">
            <wp:simplePos x="0" y="0"/>
            <wp:positionH relativeFrom="column">
              <wp:posOffset>91440</wp:posOffset>
            </wp:positionH>
            <wp:positionV relativeFrom="paragraph">
              <wp:posOffset>259080</wp:posOffset>
            </wp:positionV>
            <wp:extent cx="7772400" cy="5088255"/>
            <wp:effectExtent l="0" t="0" r="0" b="0"/>
            <wp:wrapTopAndBottom/>
            <wp:docPr id="27" name="Picture 27" descr="Figure 1 - Riverside (S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2400" cy="508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A79" w:rsidRDefault="007F7A79"/>
    <w:p w:rsidR="007F7A79" w:rsidRDefault="007F7A79"/>
    <w:p w:rsidR="007F7A79" w:rsidRDefault="00707FAB">
      <w:pPr>
        <w:pStyle w:val="Footer"/>
        <w:tabs>
          <w:tab w:val="clear" w:pos="4320"/>
          <w:tab w:val="clear" w:pos="8640"/>
        </w:tabs>
      </w:pPr>
      <w:r>
        <w:rPr>
          <w:noProof/>
        </w:rPr>
        <w:drawing>
          <wp:anchor distT="0" distB="0" distL="114300" distR="114300" simplePos="0" relativeHeight="251662848" behindDoc="0" locked="0" layoutInCell="0" allowOverlap="1">
            <wp:simplePos x="0" y="0"/>
            <wp:positionH relativeFrom="column">
              <wp:posOffset>0</wp:posOffset>
            </wp:positionH>
            <wp:positionV relativeFrom="paragraph">
              <wp:posOffset>335280</wp:posOffset>
            </wp:positionV>
            <wp:extent cx="7680960" cy="4688840"/>
            <wp:effectExtent l="0" t="0" r="0" b="0"/>
            <wp:wrapTopAndBottom/>
            <wp:docPr id="28" name="Picture 28" descr="Figure 2 - Coachell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0960" cy="46888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Figure </w:t>
      </w:r>
      <w:proofErr w:type="gramStart"/>
      <w:r>
        <w:t>2</w:t>
      </w:r>
      <w:proofErr w:type="gramEnd"/>
      <w:r>
        <w:t xml:space="preserve"> - Coachella Valley</w:t>
      </w:r>
    </w:p>
    <w:sectPr w:rsidR="007F7A79">
      <w:footerReference w:type="even" r:id="rId24"/>
      <w:footerReference w:type="default" r:id="rId25"/>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79" w:rsidRDefault="00707FAB">
      <w:r>
        <w:separator/>
      </w:r>
    </w:p>
  </w:endnote>
  <w:endnote w:type="continuationSeparator" w:id="0">
    <w:p w:rsidR="007F7A79" w:rsidRDefault="0070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9" w:rsidRDefault="0070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A79" w:rsidRDefault="007F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9" w:rsidRDefault="0070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B84">
      <w:rPr>
        <w:rStyle w:val="PageNumber"/>
        <w:noProof/>
      </w:rPr>
      <w:t>8</w:t>
    </w:r>
    <w:r>
      <w:rPr>
        <w:rStyle w:val="PageNumber"/>
      </w:rPr>
      <w:fldChar w:fldCharType="end"/>
    </w:r>
  </w:p>
  <w:p w:rsidR="007F7A79" w:rsidRDefault="00707FAB">
    <w:pPr>
      <w:pStyle w:val="Footer"/>
    </w:pPr>
    <w:r>
      <w:fldChar w:fldCharType="begin"/>
    </w:r>
    <w:r>
      <w:instrText xml:space="preserve"> DATE \@ "MM/dd/yy" </w:instrText>
    </w:r>
    <w:r>
      <w:fldChar w:fldCharType="separate"/>
    </w:r>
    <w:r w:rsidR="00C96A16">
      <w:rPr>
        <w:noProof/>
      </w:rPr>
      <w:t>06/25/20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9" w:rsidRDefault="0070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7A79" w:rsidRDefault="007F7A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9" w:rsidRDefault="0070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B84">
      <w:rPr>
        <w:rStyle w:val="PageNumber"/>
        <w:noProof/>
      </w:rPr>
      <w:t>11</w:t>
    </w:r>
    <w:r>
      <w:rPr>
        <w:rStyle w:val="PageNumber"/>
      </w:rPr>
      <w:fldChar w:fldCharType="end"/>
    </w:r>
  </w:p>
  <w:p w:rsidR="007F7A79" w:rsidRDefault="007F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79" w:rsidRDefault="00707FAB">
      <w:r>
        <w:separator/>
      </w:r>
    </w:p>
  </w:footnote>
  <w:footnote w:type="continuationSeparator" w:id="0">
    <w:p w:rsidR="007F7A79" w:rsidRDefault="00707FAB">
      <w:r>
        <w:continuationSeparator/>
      </w:r>
    </w:p>
  </w:footnote>
  <w:footnote w:id="1">
    <w:p w:rsidR="007F7A79" w:rsidRDefault="00707FAB">
      <w:pPr>
        <w:pStyle w:val="FootnoteText"/>
      </w:pPr>
      <w:r>
        <w:rPr>
          <w:rStyle w:val="FootnoteReference"/>
        </w:rPr>
        <w:sym w:font="Symbol" w:char="F02A"/>
      </w:r>
      <w:r>
        <w:t xml:space="preserve"> Differences may not be exact due to rounding</w:t>
      </w:r>
    </w:p>
  </w:footnote>
  <w:footnote w:id="2">
    <w:p w:rsidR="007F7A79" w:rsidRDefault="00707FAB">
      <w:pPr>
        <w:pStyle w:val="FootnoteText"/>
      </w:pPr>
      <w:r>
        <w:rPr>
          <w:rStyle w:val="FootnoteReference"/>
        </w:rPr>
        <w:sym w:font="Symbol" w:char="F02A"/>
      </w:r>
      <w:r>
        <w:t xml:space="preserve"> Differences may not be exact due to rounding</w:t>
      </w:r>
    </w:p>
  </w:footnote>
  <w:footnote w:id="3">
    <w:p w:rsidR="007F7A79" w:rsidRDefault="00707FAB">
      <w:pPr>
        <w:pStyle w:val="FootnoteText"/>
      </w:pPr>
      <w:r>
        <w:rPr>
          <w:rStyle w:val="FootnoteReference"/>
        </w:rPr>
        <w:sym w:font="Symbol" w:char="F02A"/>
      </w:r>
      <w:r>
        <w:t xml:space="preserve"> Differences may not be exact due to rounding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2D0"/>
    <w:multiLevelType w:val="singleLevel"/>
    <w:tmpl w:val="15F00F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429F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C2455C"/>
    <w:multiLevelType w:val="singleLevel"/>
    <w:tmpl w:val="5D4ECDC8"/>
    <w:lvl w:ilvl="0">
      <w:start w:val="2030"/>
      <w:numFmt w:val="decimal"/>
      <w:lvlText w:val="%1"/>
      <w:lvlJc w:val="left"/>
      <w:pPr>
        <w:tabs>
          <w:tab w:val="num" w:pos="3600"/>
        </w:tabs>
        <w:ind w:left="3600" w:hanging="3600"/>
      </w:pPr>
      <w:rPr>
        <w:rFonts w:hint="default"/>
      </w:rPr>
    </w:lvl>
  </w:abstractNum>
  <w:abstractNum w:abstractNumId="3" w15:restartNumberingAfterBreak="0">
    <w:nsid w:val="218E6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094FE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B91D54"/>
    <w:multiLevelType w:val="singleLevel"/>
    <w:tmpl w:val="15F00F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056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8342E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C2C7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312A6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FAA4A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883432"/>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78D73417"/>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FAC3B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2"/>
  </w:num>
  <w:num w:numId="4">
    <w:abstractNumId w:val="9"/>
  </w:num>
  <w:num w:numId="5">
    <w:abstractNumId w:val="13"/>
  </w:num>
  <w:num w:numId="6">
    <w:abstractNumId w:val="6"/>
  </w:num>
  <w:num w:numId="7">
    <w:abstractNumId w:val="8"/>
  </w:num>
  <w:num w:numId="8">
    <w:abstractNumId w:val="0"/>
  </w:num>
  <w:num w:numId="9">
    <w:abstractNumId w:val="5"/>
  </w:num>
  <w:num w:numId="10">
    <w:abstractNumId w:val="12"/>
  </w:num>
  <w:num w:numId="11">
    <w:abstractNumId w:val="4"/>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AB"/>
    <w:rsid w:val="00392B84"/>
    <w:rsid w:val="00707FAB"/>
    <w:rsid w:val="007F7A79"/>
    <w:rsid w:val="00C9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1A60F8B1"/>
  <w15:chartTrackingRefBased/>
  <w15:docId w15:val="{2E4679B7-E144-4787-8AC5-81314E0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snapToGrid w:val="0"/>
      <w:color w:val="000000"/>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msei/on-road/latest_revisions.htm"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rb.ca.gov/msei/on-road/latest_revisions.htm)" TargetMode="Externa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customXml" Target="../customXml/item1.xml"/><Relationship Id="rId10" Type="http://schemas.openxmlformats.org/officeDocument/2006/relationships/image" Target="media/image2.wm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92c88b-af11-4f4f-b11e-1d4779dd99f9">
      <Terms xmlns="http://schemas.microsoft.com/office/infopath/2007/PartnerControls"/>
    </lcf76f155ced4ddcb4097134ff3c332f>
    <TaxCatchAll xmlns="ef1e6234-cbf6-4f84-a69a-3c15c6ea4a0b" xsi:nil="true"/>
  </documentManagement>
</p:properties>
</file>

<file path=customXml/itemProps1.xml><?xml version="1.0" encoding="utf-8"?>
<ds:datastoreItem xmlns:ds="http://schemas.openxmlformats.org/officeDocument/2006/customXml" ds:itemID="{23268686-4A16-41D3-93CF-F6042FA8EE8A}"/>
</file>

<file path=customXml/itemProps2.xml><?xml version="1.0" encoding="utf-8"?>
<ds:datastoreItem xmlns:ds="http://schemas.openxmlformats.org/officeDocument/2006/customXml" ds:itemID="{7162205C-5D88-4915-A70B-93ADCB35BA6F}"/>
</file>

<file path=customXml/itemProps3.xml><?xml version="1.0" encoding="utf-8"?>
<ds:datastoreItem xmlns:ds="http://schemas.openxmlformats.org/officeDocument/2006/customXml" ds:itemID="{5BCAAA91-60A2-45DC-969B-44E75ABEC30E}"/>
</file>

<file path=docProps/app.xml><?xml version="1.0" encoding="utf-8"?>
<Properties xmlns="http://schemas.openxmlformats.org/officeDocument/2006/extended-properties" xmlns:vt="http://schemas.openxmlformats.org/officeDocument/2006/docPropsVTypes">
  <Template>Normal</Template>
  <TotalTime>8</TotalTime>
  <Pages>11</Pages>
  <Words>1416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8448</CharactersWithSpaces>
  <SharedDoc>false</SharedDoc>
  <HLinks>
    <vt:vector size="12" baseType="variant">
      <vt:variant>
        <vt:i4>1245306</vt:i4>
      </vt:variant>
      <vt:variant>
        <vt:i4>3</vt:i4>
      </vt:variant>
      <vt:variant>
        <vt:i4>0</vt:i4>
      </vt:variant>
      <vt:variant>
        <vt:i4>5</vt:i4>
      </vt:variant>
      <vt:variant>
        <vt:lpwstr>http://www.arb.ca.gov/msei/on-road/latest_revisions.htm</vt:lpwstr>
      </vt:variant>
      <vt:variant>
        <vt:lpwstr/>
      </vt:variant>
      <vt:variant>
        <vt:i4>3801111</vt:i4>
      </vt:variant>
      <vt:variant>
        <vt:i4>0</vt:i4>
      </vt:variant>
      <vt:variant>
        <vt:i4>0</vt:i4>
      </vt:variant>
      <vt:variant>
        <vt:i4>5</vt:i4>
      </vt:variant>
      <vt:variant>
        <vt:lpwstr>http://www.arb.ca.gov/msei/on-road/latest_revisions.htm)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Cordero, Manuel@ARB</cp:lastModifiedBy>
  <cp:revision>4</cp:revision>
  <cp:lastPrinted>2003-06-10T17:41:00Z</cp:lastPrinted>
  <dcterms:created xsi:type="dcterms:W3CDTF">2020-06-26T05:50:00Z</dcterms:created>
  <dcterms:modified xsi:type="dcterms:W3CDTF">2020-06-26T06:06:00Z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0x010100BA62596F79FF16458478AA5407A28088</vt:lpwstr>
  </property>
</Properties>
</file>