
<file path=[Content_Types].xml><?xml version="1.0" encoding="utf-8"?>
<Types xmlns="http://schemas.openxmlformats.org/package/2006/content-types">
  <Default Extension="bmp" ContentType="image/bmp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0B3D" w14:textId="0EF3F9A8" w:rsidR="00832692" w:rsidRPr="00A962AD" w:rsidRDefault="00832692" w:rsidP="00A962AD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14:paraId="40BD5429" w14:textId="5BF85295" w:rsidR="00DA55E3" w:rsidRPr="00A962AD" w:rsidRDefault="003712C6" w:rsidP="00A962AD">
      <w:pPr>
        <w:jc w:val="both"/>
        <w:rPr>
          <w:rFonts w:ascii="Franklin Gothic Book" w:hAnsi="Franklin Gothic Book" w:cstheme="minorHAnsi"/>
          <w:sz w:val="22"/>
          <w:szCs w:val="22"/>
        </w:rPr>
      </w:pPr>
      <w:r w:rsidRPr="00A962AD">
        <w:rPr>
          <w:rFonts w:ascii="Franklin Gothic Book" w:hAnsi="Franklin Gothic Book" w:cstheme="minorHAnsi"/>
          <w:sz w:val="22"/>
          <w:szCs w:val="22"/>
        </w:rPr>
        <w:t>September 1</w:t>
      </w:r>
      <w:r w:rsidR="00E01C6F" w:rsidRPr="00A962AD">
        <w:rPr>
          <w:rFonts w:ascii="Franklin Gothic Book" w:hAnsi="Franklin Gothic Book" w:cstheme="minorHAnsi"/>
          <w:sz w:val="22"/>
          <w:szCs w:val="22"/>
        </w:rPr>
        <w:t>3</w:t>
      </w:r>
      <w:r w:rsidRPr="00A962AD">
        <w:rPr>
          <w:rFonts w:ascii="Franklin Gothic Book" w:hAnsi="Franklin Gothic Book" w:cstheme="minorHAnsi"/>
          <w:sz w:val="22"/>
          <w:szCs w:val="22"/>
        </w:rPr>
        <w:t>, 2024</w:t>
      </w:r>
    </w:p>
    <w:p w14:paraId="1D475AFA" w14:textId="77777777" w:rsidR="003712C6" w:rsidRPr="00A962AD" w:rsidRDefault="003712C6" w:rsidP="00A962AD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14:paraId="40D3EC76" w14:textId="77777777" w:rsidR="003712C6" w:rsidRPr="00A962AD" w:rsidRDefault="003712C6" w:rsidP="00A962AD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14:paraId="17B89658" w14:textId="70D55C70" w:rsidR="003A4ECB" w:rsidRPr="00A962AD" w:rsidRDefault="003A4ECB" w:rsidP="00A962AD">
      <w:pPr>
        <w:tabs>
          <w:tab w:val="left" w:pos="5580"/>
        </w:tabs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Mr. </w:t>
      </w:r>
      <w:r w:rsidR="002E0EEC" w:rsidRPr="00A962AD">
        <w:rPr>
          <w:rFonts w:ascii="Franklin Gothic Book" w:hAnsi="Franklin Gothic Book"/>
          <w:sz w:val="22"/>
          <w:szCs w:val="22"/>
        </w:rPr>
        <w:t>Kelly</w:t>
      </w:r>
      <w:r w:rsidRPr="00A962AD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2E0EEC" w:rsidRPr="00A962AD">
        <w:rPr>
          <w:rFonts w:ascii="Franklin Gothic Book" w:hAnsi="Franklin Gothic Book"/>
          <w:sz w:val="22"/>
          <w:szCs w:val="22"/>
        </w:rPr>
        <w:t>Y</w:t>
      </w:r>
      <w:r w:rsidRPr="00A962AD">
        <w:rPr>
          <w:rFonts w:ascii="Franklin Gothic Book" w:hAnsi="Franklin Gothic Book"/>
          <w:sz w:val="22"/>
          <w:szCs w:val="22"/>
        </w:rPr>
        <w:t>o</w:t>
      </w:r>
      <w:r w:rsidR="002E0EEC" w:rsidRPr="00A962AD">
        <w:rPr>
          <w:rFonts w:ascii="Franklin Gothic Book" w:hAnsi="Franklin Gothic Book"/>
          <w:sz w:val="22"/>
          <w:szCs w:val="22"/>
        </w:rPr>
        <w:t>n</w:t>
      </w:r>
      <w:r w:rsidRPr="00A962AD">
        <w:rPr>
          <w:rFonts w:ascii="Franklin Gothic Book" w:hAnsi="Franklin Gothic Book"/>
          <w:sz w:val="22"/>
          <w:szCs w:val="22"/>
        </w:rPr>
        <w:t>n</w:t>
      </w:r>
      <w:proofErr w:type="spellEnd"/>
    </w:p>
    <w:p w14:paraId="1F6C61E5" w14:textId="58575A1A" w:rsidR="003A4ECB" w:rsidRPr="00A962AD" w:rsidRDefault="002E0EEC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California Air Resources Board</w:t>
      </w:r>
    </w:p>
    <w:p w14:paraId="5C2C140B" w14:textId="11DB36F2" w:rsidR="003A4ECB" w:rsidRPr="00A962AD" w:rsidRDefault="002E0EEC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1001 I Street</w:t>
      </w:r>
    </w:p>
    <w:p w14:paraId="671D8867" w14:textId="38AAE17C" w:rsidR="002E0EEC" w:rsidRPr="00A962AD" w:rsidRDefault="002E0EEC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Sacramento, Ca 95814</w:t>
      </w:r>
    </w:p>
    <w:p w14:paraId="2209C6FC" w14:textId="40DDCABE" w:rsidR="003A4ECB" w:rsidRPr="00A962AD" w:rsidRDefault="003A4ECB" w:rsidP="00A962AD">
      <w:pPr>
        <w:tabs>
          <w:tab w:val="left" w:pos="-1440"/>
        </w:tabs>
        <w:spacing w:before="240"/>
        <w:ind w:left="900" w:hanging="900"/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Subject:</w:t>
      </w:r>
      <w:r w:rsidRPr="00A962AD">
        <w:rPr>
          <w:rFonts w:ascii="Franklin Gothic Book" w:hAnsi="Franklin Gothic Book"/>
          <w:sz w:val="22"/>
          <w:szCs w:val="22"/>
        </w:rPr>
        <w:tab/>
      </w:r>
      <w:r w:rsidR="006A640F" w:rsidRPr="00A962AD">
        <w:rPr>
          <w:rFonts w:ascii="Franklin Gothic Book" w:hAnsi="Franklin Gothic Book"/>
          <w:sz w:val="22"/>
          <w:szCs w:val="22"/>
        </w:rPr>
        <w:t>Comments Regarding</w:t>
      </w:r>
    </w:p>
    <w:p w14:paraId="07A837EA" w14:textId="59EE2796" w:rsidR="00DA55E3" w:rsidRPr="00A962AD" w:rsidRDefault="003A4ECB" w:rsidP="00A962AD">
      <w:pPr>
        <w:tabs>
          <w:tab w:val="left" w:pos="900"/>
        </w:tabs>
        <w:ind w:left="900" w:hanging="900"/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ab/>
      </w:r>
      <w:r w:rsidR="006A640F" w:rsidRPr="00A962AD">
        <w:rPr>
          <w:rFonts w:ascii="Franklin Gothic Book" w:hAnsi="Franklin Gothic Book"/>
          <w:sz w:val="22"/>
          <w:szCs w:val="22"/>
        </w:rPr>
        <w:t>Potential Amendments to the Oil and Gas Methane Regulation</w:t>
      </w:r>
    </w:p>
    <w:p w14:paraId="68C6DED5" w14:textId="77777777" w:rsidR="003A4ECB" w:rsidRPr="00A962AD" w:rsidRDefault="003A4ECB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5A75746D" w14:textId="50889722" w:rsidR="003A4ECB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Ms. </w:t>
      </w:r>
      <w:proofErr w:type="spellStart"/>
      <w:r w:rsidRPr="00A962AD">
        <w:rPr>
          <w:rFonts w:ascii="Franklin Gothic Book" w:hAnsi="Franklin Gothic Book"/>
          <w:sz w:val="22"/>
          <w:szCs w:val="22"/>
        </w:rPr>
        <w:t>Yonn</w:t>
      </w:r>
      <w:proofErr w:type="spellEnd"/>
      <w:r w:rsidRPr="00A962AD">
        <w:rPr>
          <w:rFonts w:ascii="Franklin Gothic Book" w:hAnsi="Franklin Gothic Book"/>
          <w:sz w:val="22"/>
          <w:szCs w:val="22"/>
        </w:rPr>
        <w:t>,</w:t>
      </w:r>
    </w:p>
    <w:p w14:paraId="55AEE8F0" w14:textId="77777777" w:rsidR="00B30D53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4D7862A3" w14:textId="77777777" w:rsidR="00B30D53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California Resources Corporation (CRC) appreciates the opportunity to provide comments on the proposed modifications to COGR.</w:t>
      </w:r>
    </w:p>
    <w:p w14:paraId="049FEDF0" w14:textId="77777777" w:rsidR="0036249F" w:rsidRPr="00A962AD" w:rsidRDefault="0036249F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1EFC8FE8" w14:textId="7EEABE80" w:rsidR="0036249F" w:rsidRPr="00A962AD" w:rsidRDefault="0036249F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CRC would appreciate CARB’s consideration that California continues to rely upon domestic production for energy needs. It should be recognized that domestically produced oil is the most </w:t>
      </w:r>
      <w:proofErr w:type="gramStart"/>
      <w:r w:rsidRPr="00A962AD">
        <w:rPr>
          <w:rFonts w:ascii="Franklin Gothic Book" w:hAnsi="Franklin Gothic Book"/>
          <w:sz w:val="22"/>
          <w:szCs w:val="22"/>
        </w:rPr>
        <w:t>environmentally-considerate</w:t>
      </w:r>
      <w:proofErr w:type="gramEnd"/>
      <w:r w:rsidRPr="00A962AD">
        <w:rPr>
          <w:rFonts w:ascii="Franklin Gothic Book" w:hAnsi="Franklin Gothic Book"/>
          <w:sz w:val="22"/>
          <w:szCs w:val="22"/>
        </w:rPr>
        <w:t xml:space="preserve"> energy available. California’s oil and gas industry, and Kern County’s producers like CRC provide a significant economic impact on Central Valley communities. CRC reminds CARB that the state oil and gas industry expended </w:t>
      </w:r>
      <w:r w:rsidR="00A962AD">
        <w:rPr>
          <w:rFonts w:ascii="Franklin Gothic Book" w:hAnsi="Franklin Gothic Book"/>
          <w:sz w:val="22"/>
          <w:szCs w:val="22"/>
        </w:rPr>
        <w:t>more than</w:t>
      </w:r>
      <w:r w:rsidRPr="00A962AD">
        <w:rPr>
          <w:rFonts w:ascii="Franklin Gothic Book" w:hAnsi="Franklin Gothic Book"/>
          <w:sz w:val="22"/>
          <w:szCs w:val="22"/>
        </w:rPr>
        <w:t xml:space="preserve"> $40M to implement the current requirements of SB1137 and have a schedule to continue implementation to satisfy the current regulation.</w:t>
      </w:r>
    </w:p>
    <w:p w14:paraId="54A9093C" w14:textId="77777777" w:rsidR="00B30D53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5ABAF8D0" w14:textId="77777777" w:rsidR="001F59BC" w:rsidRPr="00A962AD" w:rsidRDefault="001F59BC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  <w:u w:val="single"/>
        </w:rPr>
        <w:t>Regarding Open Casing Well Vents</w:t>
      </w:r>
      <w:r w:rsidRPr="00A962AD">
        <w:rPr>
          <w:rFonts w:ascii="Franklin Gothic Book" w:hAnsi="Franklin Gothic Book"/>
          <w:sz w:val="22"/>
          <w:szCs w:val="22"/>
        </w:rPr>
        <w:t>:</w:t>
      </w:r>
    </w:p>
    <w:p w14:paraId="27B3A8A0" w14:textId="445636D6" w:rsidR="00B30D53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Recent studies indicate that a small number of point sources contribute disproportionately to methane emissions in California.  </w:t>
      </w:r>
    </w:p>
    <w:p w14:paraId="6CED06D3" w14:textId="77777777" w:rsidR="00B30D53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3258CBEE" w14:textId="5EF4B5BD" w:rsidR="00B30D53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CRC recommends:</w:t>
      </w:r>
    </w:p>
    <w:p w14:paraId="13944015" w14:textId="13823A67" w:rsidR="00B30D53" w:rsidRPr="00A962AD" w:rsidRDefault="00B30D53" w:rsidP="00A962AD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Targeting high-emitting sources, prioritizing within SB1137 health protection zones, for maximum impact</w:t>
      </w:r>
    </w:p>
    <w:p w14:paraId="396B1835" w14:textId="5C077373" w:rsidR="00B30D53" w:rsidRPr="00A962AD" w:rsidRDefault="00B30D53" w:rsidP="00A962AD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Aligning with EPA's proposed threshold of 3 tons/year (8.2 kg/day) for methane emissions from open casing wells </w:t>
      </w:r>
    </w:p>
    <w:p w14:paraId="5C8C7408" w14:textId="7CED7A88" w:rsidR="00B30D53" w:rsidRPr="00A962AD" w:rsidRDefault="00B30D53" w:rsidP="00A962AD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Implementing a 5-year timeline to allow for:</w:t>
      </w:r>
    </w:p>
    <w:p w14:paraId="134C3B63" w14:textId="66E0A3AE" w:rsidR="00B30D53" w:rsidRPr="00A962AD" w:rsidRDefault="00B30D53" w:rsidP="00A962AD">
      <w:pPr>
        <w:pStyle w:val="ListParagraph"/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Impact assessment</w:t>
      </w:r>
    </w:p>
    <w:p w14:paraId="6E8F0EB1" w14:textId="34BA3632" w:rsidR="00B30D53" w:rsidRPr="00A962AD" w:rsidRDefault="00B30D53" w:rsidP="00A962AD">
      <w:pPr>
        <w:pStyle w:val="ListParagraph"/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Cost-effectiveness evaluation</w:t>
      </w:r>
    </w:p>
    <w:p w14:paraId="01339251" w14:textId="5B46FC23" w:rsidR="00B30D53" w:rsidRPr="00A962AD" w:rsidRDefault="00B30D53" w:rsidP="00A962AD">
      <w:pPr>
        <w:pStyle w:val="ListParagraph"/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Permitting (12-18 months)</w:t>
      </w:r>
    </w:p>
    <w:p w14:paraId="3280E433" w14:textId="169F48E8" w:rsidR="00B30D53" w:rsidRPr="00A962AD" w:rsidRDefault="00B30D53" w:rsidP="00A962AD">
      <w:pPr>
        <w:pStyle w:val="ListParagraph"/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Infrastructure development</w:t>
      </w:r>
      <w:r w:rsidR="001F59BC" w:rsidRPr="00A962AD">
        <w:rPr>
          <w:rFonts w:ascii="Franklin Gothic Book" w:hAnsi="Franklin Gothic Book"/>
          <w:sz w:val="22"/>
          <w:szCs w:val="22"/>
        </w:rPr>
        <w:t>:</w:t>
      </w:r>
    </w:p>
    <w:p w14:paraId="15BF49E7" w14:textId="3612534E" w:rsidR="00B30D53" w:rsidRPr="00A962AD" w:rsidRDefault="00B30D53" w:rsidP="00A962AD">
      <w:pPr>
        <w:ind w:left="1440"/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Include cost considerations - Extensive recent expenses related to BARCT retrofits that were required on SJVAPCD related equipment (steam gens, engines, </w:t>
      </w:r>
      <w:proofErr w:type="spellStart"/>
      <w:r w:rsidRPr="00A962AD">
        <w:rPr>
          <w:rFonts w:ascii="Franklin Gothic Book" w:hAnsi="Franklin Gothic Book"/>
          <w:sz w:val="22"/>
          <w:szCs w:val="22"/>
        </w:rPr>
        <w:t>etc</w:t>
      </w:r>
      <w:proofErr w:type="spellEnd"/>
      <w:r w:rsidRPr="00A962AD">
        <w:rPr>
          <w:rFonts w:ascii="Franklin Gothic Book" w:hAnsi="Franklin Gothic Book"/>
          <w:sz w:val="22"/>
          <w:szCs w:val="22"/>
        </w:rPr>
        <w:t>)</w:t>
      </w:r>
    </w:p>
    <w:p w14:paraId="40CD8413" w14:textId="77777777" w:rsidR="00A962AD" w:rsidRDefault="00A962AD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3AFFD1D9" w14:textId="18885746" w:rsidR="0036249F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This approach balances environmental protection with practical feasibility while complementing existing federal regulations (</w:t>
      </w:r>
      <w:proofErr w:type="spellStart"/>
      <w:r w:rsidRPr="00A962AD">
        <w:rPr>
          <w:rFonts w:ascii="Franklin Gothic Book" w:hAnsi="Franklin Gothic Book"/>
          <w:sz w:val="22"/>
          <w:szCs w:val="22"/>
        </w:rPr>
        <w:t>OOOO</w:t>
      </w:r>
      <w:r w:rsidRPr="00A962AD">
        <w:rPr>
          <w:rFonts w:ascii="Franklin Gothic Book" w:hAnsi="Franklin Gothic Book"/>
          <w:sz w:val="22"/>
          <w:szCs w:val="22"/>
          <w:vertAlign w:val="subscript"/>
        </w:rPr>
        <w:t>b</w:t>
      </w:r>
      <w:proofErr w:type="spellEnd"/>
      <w:r w:rsidRPr="00A962AD">
        <w:rPr>
          <w:rFonts w:ascii="Franklin Gothic Book" w:hAnsi="Franklin Gothic Book"/>
          <w:sz w:val="22"/>
          <w:szCs w:val="22"/>
          <w:vertAlign w:val="subscript"/>
        </w:rPr>
        <w:t>/c</w:t>
      </w:r>
      <w:r w:rsidRPr="00A962AD">
        <w:rPr>
          <w:rFonts w:ascii="Franklin Gothic Book" w:hAnsi="Franklin Gothic Book"/>
          <w:sz w:val="22"/>
          <w:szCs w:val="22"/>
        </w:rPr>
        <w:t>, IRA), already affecting approximately 1 million U.S. wells.</w:t>
      </w:r>
      <w:r w:rsidR="00D666E0">
        <w:rPr>
          <w:rFonts w:ascii="Franklin Gothic Book" w:hAnsi="Franklin Gothic Book"/>
          <w:sz w:val="22"/>
          <w:szCs w:val="22"/>
        </w:rPr>
        <w:t xml:space="preserve"> </w:t>
      </w:r>
    </w:p>
    <w:p w14:paraId="43E79AD2" w14:textId="77777777" w:rsidR="00A962AD" w:rsidRDefault="00A962AD" w:rsidP="00A962AD">
      <w:pPr>
        <w:jc w:val="both"/>
        <w:rPr>
          <w:rFonts w:ascii="Franklin Gothic Book" w:hAnsi="Franklin Gothic Book"/>
          <w:sz w:val="22"/>
          <w:szCs w:val="22"/>
          <w:u w:val="single"/>
        </w:rPr>
      </w:pPr>
    </w:p>
    <w:p w14:paraId="5DD444C7" w14:textId="77777777" w:rsidR="00A962AD" w:rsidRDefault="00A962AD">
      <w:pPr>
        <w:spacing w:after="200" w:line="276" w:lineRule="auto"/>
        <w:rPr>
          <w:rFonts w:ascii="Franklin Gothic Book" w:hAnsi="Franklin Gothic Book"/>
          <w:sz w:val="22"/>
          <w:szCs w:val="22"/>
          <w:u w:val="single"/>
        </w:rPr>
      </w:pPr>
      <w:r>
        <w:rPr>
          <w:rFonts w:ascii="Franklin Gothic Book" w:hAnsi="Franklin Gothic Book"/>
          <w:sz w:val="22"/>
          <w:szCs w:val="22"/>
          <w:u w:val="single"/>
        </w:rPr>
        <w:br w:type="page"/>
      </w:r>
    </w:p>
    <w:p w14:paraId="73ABF5EE" w14:textId="2750B248" w:rsidR="00B30D53" w:rsidRPr="00A962AD" w:rsidRDefault="001F59BC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  <w:u w:val="single"/>
        </w:rPr>
        <w:lastRenderedPageBreak/>
        <w:t xml:space="preserve">Regarding </w:t>
      </w:r>
      <w:r w:rsidR="00B30D53" w:rsidRPr="00A962AD">
        <w:rPr>
          <w:rFonts w:ascii="Franklin Gothic Book" w:hAnsi="Franklin Gothic Book"/>
          <w:sz w:val="22"/>
          <w:szCs w:val="22"/>
          <w:u w:val="single"/>
        </w:rPr>
        <w:t>Pneumatics</w:t>
      </w:r>
      <w:r w:rsidRPr="00A962AD">
        <w:rPr>
          <w:rFonts w:ascii="Franklin Gothic Book" w:hAnsi="Franklin Gothic Book"/>
          <w:sz w:val="22"/>
          <w:szCs w:val="22"/>
        </w:rPr>
        <w:t>:</w:t>
      </w:r>
    </w:p>
    <w:p w14:paraId="3256B520" w14:textId="77777777" w:rsidR="001F59BC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In 2023, CRC proactively replaced pneumatic devices, eliminating 269 venting devices and reducing methane emissions by over 400 MT/year.</w:t>
      </w:r>
    </w:p>
    <w:p w14:paraId="243C0F16" w14:textId="77777777" w:rsidR="001F59BC" w:rsidRPr="00A962AD" w:rsidRDefault="001F59BC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2706A3CC" w14:textId="13F4AC5C" w:rsidR="00B30D53" w:rsidRPr="00A962AD" w:rsidRDefault="001F59BC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CRC</w:t>
      </w:r>
      <w:r w:rsidR="00B30D53" w:rsidRPr="00A962AD">
        <w:rPr>
          <w:rFonts w:ascii="Franklin Gothic Book" w:hAnsi="Franklin Gothic Book"/>
          <w:sz w:val="22"/>
          <w:szCs w:val="22"/>
        </w:rPr>
        <w:t xml:space="preserve"> </w:t>
      </w:r>
      <w:r w:rsidRPr="00A962AD">
        <w:rPr>
          <w:rFonts w:ascii="Franklin Gothic Book" w:hAnsi="Franklin Gothic Book"/>
          <w:sz w:val="22"/>
          <w:szCs w:val="22"/>
        </w:rPr>
        <w:t>recommends</w:t>
      </w:r>
      <w:r w:rsidR="00B30D53" w:rsidRPr="00A962AD">
        <w:rPr>
          <w:rFonts w:ascii="Franklin Gothic Book" w:hAnsi="Franklin Gothic Book"/>
          <w:sz w:val="22"/>
          <w:szCs w:val="22"/>
        </w:rPr>
        <w:t>:</w:t>
      </w:r>
    </w:p>
    <w:p w14:paraId="44C69829" w14:textId="2449A4D2" w:rsidR="00B30D53" w:rsidRPr="00A962AD" w:rsidRDefault="00B30D53" w:rsidP="00A962AD">
      <w:pPr>
        <w:pStyle w:val="ListParagraph"/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Focusing pneumatic</w:t>
      </w:r>
      <w:r w:rsidR="001F59BC" w:rsidRPr="00A962AD">
        <w:rPr>
          <w:rFonts w:ascii="Franklin Gothic Book" w:hAnsi="Franklin Gothic Book"/>
          <w:sz w:val="22"/>
          <w:szCs w:val="22"/>
        </w:rPr>
        <w:t xml:space="preserve"> replacement</w:t>
      </w:r>
      <w:r w:rsidRPr="00A962AD">
        <w:rPr>
          <w:rFonts w:ascii="Franklin Gothic Book" w:hAnsi="Franklin Gothic Book"/>
          <w:sz w:val="22"/>
          <w:szCs w:val="22"/>
        </w:rPr>
        <w:t xml:space="preserve"> efforts in an accelerated but tiered implementation of what is required by federal regulations (</w:t>
      </w:r>
      <w:proofErr w:type="spellStart"/>
      <w:r w:rsidRPr="00A962AD">
        <w:rPr>
          <w:rFonts w:ascii="Franklin Gothic Book" w:hAnsi="Franklin Gothic Book"/>
          <w:sz w:val="22"/>
          <w:szCs w:val="22"/>
        </w:rPr>
        <w:t>OOOO</w:t>
      </w:r>
      <w:r w:rsidRPr="00A962AD">
        <w:rPr>
          <w:rFonts w:ascii="Franklin Gothic Book" w:hAnsi="Franklin Gothic Book"/>
          <w:sz w:val="22"/>
          <w:szCs w:val="22"/>
          <w:vertAlign w:val="subscript"/>
        </w:rPr>
        <w:t>b</w:t>
      </w:r>
      <w:proofErr w:type="spellEnd"/>
      <w:r w:rsidRPr="00A962AD">
        <w:rPr>
          <w:rFonts w:ascii="Franklin Gothic Book" w:hAnsi="Franklin Gothic Book"/>
          <w:sz w:val="22"/>
          <w:szCs w:val="22"/>
          <w:vertAlign w:val="subscript"/>
        </w:rPr>
        <w:t>/c</w:t>
      </w:r>
      <w:r w:rsidRPr="00A962AD">
        <w:rPr>
          <w:rFonts w:ascii="Franklin Gothic Book" w:hAnsi="Franklin Gothic Book"/>
          <w:sz w:val="22"/>
          <w:szCs w:val="22"/>
        </w:rPr>
        <w:t xml:space="preserve">) within the newly established SB1137 health protective </w:t>
      </w:r>
      <w:proofErr w:type="gramStart"/>
      <w:r w:rsidRPr="00A962AD">
        <w:rPr>
          <w:rFonts w:ascii="Franklin Gothic Book" w:hAnsi="Franklin Gothic Book"/>
          <w:sz w:val="22"/>
          <w:szCs w:val="22"/>
        </w:rPr>
        <w:t>zones</w:t>
      </w:r>
      <w:proofErr w:type="gramEnd"/>
    </w:p>
    <w:p w14:paraId="11C82893" w14:textId="159FF724" w:rsidR="00B30D53" w:rsidRPr="00A962AD" w:rsidRDefault="00B30D53" w:rsidP="00A962AD">
      <w:pPr>
        <w:pStyle w:val="ListParagraph"/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Recognizing the necessity of natural gas-powered pneumatics where electricity or compressed air are unavailable or </w:t>
      </w:r>
      <w:proofErr w:type="gramStart"/>
      <w:r w:rsidRPr="00A962AD">
        <w:rPr>
          <w:rFonts w:ascii="Franklin Gothic Book" w:hAnsi="Franklin Gothic Book"/>
          <w:sz w:val="22"/>
          <w:szCs w:val="22"/>
        </w:rPr>
        <w:t>uneconomical</w:t>
      </w:r>
      <w:proofErr w:type="gramEnd"/>
    </w:p>
    <w:p w14:paraId="46C95469" w14:textId="717D81DE" w:rsidR="00B30D53" w:rsidRPr="00A962AD" w:rsidRDefault="00B30D53" w:rsidP="00A962AD">
      <w:pPr>
        <w:pStyle w:val="ListParagraph"/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Acknowledging industry's prior transition from high-bleed to </w:t>
      </w:r>
      <w:r w:rsidR="001F59BC" w:rsidRPr="00A962AD">
        <w:rPr>
          <w:rFonts w:ascii="Franklin Gothic Book" w:hAnsi="Franklin Gothic Book"/>
          <w:sz w:val="22"/>
          <w:szCs w:val="22"/>
        </w:rPr>
        <w:t xml:space="preserve">either </w:t>
      </w:r>
      <w:r w:rsidRPr="00A962AD">
        <w:rPr>
          <w:rFonts w:ascii="Franklin Gothic Book" w:hAnsi="Franklin Gothic Book"/>
          <w:sz w:val="22"/>
          <w:szCs w:val="22"/>
        </w:rPr>
        <w:t>low-bleed or non-venting alternatives</w:t>
      </w:r>
    </w:p>
    <w:p w14:paraId="34B82526" w14:textId="77777777" w:rsidR="00B30D53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1775F6F4" w14:textId="50938035" w:rsidR="00B30D53" w:rsidRPr="00A962AD" w:rsidRDefault="000F3BF6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  <w:u w:val="single"/>
        </w:rPr>
        <w:t xml:space="preserve">Regarding </w:t>
      </w:r>
      <w:r w:rsidR="00B30D53" w:rsidRPr="00A962AD">
        <w:rPr>
          <w:rFonts w:ascii="Franklin Gothic Book" w:hAnsi="Franklin Gothic Book"/>
          <w:sz w:val="22"/>
          <w:szCs w:val="22"/>
          <w:u w:val="single"/>
        </w:rPr>
        <w:t>Heavy Oil Exemption</w:t>
      </w:r>
      <w:r w:rsidR="001F59BC" w:rsidRPr="00A962AD">
        <w:rPr>
          <w:rFonts w:ascii="Franklin Gothic Book" w:hAnsi="Franklin Gothic Book"/>
          <w:sz w:val="22"/>
          <w:szCs w:val="22"/>
        </w:rPr>
        <w:t>:</w:t>
      </w:r>
    </w:p>
    <w:p w14:paraId="0C50EFCD" w14:textId="63915D54" w:rsidR="0036249F" w:rsidRPr="00A962AD" w:rsidRDefault="0036249F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CARB cannot discard the background behind adoption of the heavy oil exemption. The exemption is based upon </w:t>
      </w:r>
      <w:r w:rsidR="009E7121">
        <w:rPr>
          <w:rFonts w:ascii="Franklin Gothic Book" w:hAnsi="Franklin Gothic Book"/>
          <w:sz w:val="22"/>
          <w:szCs w:val="22"/>
        </w:rPr>
        <w:t xml:space="preserve">the </w:t>
      </w:r>
      <w:r w:rsidRPr="00A962AD">
        <w:rPr>
          <w:rFonts w:ascii="Franklin Gothic Book" w:hAnsi="Franklin Gothic Book"/>
          <w:sz w:val="22"/>
          <w:szCs w:val="22"/>
        </w:rPr>
        <w:t>economic justification of regulation. Heavy crude oil is not a significant source of uncontrolled methane emissions.</w:t>
      </w:r>
    </w:p>
    <w:p w14:paraId="276D923F" w14:textId="77777777" w:rsidR="0036249F" w:rsidRPr="00A962AD" w:rsidRDefault="0036249F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63639457" w14:textId="180C3583" w:rsidR="000F3BF6" w:rsidRPr="00A962AD" w:rsidRDefault="000F3BF6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CRC recommends:</w:t>
      </w:r>
    </w:p>
    <w:p w14:paraId="0731987F" w14:textId="6DB8BE25" w:rsidR="00B30D53" w:rsidRPr="00A962AD" w:rsidRDefault="00B30D53" w:rsidP="00A962AD">
      <w:pPr>
        <w:pStyle w:val="ListParagraph"/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Applying CARB's "Remaining useful life and other factors" concept to balance environmental protection with economic </w:t>
      </w:r>
      <w:proofErr w:type="gramStart"/>
      <w:r w:rsidRPr="00A962AD">
        <w:rPr>
          <w:rFonts w:ascii="Franklin Gothic Book" w:hAnsi="Franklin Gothic Book"/>
          <w:sz w:val="22"/>
          <w:szCs w:val="22"/>
        </w:rPr>
        <w:t>considerations</w:t>
      </w:r>
      <w:proofErr w:type="gramEnd"/>
    </w:p>
    <w:p w14:paraId="14B3E5AE" w14:textId="6244E6EE" w:rsidR="00B30D53" w:rsidRPr="00A962AD" w:rsidRDefault="00B30D53" w:rsidP="00A962AD">
      <w:pPr>
        <w:pStyle w:val="ListParagraph"/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Removing exemptions </w:t>
      </w:r>
      <w:r w:rsidR="0036249F" w:rsidRPr="00A962AD">
        <w:rPr>
          <w:rFonts w:ascii="Franklin Gothic Book" w:hAnsi="Franklin Gothic Book"/>
          <w:sz w:val="22"/>
          <w:szCs w:val="22"/>
        </w:rPr>
        <w:t xml:space="preserve">only </w:t>
      </w:r>
      <w:r w:rsidRPr="00A962AD">
        <w:rPr>
          <w:rFonts w:ascii="Franklin Gothic Book" w:hAnsi="Franklin Gothic Book"/>
          <w:sz w:val="22"/>
          <w:szCs w:val="22"/>
        </w:rPr>
        <w:t xml:space="preserve">for operations near sensitive receptors rather than </w:t>
      </w:r>
      <w:r w:rsidR="0036249F" w:rsidRPr="00A962AD">
        <w:rPr>
          <w:rFonts w:ascii="Franklin Gothic Book" w:hAnsi="Franklin Gothic Book"/>
          <w:sz w:val="22"/>
          <w:szCs w:val="22"/>
        </w:rPr>
        <w:t>absolute removal of the</w:t>
      </w:r>
      <w:r w:rsidRPr="00A962AD">
        <w:rPr>
          <w:rFonts w:ascii="Franklin Gothic Book" w:hAnsi="Franklin Gothic Book"/>
          <w:sz w:val="22"/>
          <w:szCs w:val="22"/>
        </w:rPr>
        <w:t xml:space="preserve"> exemption</w:t>
      </w:r>
    </w:p>
    <w:p w14:paraId="547EF7C3" w14:textId="56629165" w:rsidR="00B30D53" w:rsidRPr="00A962AD" w:rsidRDefault="00B30D53" w:rsidP="00A962AD">
      <w:pPr>
        <w:pStyle w:val="ListParagraph"/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>Developing realistic timelines for emissions reductions that account for existing infrastructure and economic factors</w:t>
      </w:r>
    </w:p>
    <w:p w14:paraId="1A673881" w14:textId="6453CE33" w:rsidR="00A962AD" w:rsidRPr="00A962AD" w:rsidRDefault="00A962AD" w:rsidP="00A962AD">
      <w:pPr>
        <w:pStyle w:val="ListParagraph"/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Presenting additional cost-based and health risk-based analysis to the oil and gas industry to demonstrate the justification to completely remove the </w:t>
      </w:r>
      <w:proofErr w:type="gramStart"/>
      <w:r w:rsidRPr="00A962AD">
        <w:rPr>
          <w:rFonts w:ascii="Franklin Gothic Book" w:hAnsi="Franklin Gothic Book"/>
          <w:sz w:val="22"/>
          <w:szCs w:val="22"/>
        </w:rPr>
        <w:t>exemption</w:t>
      </w:r>
      <w:proofErr w:type="gramEnd"/>
    </w:p>
    <w:p w14:paraId="25F3CC7B" w14:textId="77777777" w:rsidR="00B30D53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15293446" w14:textId="5AB64D5C" w:rsidR="003A4ECB" w:rsidRPr="00A962AD" w:rsidRDefault="00B30D53" w:rsidP="00A962AD">
      <w:pPr>
        <w:jc w:val="both"/>
        <w:rPr>
          <w:rFonts w:ascii="Franklin Gothic Book" w:hAnsi="Franklin Gothic Book"/>
          <w:sz w:val="22"/>
          <w:szCs w:val="22"/>
        </w:rPr>
      </w:pPr>
      <w:r w:rsidRPr="00A962AD">
        <w:rPr>
          <w:rFonts w:ascii="Franklin Gothic Book" w:hAnsi="Franklin Gothic Book"/>
          <w:sz w:val="22"/>
          <w:szCs w:val="22"/>
        </w:rPr>
        <w:t xml:space="preserve">Modifications to COGR will require additional cost to an industry inundated with recent additional regulatory expenses. </w:t>
      </w:r>
      <w:r w:rsidR="00A962AD">
        <w:rPr>
          <w:rFonts w:ascii="Franklin Gothic Book" w:hAnsi="Franklin Gothic Book"/>
          <w:sz w:val="22"/>
          <w:szCs w:val="22"/>
        </w:rPr>
        <w:t xml:space="preserve">CRC requests integration of the proposed amendments in a manner similar to </w:t>
      </w:r>
      <w:r w:rsidRPr="00A962AD">
        <w:rPr>
          <w:rFonts w:ascii="Franklin Gothic Book" w:hAnsi="Franklin Gothic Book"/>
          <w:sz w:val="22"/>
          <w:szCs w:val="22"/>
        </w:rPr>
        <w:t>CARB’s Fleet Replacement plans</w:t>
      </w:r>
      <w:r w:rsidR="00A962AD">
        <w:rPr>
          <w:rFonts w:ascii="Franklin Gothic Book" w:hAnsi="Franklin Gothic Book"/>
          <w:sz w:val="22"/>
          <w:szCs w:val="22"/>
        </w:rPr>
        <w:t xml:space="preserve"> (with a five</w:t>
      </w:r>
      <w:r w:rsidR="00EE0068">
        <w:rPr>
          <w:rFonts w:ascii="Franklin Gothic Book" w:hAnsi="Franklin Gothic Book"/>
          <w:sz w:val="22"/>
          <w:szCs w:val="22"/>
        </w:rPr>
        <w:t>-</w:t>
      </w:r>
      <w:r w:rsidRPr="00A962AD">
        <w:rPr>
          <w:rFonts w:ascii="Franklin Gothic Book" w:hAnsi="Franklin Gothic Book"/>
          <w:sz w:val="22"/>
          <w:szCs w:val="22"/>
        </w:rPr>
        <w:t>year</w:t>
      </w:r>
      <w:r w:rsidR="00A962AD">
        <w:rPr>
          <w:rFonts w:ascii="Franklin Gothic Book" w:hAnsi="Franklin Gothic Book"/>
          <w:sz w:val="22"/>
          <w:szCs w:val="22"/>
        </w:rPr>
        <w:t xml:space="preserve"> roadmap) </w:t>
      </w:r>
      <w:r w:rsidR="00D666E0">
        <w:rPr>
          <w:rFonts w:ascii="Franklin Gothic Book" w:hAnsi="Franklin Gothic Book"/>
          <w:sz w:val="22"/>
          <w:szCs w:val="22"/>
        </w:rPr>
        <w:t xml:space="preserve">and </w:t>
      </w:r>
      <w:r w:rsidRPr="00A962AD">
        <w:rPr>
          <w:rFonts w:ascii="Franklin Gothic Book" w:hAnsi="Franklin Gothic Book"/>
          <w:sz w:val="22"/>
          <w:szCs w:val="22"/>
        </w:rPr>
        <w:t xml:space="preserve">by prioritizing </w:t>
      </w:r>
      <w:r w:rsidR="00EE0068">
        <w:rPr>
          <w:rFonts w:ascii="Franklin Gothic Book" w:hAnsi="Franklin Gothic Book"/>
          <w:sz w:val="22"/>
          <w:szCs w:val="22"/>
        </w:rPr>
        <w:t xml:space="preserve">effort within </w:t>
      </w:r>
      <w:r w:rsidRPr="00A962AD">
        <w:rPr>
          <w:rFonts w:ascii="Franklin Gothic Book" w:hAnsi="Franklin Gothic Book"/>
          <w:sz w:val="22"/>
          <w:szCs w:val="22"/>
        </w:rPr>
        <w:t>established health protection zones</w:t>
      </w:r>
      <w:r w:rsidR="00D666E0">
        <w:rPr>
          <w:rFonts w:ascii="Franklin Gothic Book" w:hAnsi="Franklin Gothic Book"/>
          <w:sz w:val="22"/>
          <w:szCs w:val="22"/>
        </w:rPr>
        <w:t xml:space="preserve">. CRC believes this would align </w:t>
      </w:r>
      <w:r w:rsidRPr="00A962AD">
        <w:rPr>
          <w:rFonts w:ascii="Franklin Gothic Book" w:hAnsi="Franklin Gothic Book"/>
          <w:sz w:val="22"/>
          <w:szCs w:val="22"/>
        </w:rPr>
        <w:t xml:space="preserve">with precedent and </w:t>
      </w:r>
      <w:r w:rsidR="00EE0068">
        <w:rPr>
          <w:rFonts w:ascii="Franklin Gothic Book" w:hAnsi="Franklin Gothic Book"/>
          <w:sz w:val="22"/>
          <w:szCs w:val="22"/>
        </w:rPr>
        <w:t xml:space="preserve">will </w:t>
      </w:r>
      <w:r w:rsidRPr="00A962AD">
        <w:rPr>
          <w:rFonts w:ascii="Franklin Gothic Book" w:hAnsi="Franklin Gothic Book"/>
          <w:sz w:val="22"/>
          <w:szCs w:val="22"/>
        </w:rPr>
        <w:t>balance health and environmental goals with practical and economic realities.</w:t>
      </w:r>
    </w:p>
    <w:p w14:paraId="3B48799F" w14:textId="77777777" w:rsidR="003A4ECB" w:rsidRPr="00A962AD" w:rsidRDefault="003A4ECB" w:rsidP="00A962AD">
      <w:pPr>
        <w:jc w:val="both"/>
        <w:rPr>
          <w:rFonts w:ascii="Franklin Gothic Book" w:hAnsi="Franklin Gothic Book"/>
          <w:sz w:val="22"/>
          <w:szCs w:val="22"/>
        </w:rPr>
      </w:pPr>
    </w:p>
    <w:p w14:paraId="517BCFE0" w14:textId="16952943" w:rsidR="003A4ECB" w:rsidRPr="00A962AD" w:rsidRDefault="003A4ECB" w:rsidP="00A962AD">
      <w:pPr>
        <w:spacing w:after="120"/>
        <w:jc w:val="both"/>
        <w:outlineLvl w:val="0"/>
        <w:rPr>
          <w:rFonts w:ascii="Franklin Gothic Book" w:hAnsi="Franklin Gothic Book" w:cs="Arial"/>
          <w:sz w:val="22"/>
          <w:szCs w:val="22"/>
        </w:rPr>
      </w:pPr>
      <w:r w:rsidRPr="00A962AD">
        <w:rPr>
          <w:rFonts w:ascii="Franklin Gothic Book" w:hAnsi="Franklin Gothic Book" w:cs="Arial"/>
          <w:sz w:val="22"/>
          <w:szCs w:val="22"/>
        </w:rPr>
        <w:t xml:space="preserve">On behalf of California Resources Corporation, </w:t>
      </w:r>
      <w:r w:rsidR="009E7121">
        <w:rPr>
          <w:rFonts w:ascii="Franklin Gothic Book" w:hAnsi="Franklin Gothic Book" w:cs="Arial"/>
          <w:sz w:val="22"/>
          <w:szCs w:val="22"/>
        </w:rPr>
        <w:t>t</w:t>
      </w:r>
      <w:r w:rsidRPr="00A962AD">
        <w:rPr>
          <w:rFonts w:ascii="Franklin Gothic Book" w:hAnsi="Franklin Gothic Book" w:cs="Arial"/>
          <w:sz w:val="22"/>
          <w:szCs w:val="22"/>
        </w:rPr>
        <w:t>hank you for your consideration of these comments and concerns.</w:t>
      </w:r>
    </w:p>
    <w:p w14:paraId="52AE29B7" w14:textId="77777777" w:rsidR="0036249F" w:rsidRPr="00A962AD" w:rsidRDefault="0036249F" w:rsidP="00A962AD">
      <w:pPr>
        <w:spacing w:after="120"/>
        <w:jc w:val="both"/>
        <w:outlineLvl w:val="0"/>
        <w:rPr>
          <w:rFonts w:ascii="Franklin Gothic Book" w:hAnsi="Franklin Gothic Book" w:cs="Arial"/>
          <w:sz w:val="22"/>
          <w:szCs w:val="22"/>
        </w:rPr>
      </w:pPr>
    </w:p>
    <w:p w14:paraId="23701744" w14:textId="4C0AB2D7" w:rsidR="003A4ECB" w:rsidRPr="00A962AD" w:rsidRDefault="003A4ECB" w:rsidP="00A962AD">
      <w:pPr>
        <w:spacing w:after="120"/>
        <w:jc w:val="both"/>
        <w:outlineLvl w:val="0"/>
        <w:rPr>
          <w:rFonts w:ascii="Franklin Gothic Book" w:hAnsi="Franklin Gothic Book" w:cs="Arial"/>
          <w:sz w:val="22"/>
          <w:szCs w:val="22"/>
        </w:rPr>
      </w:pPr>
      <w:r w:rsidRPr="00A962AD">
        <w:rPr>
          <w:rFonts w:ascii="Franklin Gothic Book" w:hAnsi="Franklin Gothic Book" w:cs="Arial"/>
          <w:sz w:val="22"/>
          <w:szCs w:val="22"/>
        </w:rPr>
        <w:t>Sincerely,</w:t>
      </w:r>
    </w:p>
    <w:p w14:paraId="1E394B78" w14:textId="77777777" w:rsidR="003A4ECB" w:rsidRPr="00A962AD" w:rsidRDefault="003A4ECB" w:rsidP="00A962AD">
      <w:pPr>
        <w:jc w:val="both"/>
        <w:rPr>
          <w:rFonts w:ascii="Franklin Gothic Book" w:hAnsi="Franklin Gothic Book" w:cs="Arial"/>
          <w:sz w:val="22"/>
          <w:szCs w:val="22"/>
        </w:rPr>
      </w:pPr>
      <w:r w:rsidRPr="00A962AD">
        <w:rPr>
          <w:rFonts w:ascii="Franklin Gothic Book" w:hAnsi="Franklin Gothic Book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89D5200" wp14:editId="565FB58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024255" cy="457200"/>
            <wp:effectExtent l="38100" t="76200" r="42545" b="76200"/>
            <wp:wrapNone/>
            <wp:docPr id="1" name="Picture 1" descr="A picture containing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ligraphy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2154">
                      <a:off x="0" y="0"/>
                      <a:ext cx="10242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1042D" w14:textId="77777777" w:rsidR="003A4ECB" w:rsidRPr="00A962AD" w:rsidRDefault="003A4ECB" w:rsidP="00A962AD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02D9F410" w14:textId="77777777" w:rsidR="003A4ECB" w:rsidRPr="00A962AD" w:rsidRDefault="003A4ECB" w:rsidP="00A962AD">
      <w:pPr>
        <w:spacing w:after="60"/>
        <w:jc w:val="both"/>
        <w:rPr>
          <w:rFonts w:ascii="Franklin Gothic Book" w:hAnsi="Franklin Gothic Book" w:cs="Arial"/>
          <w:sz w:val="22"/>
          <w:szCs w:val="22"/>
        </w:rPr>
      </w:pPr>
      <w:r w:rsidRPr="00A962AD">
        <w:rPr>
          <w:rFonts w:ascii="Franklin Gothic Book" w:hAnsi="Franklin Gothic Book" w:cs="Arial"/>
          <w:sz w:val="22"/>
          <w:szCs w:val="22"/>
        </w:rPr>
        <w:t>Wm. Douglas Shaffer PE</w:t>
      </w:r>
    </w:p>
    <w:p w14:paraId="7E74C8C0" w14:textId="77777777" w:rsidR="003A4ECB" w:rsidRPr="00A962AD" w:rsidRDefault="003A4ECB" w:rsidP="00A962AD">
      <w:pPr>
        <w:jc w:val="both"/>
        <w:rPr>
          <w:rFonts w:ascii="Franklin Gothic Book" w:hAnsi="Franklin Gothic Book" w:cs="Arial"/>
          <w:sz w:val="22"/>
          <w:szCs w:val="22"/>
        </w:rPr>
      </w:pPr>
      <w:r w:rsidRPr="00A962AD">
        <w:rPr>
          <w:rFonts w:ascii="Franklin Gothic Book" w:hAnsi="Franklin Gothic Book" w:cs="Arial"/>
          <w:sz w:val="22"/>
          <w:szCs w:val="22"/>
        </w:rPr>
        <w:t>HSE Advisor, Sr</w:t>
      </w:r>
    </w:p>
    <w:p w14:paraId="61465DC5" w14:textId="77777777" w:rsidR="003A4ECB" w:rsidRPr="00A962AD" w:rsidRDefault="003A4ECB" w:rsidP="00A962AD">
      <w:pPr>
        <w:jc w:val="both"/>
        <w:rPr>
          <w:rFonts w:ascii="Franklin Gothic Book" w:hAnsi="Franklin Gothic Book" w:cs="Arial"/>
          <w:noProof/>
          <w:sz w:val="22"/>
          <w:szCs w:val="22"/>
        </w:rPr>
      </w:pPr>
      <w:r w:rsidRPr="00A962AD">
        <w:rPr>
          <w:rFonts w:ascii="Franklin Gothic Book" w:hAnsi="Franklin Gothic Book" w:cs="Arial"/>
          <w:noProof/>
          <w:sz w:val="22"/>
          <w:szCs w:val="22"/>
        </w:rPr>
        <w:t>California Resources Corporation</w:t>
      </w:r>
    </w:p>
    <w:p w14:paraId="7A63255D" w14:textId="1018AB7F" w:rsidR="003A4ECB" w:rsidRPr="00A962AD" w:rsidRDefault="003A4ECB" w:rsidP="00A962AD">
      <w:pPr>
        <w:jc w:val="both"/>
        <w:rPr>
          <w:rFonts w:ascii="Franklin Gothic Book" w:hAnsi="Franklin Gothic Book" w:cs="Arial"/>
          <w:noProof/>
          <w:sz w:val="22"/>
          <w:szCs w:val="22"/>
        </w:rPr>
      </w:pPr>
    </w:p>
    <w:p w14:paraId="3E2436D3" w14:textId="77777777" w:rsidR="003A4ECB" w:rsidRPr="00A962AD" w:rsidRDefault="003A4ECB" w:rsidP="00A962AD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14:paraId="523F4730" w14:textId="77777777" w:rsidR="00DA55E3" w:rsidRPr="00A962AD" w:rsidRDefault="00DA55E3" w:rsidP="00A962AD">
      <w:pPr>
        <w:jc w:val="both"/>
        <w:rPr>
          <w:rFonts w:ascii="Franklin Gothic Book" w:hAnsi="Franklin Gothic Book" w:cstheme="minorHAnsi"/>
          <w:sz w:val="22"/>
          <w:szCs w:val="22"/>
        </w:rPr>
      </w:pPr>
    </w:p>
    <w:sectPr w:rsidR="00DA55E3" w:rsidRPr="00A962AD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ECDE" w14:textId="77777777" w:rsidR="007D5FD0" w:rsidRDefault="007D5FD0">
      <w:r>
        <w:separator/>
      </w:r>
    </w:p>
  </w:endnote>
  <w:endnote w:type="continuationSeparator" w:id="0">
    <w:p w14:paraId="1B81FE4F" w14:textId="77777777" w:rsidR="007D5FD0" w:rsidRDefault="007D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2B6C" w14:textId="77777777" w:rsidR="007D5FD0" w:rsidRDefault="007D5FD0">
      <w:r>
        <w:separator/>
      </w:r>
    </w:p>
  </w:footnote>
  <w:footnote w:type="continuationSeparator" w:id="0">
    <w:p w14:paraId="1AF2F0F4" w14:textId="77777777" w:rsidR="007D5FD0" w:rsidRDefault="007D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245C" w14:textId="77777777" w:rsidR="00832692" w:rsidRDefault="00832692">
    <w:pPr>
      <w:widowControl w:val="0"/>
      <w:tabs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F824" w14:textId="34B87985" w:rsidR="00832692" w:rsidRDefault="00F92D95">
    <w:pPr>
      <w:pStyle w:val="Header"/>
      <w:tabs>
        <w:tab w:val="left" w:pos="70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41AA52E" wp14:editId="338B49B8">
          <wp:simplePos x="0" y="0"/>
          <wp:positionH relativeFrom="margin">
            <wp:posOffset>-523875</wp:posOffset>
          </wp:positionH>
          <wp:positionV relativeFrom="paragraph">
            <wp:posOffset>-161925</wp:posOffset>
          </wp:positionV>
          <wp:extent cx="2752725" cy="793761"/>
          <wp:effectExtent l="0" t="0" r="0" b="635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793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40556B" w14:textId="75C34DCE" w:rsidR="00832692" w:rsidRPr="00B74633" w:rsidRDefault="00B74633" w:rsidP="00B74633">
    <w:pPr>
      <w:widowControl w:val="0"/>
      <w:tabs>
        <w:tab w:val="left" w:pos="6660"/>
        <w:tab w:val="left" w:pos="8280"/>
        <w:tab w:val="left" w:pos="9360"/>
        <w:tab w:val="right" w:pos="10710"/>
      </w:tabs>
      <w:rPr>
        <w:rFonts w:ascii="Franklin Gothic Book" w:hAnsi="Franklin Gothic Book"/>
        <w:color w:val="0070C0"/>
        <w:sz w:val="16"/>
        <w:szCs w:val="16"/>
      </w:rPr>
    </w:pPr>
    <w:r>
      <w:rPr>
        <w:rFonts w:ascii="Calibri" w:hAnsi="Calibri"/>
        <w:color w:val="0066FF"/>
        <w:sz w:val="16"/>
        <w:szCs w:val="16"/>
      </w:rPr>
      <w:tab/>
    </w:r>
    <w:r w:rsidR="003712C6">
      <w:rPr>
        <w:rFonts w:ascii="Franklin Gothic Book" w:hAnsi="Franklin Gothic Book"/>
        <w:color w:val="0070C0"/>
        <w:sz w:val="16"/>
        <w:szCs w:val="16"/>
      </w:rPr>
      <w:t>9600 MING AVENUE</w:t>
    </w:r>
  </w:p>
  <w:p w14:paraId="0819C9A2" w14:textId="1C64B213" w:rsidR="00832692" w:rsidRPr="008A36A9" w:rsidRDefault="00C462FD" w:rsidP="00B74633">
    <w:pPr>
      <w:widowControl w:val="0"/>
      <w:tabs>
        <w:tab w:val="left" w:pos="6660"/>
        <w:tab w:val="left" w:pos="8280"/>
        <w:tab w:val="left" w:pos="9360"/>
        <w:tab w:val="right" w:pos="10710"/>
      </w:tabs>
      <w:rPr>
        <w:rFonts w:ascii="Calibri" w:hAnsi="Calibri"/>
        <w:color w:val="0070C0"/>
        <w:sz w:val="16"/>
        <w:szCs w:val="16"/>
      </w:rPr>
    </w:pPr>
    <w:r w:rsidRPr="00B74633">
      <w:rPr>
        <w:rFonts w:ascii="Franklin Gothic Book" w:hAnsi="Franklin Gothic Book"/>
        <w:color w:val="0070C0"/>
        <w:sz w:val="16"/>
        <w:szCs w:val="16"/>
      </w:rPr>
      <w:tab/>
    </w:r>
    <w:r w:rsidR="003712C6">
      <w:rPr>
        <w:rFonts w:ascii="Franklin Gothic Book" w:hAnsi="Franklin Gothic Book"/>
        <w:color w:val="0070C0"/>
        <w:sz w:val="16"/>
        <w:szCs w:val="16"/>
      </w:rPr>
      <w:t>BAKERSFIELD</w:t>
    </w:r>
    <w:r w:rsidR="00C45EE4" w:rsidRPr="00B74633">
      <w:rPr>
        <w:rFonts w:ascii="Franklin Gothic Book" w:hAnsi="Franklin Gothic Book"/>
        <w:color w:val="0070C0"/>
        <w:sz w:val="16"/>
        <w:szCs w:val="16"/>
      </w:rPr>
      <w:t xml:space="preserve">, CALIFORNIA </w:t>
    </w:r>
    <w:r w:rsidR="003712C6">
      <w:rPr>
        <w:rFonts w:ascii="Franklin Gothic Book" w:hAnsi="Franklin Gothic Book"/>
        <w:color w:val="0070C0"/>
        <w:sz w:val="16"/>
        <w:szCs w:val="16"/>
      </w:rPr>
      <w:t>93311</w:t>
    </w:r>
  </w:p>
  <w:p w14:paraId="60590492" w14:textId="12802B16" w:rsidR="00832692" w:rsidRDefault="00832692">
    <w:pPr>
      <w:widowControl w:val="0"/>
      <w:tabs>
        <w:tab w:val="left" w:pos="6840"/>
        <w:tab w:val="left" w:pos="8280"/>
        <w:tab w:val="left" w:pos="9360"/>
        <w:tab w:val="right" w:pos="10710"/>
      </w:tabs>
      <w:rPr>
        <w:rFonts w:ascii="Calibri" w:hAnsi="Calibri"/>
        <w:color w:val="0066FF"/>
        <w:sz w:val="16"/>
        <w:szCs w:val="16"/>
      </w:rPr>
    </w:pPr>
  </w:p>
  <w:p w14:paraId="7ED5960A" w14:textId="003AE731" w:rsidR="00832692" w:rsidRDefault="00C462FD" w:rsidP="00DA55E3">
    <w:pPr>
      <w:widowControl w:val="0"/>
      <w:tabs>
        <w:tab w:val="left" w:pos="6840"/>
        <w:tab w:val="left" w:pos="8280"/>
        <w:tab w:val="left" w:pos="9360"/>
        <w:tab w:val="right" w:pos="10710"/>
      </w:tabs>
    </w:pPr>
    <w:r>
      <w:rPr>
        <w:rFonts w:ascii="Calibri" w:hAnsi="Calibri"/>
        <w:color w:val="0066F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4409F"/>
    <w:multiLevelType w:val="hybridMultilevel"/>
    <w:tmpl w:val="3E0CD020"/>
    <w:lvl w:ilvl="0" w:tplc="A1BC28EE">
      <w:numFmt w:val="bullet"/>
      <w:lvlText w:val="•"/>
      <w:lvlJc w:val="left"/>
      <w:pPr>
        <w:ind w:left="1365" w:hanging="1005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24F5"/>
    <w:multiLevelType w:val="hybridMultilevel"/>
    <w:tmpl w:val="9836E38A"/>
    <w:lvl w:ilvl="0" w:tplc="A1BC28EE">
      <w:numFmt w:val="bullet"/>
      <w:lvlText w:val="•"/>
      <w:lvlJc w:val="left"/>
      <w:pPr>
        <w:ind w:left="1365" w:hanging="1005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05E00"/>
    <w:multiLevelType w:val="hybridMultilevel"/>
    <w:tmpl w:val="E8943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2740A0"/>
    <w:multiLevelType w:val="hybridMultilevel"/>
    <w:tmpl w:val="FDAE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797024"/>
    <w:multiLevelType w:val="hybridMultilevel"/>
    <w:tmpl w:val="E2601CCA"/>
    <w:lvl w:ilvl="0" w:tplc="A1BC28EE">
      <w:numFmt w:val="bullet"/>
      <w:lvlText w:val="•"/>
      <w:lvlJc w:val="left"/>
      <w:pPr>
        <w:ind w:left="1365" w:hanging="1005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482024">
    <w:abstractNumId w:val="3"/>
  </w:num>
  <w:num w:numId="2" w16cid:durableId="1098869492">
    <w:abstractNumId w:val="1"/>
  </w:num>
  <w:num w:numId="3" w16cid:durableId="2030331917">
    <w:abstractNumId w:val="4"/>
  </w:num>
  <w:num w:numId="4" w16cid:durableId="1689019602">
    <w:abstractNumId w:val="0"/>
  </w:num>
  <w:num w:numId="5" w16cid:durableId="176615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92"/>
    <w:rsid w:val="000F3BF6"/>
    <w:rsid w:val="001F59BC"/>
    <w:rsid w:val="002E0EEC"/>
    <w:rsid w:val="0036249F"/>
    <w:rsid w:val="003712C6"/>
    <w:rsid w:val="003A4ECB"/>
    <w:rsid w:val="00457B58"/>
    <w:rsid w:val="004A2957"/>
    <w:rsid w:val="006A640F"/>
    <w:rsid w:val="00711310"/>
    <w:rsid w:val="007673DA"/>
    <w:rsid w:val="007D5FD0"/>
    <w:rsid w:val="00832692"/>
    <w:rsid w:val="008A36A9"/>
    <w:rsid w:val="009E7121"/>
    <w:rsid w:val="00A962AD"/>
    <w:rsid w:val="00B30D53"/>
    <w:rsid w:val="00B74633"/>
    <w:rsid w:val="00C45EE4"/>
    <w:rsid w:val="00C462FD"/>
    <w:rsid w:val="00CF7513"/>
    <w:rsid w:val="00D659B4"/>
    <w:rsid w:val="00D666E0"/>
    <w:rsid w:val="00DA55E3"/>
    <w:rsid w:val="00E01C6F"/>
    <w:rsid w:val="00EE0068"/>
    <w:rsid w:val="00F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32099"/>
  <w15:docId w15:val="{AB87AA01-FCCE-40C2-BA79-01D4900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4E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b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88DA4D30B4E4FAB6EC8F1E658C181" ma:contentTypeVersion="22" ma:contentTypeDescription="Create a new document." ma:contentTypeScope="" ma:versionID="92311cbdbbabbe7a11ddb84707a70fd5">
  <xsd:schema xmlns:xsd="http://www.w3.org/2001/XMLSchema" xmlns:xs="http://www.w3.org/2001/XMLSchema" xmlns:p="http://schemas.microsoft.com/office/2006/metadata/properties" xmlns:ns1="http://schemas.microsoft.com/sharepoint/v3" xmlns:ns2="8a87a97b-72b9-45c0-b072-6daf16155f05" xmlns:ns3="25531e26-c66d-4a11-82ae-ad1cbf8aa3f3" targetNamespace="http://schemas.microsoft.com/office/2006/metadata/properties" ma:root="true" ma:fieldsID="62564a756cc016dab1b6b36c79926d0a" ns1:_="" ns2:_="" ns3:_="">
    <xsd:import namespace="http://schemas.microsoft.com/sharepoint/v3"/>
    <xsd:import namespace="8a87a97b-72b9-45c0-b072-6daf16155f05"/>
    <xsd:import namespace="25531e26-c66d-4a11-82ae-ad1cbf8aa3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a97b-72b9-45c0-b072-6daf16155f0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31e26-c66d-4a11-82ae-ad1cbf8aa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7D9CA-1200-4233-A10E-851F94677E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8FA348-D0FD-483C-9F5B-9FEBFFFFE9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06cbdcf7-d53a-4ea9-bf02-52f8ca918149"/>
    <ds:schemaRef ds:uri="73517aeb-a459-44cf-ba73-a79f6fe1c0b4"/>
  </ds:schemaRefs>
</ds:datastoreItem>
</file>

<file path=customXml/itemProps3.xml><?xml version="1.0" encoding="utf-8"?>
<ds:datastoreItem xmlns:ds="http://schemas.openxmlformats.org/officeDocument/2006/customXml" ds:itemID="{D20EAD81-FF55-4FB2-9FE1-70E8D823F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156A6-5438-4BB2-96C9-BF4BCEFB22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6BFCD4-D45D-472F-B3AC-112DA418A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87a97b-72b9-45c0-b072-6daf16155f05"/>
    <ds:schemaRef ds:uri="25531e26-c66d-4a11-82ae-ad1cbf8aa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Shaffer, William D</cp:lastModifiedBy>
  <cp:revision>2</cp:revision>
  <cp:lastPrinted>2014-07-14T19:33:00Z</cp:lastPrinted>
  <dcterms:created xsi:type="dcterms:W3CDTF">2024-09-13T13:25:00Z</dcterms:created>
  <dcterms:modified xsi:type="dcterms:W3CDTF">2024-09-13T13:25:00Z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0x01010043988DA4D30B4E4FAB6EC8F1E658C181</vt:lpwstr>
  </property>
  <property fmtid="{D5CDD505-2E9C-101B-9397-08002B2CF9AE}" pid="3" name="MediaServiceImageTags">
    <vt:lpwstr/>
  </property>
</Properties>
</file>